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REVISION OF SYMBOLS TAKEN OVER FROM THE OAU</w:t>
        <w:br/>
        <w:t>AND CREATION OF NEW SYMBOLS WHICH DISTINGUISH THE UNION</w:t>
        <w:br/>
        <w:t>FROM THE OAU - FLAG OF THE UNION</w:t>
        <w:br/>
        <w:t>DOC. ASSEMBLY/AU/3 (VII)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6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The Assembly: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0" w:val="left"/>
        </w:tabs>
        <w:bidi w:val="0"/>
        <w:spacing w:before="0" w:after="240" w:line="240" w:lineRule="auto"/>
        <w:ind w:left="2060" w:right="0"/>
        <w:jc w:val="left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and proposals of the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0" w:val="left"/>
        </w:tabs>
        <w:bidi w:val="0"/>
        <w:spacing w:before="0" w:after="560" w:line="240" w:lineRule="auto"/>
        <w:ind w:left="2060" w:right="0"/>
        <w:jc w:val="left"/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Committee of Seven Heads of State and Government to review the proposals and submit recommendations to the next Ordinary Session of the Assembly in January 2007.</w:t>
      </w:r>
    </w:p>
    <w:sectPr>
      <w:footnotePr>
        <w:pos w:val="pageBottom"/>
        <w:numFmt w:val="decimal"/>
        <w:numRestart w:val="continuous"/>
      </w:footnotePr>
      <w:pgSz w:w="11909" w:h="16840"/>
      <w:pgMar w:top="2458" w:right="1541" w:bottom="2458" w:left="101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