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ELECTION OF TEN (10) MEMBERS OF THE</w:t>
        <w:br/>
        <w:t>PEACE AND SECURITY COUNCIL OF THE AFRICAN UNION</w:t>
        <w:br/>
        <w:t>DOC. EX.CL/402 (XII)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40" w:line="230" w:lineRule="auto"/>
        <w:ind w:left="0" w:right="0" w:firstLine="20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12" w:val="left"/>
        </w:tabs>
        <w:bidi w:val="0"/>
        <w:spacing w:before="0" w:after="240" w:line="230" w:lineRule="auto"/>
        <w:ind w:left="0" w:right="0" w:firstLine="54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conducted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12" w:val="left"/>
        </w:tabs>
        <w:bidi w:val="0"/>
        <w:spacing w:before="0" w:after="240" w:line="226" w:lineRule="auto"/>
        <w:ind w:left="1220" w:right="0" w:hanging="68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ten (10) Members of the Peace and Security Council elected for a two-year term as of March 2008;</w:t>
      </w:r>
    </w:p>
    <w:tbl>
      <w:tblPr>
        <w:tblOverlap w:val="never"/>
        <w:jc w:val="center"/>
        <w:tblLayout w:type="fixed"/>
      </w:tblPr>
      <w:tblGrid>
        <w:gridCol w:w="254"/>
        <w:gridCol w:w="1776"/>
        <w:gridCol w:w="2069"/>
      </w:tblGrid>
      <w:tr>
        <w:trPr>
          <w:trHeight w:val="6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Burundi Chad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Central Region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Rwanda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Uganda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Eastern Region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Tunisia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 Region</w:t>
            </w:r>
          </w:p>
        </w:tc>
      </w:tr>
      <w:tr>
        <w:trPr>
          <w:trHeight w:val="76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6.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7.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Swaziland Zambia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 Region</w:t>
            </w:r>
          </w:p>
        </w:tc>
      </w:tr>
      <w:tr>
        <w:trPr>
          <w:trHeight w:val="63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8.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9.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Benin Burkina Faso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Western Region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  <w:t>10. Mali</w:t>
      </w:r>
    </w:p>
    <w:sectPr>
      <w:footnotePr>
        <w:pos w:val="pageBottom"/>
        <w:numFmt w:val="decimal"/>
        <w:numRestart w:val="continuous"/>
      </w:footnotePr>
      <w:pgSz w:w="11909" w:h="16840"/>
      <w:pgMar w:top="2466" w:right="1318" w:bottom="4237" w:left="144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Table caption_"/>
    <w:basedOn w:val="DefaultParagraphFont"/>
    <w:link w:val="Styl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CharStyle12">
    <w:name w:val="Other_"/>
    <w:basedOn w:val="DefaultParagraphFont"/>
    <w:link w:val="Style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auto"/>
      <w:spacing w:line="269" w:lineRule="auto"/>
      <w:jc w:val="center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paragraph" w:customStyle="1" w:styleId="Style11">
    <w:name w:val="Other"/>
    <w:basedOn w:val="Normal"/>
    <w:link w:val="CharStyle12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