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SOCIO-ECONOMIC TRANSFORMATION AND INFRASTRUCTURE</w:t>
        <w:br/>
        <w:t>DEVELOPMENT IN AFRICA: ENERGY, RAILWAYS,</w:t>
        <w:br/>
        <w:t>ROADS AND ICT SECTORS - Doc. Assembly/AU/17(XV) Add.4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paper proposed by the Republic of Uganda titled “Socio- Economic Transformation and Infrastructure Development in Africa: Energy (Electricity), Railways, Roads and ICT Sectors”;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EXPRESSES APPRECIATION </w:t>
      </w:r>
      <w:r>
        <w:rPr>
          <w:color w:val="000000"/>
          <w:spacing w:val="0"/>
          <w:w w:val="100"/>
          <w:position w:val="0"/>
          <w:sz w:val="24"/>
          <w:szCs w:val="24"/>
        </w:rPr>
        <w:t>to H.E. President Yoweri Kaguta Museveni for the proposal;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its previous decisions on infrastructure development in Africa, particularly its “Declaration on development of Transport and Energy Infrastructure in Africa” adopted by the 12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 of the African Union on 3 February 2009 in Addis Ababa and “Declaration on ICT in Africa (challenges and prospects)” adopted by the 14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 of the African Union on 2 February 2010 in Addis Ababa;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ongoing programmes in the energy and transport sectors, especially: The Programme on Infrastructure Development in Africa (PIDA), jointly initiated by the AUC, AfDB and NEPAD; and the Trans-African Highway (TAH) programme, launched with the objective of linking africa’s capitals and other commercially important centres of production and consumption;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that effective implementation of the above Declarations, Programmes and other related initiatives will require policy re-orientations and innovative funding mechanisms;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that, in the energy sector, Africa will have to diversify its energy sources to meet the ever increasing gaps in energy production and consumption;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COGNIZANT </w:t>
      </w:r>
      <w:r>
        <w:rPr>
          <w:color w:val="000000"/>
          <w:spacing w:val="0"/>
          <w:w w:val="100"/>
          <w:position w:val="0"/>
          <w:sz w:val="24"/>
          <w:szCs w:val="24"/>
        </w:rPr>
        <w:t>of the fact the development and peaceful use of nuclear energy will be essential in the long run;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40" w:lineRule="auto"/>
        <w:ind w:left="700" w:right="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recommendations in the above mentioned paper and, more in particular, agrees on the following measures: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430" w:val="left"/>
        </w:tabs>
        <w:bidi w:val="0"/>
        <w:spacing w:before="0" w:after="360" w:line="240" w:lineRule="auto"/>
        <w:ind w:left="0" w:right="0" w:firstLine="700"/>
        <w:jc w:val="left"/>
      </w:pPr>
      <w:bookmarkStart w:id="10" w:name="bookmark10"/>
      <w:bookmarkStart w:id="11" w:name="bookmark11"/>
      <w:bookmarkStart w:id="12" w:name="bookmark12"/>
      <w:bookmarkStart w:id="9" w:name="bookmark9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FINANCING</w:t>
      </w:r>
      <w:bookmarkEnd w:id="10"/>
      <w:bookmarkEnd w:id="12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75" w:val="left"/>
        </w:tabs>
        <w:bidi w:val="0"/>
        <w:spacing w:before="0" w:after="300" w:line="271" w:lineRule="auto"/>
        <w:ind w:left="2140" w:right="0" w:hanging="6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Prioritize and ring fence infrastructure funding in national budgets for infrastructure development to enable long term planning and development of projects;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Utilize and promote Public Private partnerships to implement infrastructure projects. This may entail respective Member States to have PPP policy and legal and institutional framework;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Generate funding using infrastructure bonds, and other available modalities, at national, regional and international markets for specific infrastructure projects;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Encourage public companies to float shares to generate revenue from the public which can be used for infrastructure development;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142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Harmonize the financing and execution of cross-border project.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436" w:val="left"/>
        </w:tabs>
        <w:bidi w:val="0"/>
        <w:spacing w:before="0" w:after="300" w:line="276" w:lineRule="auto"/>
        <w:ind w:left="0" w:right="0" w:firstLine="700"/>
        <w:jc w:val="both"/>
      </w:pPr>
      <w:bookmarkStart w:id="18" w:name="bookmark18"/>
      <w:bookmarkStart w:id="19" w:name="bookmark19"/>
      <w:bookmarkStart w:id="20" w:name="bookmark20"/>
      <w:bookmarkStart w:id="21" w:name="bookmark21"/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ENERGY</w:t>
      </w:r>
      <w:bookmarkEnd w:id="18"/>
      <w:bookmarkEnd w:id="19"/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Make electricity infrastructure development a key priority sector in the national development plans;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Realizing that conventional energy sources are not sufficient to meet the growing demand, consider developing our capacity to generate power from non-traditional sources such as renewable and nuclear energy in the long run. This will entail putting in place a sound framework for the purpose;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57" w:val="left"/>
        </w:tabs>
        <w:bidi w:val="0"/>
        <w:spacing w:before="0" w:after="180" w:line="276" w:lineRule="auto"/>
        <w:ind w:left="2140" w:right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Seek support from multilateral and bilateral development partners to make it a priority to support energy development in Africa in order to meet the MDGs and subsequently reduce dependency on them in the long run.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242" w:val="left"/>
        </w:tabs>
        <w:bidi w:val="0"/>
        <w:spacing w:before="0" w:after="300" w:line="276" w:lineRule="auto"/>
        <w:ind w:left="0" w:right="0" w:firstLine="700"/>
        <w:jc w:val="both"/>
      </w:pPr>
      <w:bookmarkStart w:id="25" w:name="bookmark25"/>
      <w:bookmarkStart w:id="26" w:name="bookmark26"/>
      <w:bookmarkStart w:id="27" w:name="bookmark27"/>
      <w:bookmarkStart w:id="28" w:name="bookmark28"/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TRANSPORT</w:t>
      </w:r>
      <w:bookmarkEnd w:id="25"/>
      <w:bookmarkEnd w:id="26"/>
      <w:bookmarkEnd w:id="28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22" w:val="left"/>
        </w:tabs>
        <w:bidi w:val="0"/>
        <w:spacing w:before="0" w:after="0" w:line="276" w:lineRule="auto"/>
        <w:ind w:left="126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z w:val="24"/>
          <w:szCs w:val="24"/>
        </w:rPr>
        <w:t>Include in the national priorities the various regional and continental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interconnection infrastructure network projects and programmes;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57" w:val="left"/>
        </w:tabs>
        <w:bidi w:val="0"/>
        <w:spacing w:before="0" w:after="300" w:line="276" w:lineRule="auto"/>
        <w:ind w:left="2140" w:right="0" w:hanging="88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  <w:sz w:val="24"/>
          <w:szCs w:val="24"/>
        </w:rPr>
        <w:t>Harmonize regulations, standards and executions to promote country-to-region interconnection and efficient operation of networks and market development;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56" w:val="left"/>
        </w:tabs>
        <w:bidi w:val="0"/>
        <w:spacing w:before="0" w:after="320" w:line="276" w:lineRule="auto"/>
        <w:ind w:left="2160" w:right="0" w:hanging="9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  <w:sz w:val="24"/>
          <w:szCs w:val="24"/>
        </w:rPr>
        <w:t>Create appropriate institutional frameworks for development of the major integration projects and carry out the necessary reforms to ensure better operation and maintenance of the projects;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56" w:val="left"/>
        </w:tabs>
        <w:bidi w:val="0"/>
        <w:spacing w:before="0" w:after="320" w:line="264" w:lineRule="auto"/>
        <w:ind w:left="2160" w:right="0" w:hanging="90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  <w:sz w:val="24"/>
          <w:szCs w:val="24"/>
        </w:rPr>
        <w:t>Contribute financially to the NEPAD infrastructure projects preparation facility;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56" w:val="left"/>
        </w:tabs>
        <w:bidi w:val="0"/>
        <w:spacing w:before="0" w:after="320" w:line="276" w:lineRule="auto"/>
        <w:ind w:left="2160" w:right="0" w:hanging="90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  <w:sz w:val="24"/>
          <w:szCs w:val="24"/>
        </w:rPr>
        <w:t>Reduce the cost of construction and maintenance of railway infrastructure by using cheap labour provided by National Armies;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320" w:line="271" w:lineRule="auto"/>
        <w:ind w:left="0" w:right="0" w:firstLine="720"/>
        <w:jc w:val="both"/>
      </w:pPr>
      <w:bookmarkStart w:id="34" w:name="bookmark34"/>
      <w:bookmarkStart w:id="35" w:name="bookmark35"/>
      <w:bookmarkStart w:id="36" w:name="bookmark36"/>
      <w:bookmarkStart w:id="37" w:name="bookmark37"/>
      <w:bookmarkEnd w:id="36"/>
      <w:r>
        <w:rPr>
          <w:color w:val="000000"/>
          <w:spacing w:val="0"/>
          <w:w w:val="100"/>
          <w:position w:val="0"/>
          <w:sz w:val="24"/>
          <w:szCs w:val="24"/>
        </w:rPr>
        <w:t>ICT</w:t>
      </w:r>
      <w:bookmarkEnd w:id="34"/>
      <w:bookmarkEnd w:id="35"/>
      <w:bookmarkEnd w:id="37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6" w:val="left"/>
        </w:tabs>
        <w:bidi w:val="0"/>
        <w:spacing w:before="0" w:after="320" w:line="266" w:lineRule="auto"/>
        <w:ind w:left="2160" w:right="0" w:hanging="7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  <w:sz w:val="24"/>
          <w:szCs w:val="24"/>
        </w:rPr>
        <w:t>Strategic investment in broadband and its integration in national and regional development strategies;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6" w:val="left"/>
        </w:tabs>
        <w:bidi w:val="0"/>
        <w:spacing w:before="0" w:after="320" w:line="271" w:lineRule="auto"/>
        <w:ind w:left="2160" w:right="0" w:hanging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  <w:sz w:val="24"/>
          <w:szCs w:val="24"/>
        </w:rPr>
        <w:t>Establish and operationalise ICT Incubation centres and ICT Parks to harness the economic benefits of increased band width;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6" w:val="left"/>
        </w:tabs>
        <w:bidi w:val="0"/>
        <w:spacing w:before="0" w:after="320" w:line="271" w:lineRule="auto"/>
        <w:ind w:left="2160" w:right="0" w:hanging="7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  <w:sz w:val="24"/>
          <w:szCs w:val="24"/>
        </w:rPr>
        <w:t>Adopt e-government models that have been demonstrated to work elsewhere (Egypt, Kenya, Rwanda, Senegal, South Africa, etc);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6" w:val="left"/>
        </w:tabs>
        <w:bidi w:val="0"/>
        <w:spacing w:before="0" w:after="320" w:line="271" w:lineRule="auto"/>
        <w:ind w:left="2160" w:right="0" w:hanging="72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  <w:sz w:val="24"/>
          <w:szCs w:val="24"/>
        </w:rPr>
        <w:t>Develop regularly frameworks that promote competition and eliminate entry barriers in order to increase competition, reduce prices, and drive growth.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320" w:line="283" w:lineRule="auto"/>
        <w:ind w:right="0" w:hanging="720"/>
        <w:jc w:val="both"/>
      </w:pPr>
      <w:bookmarkStart w:id="42" w:name="bookmark42"/>
      <w:bookmarkEnd w:id="4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of the African Union to integrate the above measures within the Programme for Infrastructure Development in Africa (PIDA).</w:t>
      </w:r>
    </w:p>
    <w:sectPr>
      <w:footnotePr>
        <w:pos w:val="pageBottom"/>
        <w:numFmt w:val="decimal"/>
        <w:numRestart w:val="continuous"/>
      </w:footnotePr>
      <w:pgSz w:w="11909" w:h="16840"/>
      <w:pgMar w:top="1962" w:right="1227" w:bottom="2196" w:left="12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lowerLetter"/>
      <w:lvlText w:val="(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