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APPOINTMENT OF A MEMBER OF THE AFRICAN COMMITTEE OF</w:t>
        <w:br/>
        <w:t>EXPERTS ON THE RIGHTS AND WELFARE OF THE CHILD</w:t>
        <w:br/>
        <w:t>Doc. EX.CL/653(XVIII)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33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23" w:lineRule="auto"/>
        <w:ind w:left="0" w:right="0" w:firstLine="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election conducted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23" w:lineRule="auto"/>
        <w:ind w:left="680" w:right="0" w:hanging="68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appoint the following person as a member of the African Committee of Experts on the Rights and Welfare of the Child for a five (5)-year term, as elected by the Eighteenth Ordinary Session of the Executive Council held in Addis Ababa, Ethiopia:</w:t>
      </w:r>
    </w:p>
    <w:tbl>
      <w:tblPr>
        <w:tblOverlap w:val="never"/>
        <w:jc w:val="right"/>
        <w:tblLayout w:type="fixed"/>
      </w:tblPr>
      <w:tblGrid>
        <w:gridCol w:w="5611"/>
        <w:gridCol w:w="2640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1192" w:val="left"/>
              </w:tabs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  <w:t>Name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Country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Ms. Julia SLOTH-NIELSEN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South Africa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9" w:h="16840"/>
      <w:pgMar w:top="2095" w:right="1336" w:bottom="2095" w:left="1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4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8">
    <w:name w:val="Other_"/>
    <w:basedOn w:val="DefaultParagraphFont"/>
    <w:link w:val="Style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4"/>
    <w:basedOn w:val="Normal"/>
    <w:link w:val="CharStyle6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8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