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147" w:right="0" w:firstLine="0"/>
        <w:jc w:val="left"/>
        <w:rPr>
          <w:i/>
          <w:sz w:val="22"/>
        </w:rPr>
      </w:pPr>
      <w:bookmarkStart w:name="Blank Page" w:id="1"/>
      <w:bookmarkEnd w:id="1"/>
      <w:r>
        <w:rPr/>
      </w:r>
      <w:r>
        <w:rPr>
          <w:i/>
          <w:sz w:val="22"/>
        </w:rPr>
        <w:t>CM/Dec.358</w:t>
      </w:r>
      <w:r>
        <w:rPr>
          <w:i/>
          <w:spacing w:val="32"/>
          <w:sz w:val="22"/>
        </w:rPr>
        <w:t> </w:t>
      </w:r>
      <w:r>
        <w:rPr>
          <w:i/>
          <w:spacing w:val="-2"/>
          <w:sz w:val="22"/>
        </w:rPr>
        <w:t>(LXVI)</w:t>
      </w:r>
    </w:p>
    <w:p>
      <w:pPr>
        <w:pStyle w:val="BodyText"/>
        <w:ind w:left="0"/>
        <w:jc w:val="left"/>
        <w:rPr>
          <w:i/>
          <w:sz w:val="24"/>
        </w:rPr>
      </w:pPr>
    </w:p>
    <w:p>
      <w:pPr>
        <w:pStyle w:val="Title"/>
      </w:pPr>
      <w:r>
        <w:rPr/>
        <w:t>ANGOLA</w:t>
      </w:r>
      <w:r>
        <w:rPr>
          <w:spacing w:val="17"/>
        </w:rPr>
        <w:t> </w:t>
      </w:r>
      <w:r>
        <w:rPr/>
        <w:t>-</w:t>
      </w:r>
      <w:r>
        <w:rPr>
          <w:spacing w:val="17"/>
        </w:rPr>
        <w:t> </w:t>
      </w:r>
      <w:r>
        <w:rPr/>
        <w:t>(DOC.CM/2004</w:t>
      </w:r>
      <w:r>
        <w:rPr>
          <w:spacing w:val="18"/>
        </w:rPr>
        <w:t> </w:t>
      </w:r>
      <w:r>
        <w:rPr/>
        <w:t>(LXVI))</w:t>
      </w:r>
      <w:r>
        <w:rPr>
          <w:spacing w:val="17"/>
        </w:rPr>
        <w:t> </w:t>
      </w:r>
      <w:r>
        <w:rPr/>
        <w:t>-</w:t>
      </w:r>
      <w:r>
        <w:rPr>
          <w:spacing w:val="17"/>
        </w:rPr>
        <w:t> </w:t>
      </w:r>
      <w:r>
        <w:rPr/>
        <w:t>E</w:t>
      </w:r>
      <w:r>
        <w:rPr>
          <w:spacing w:val="12"/>
        </w:rPr>
        <w:t> </w:t>
      </w:r>
      <w:r>
        <w:rPr>
          <w:spacing w:val="-10"/>
        </w:rPr>
        <w:t>–</w:t>
      </w:r>
    </w:p>
    <w:p>
      <w:pPr>
        <w:pStyle w:val="BodyText"/>
        <w:spacing w:before="10"/>
        <w:ind w:left="0"/>
        <w:jc w:val="left"/>
        <w:rPr>
          <w:b/>
          <w:sz w:val="21"/>
        </w:rPr>
      </w:pPr>
    </w:p>
    <w:p>
      <w:pPr>
        <w:pStyle w:val="BodyText"/>
        <w:ind w:left="147"/>
        <w:jc w:val="left"/>
      </w:pPr>
      <w:r>
        <w:rPr>
          <w:spacing w:val="-2"/>
        </w:rPr>
        <w:t>Council:</w:t>
      </w:r>
    </w:p>
    <w:p>
      <w:pPr>
        <w:pStyle w:val="ListParagraph"/>
        <w:numPr>
          <w:ilvl w:val="0"/>
          <w:numId w:val="1"/>
        </w:numPr>
        <w:tabs>
          <w:tab w:pos="719" w:val="left" w:leader="none"/>
        </w:tabs>
        <w:spacing w:line="240" w:lineRule="auto" w:before="184" w:after="0"/>
        <w:ind w:left="718" w:right="0" w:hanging="547"/>
        <w:jc w:val="both"/>
        <w:rPr>
          <w:sz w:val="22"/>
        </w:rPr>
      </w:pPr>
      <w:r>
        <w:rPr>
          <w:sz w:val="22"/>
        </w:rPr>
        <w:t>TAKES</w:t>
      </w:r>
      <w:r>
        <w:rPr>
          <w:spacing w:val="14"/>
          <w:sz w:val="22"/>
        </w:rPr>
        <w:t> </w:t>
      </w:r>
      <w:r>
        <w:rPr>
          <w:sz w:val="22"/>
        </w:rPr>
        <w:t>NOTE</w:t>
      </w:r>
      <w:r>
        <w:rPr>
          <w:spacing w:val="14"/>
          <w:sz w:val="22"/>
        </w:rPr>
        <w:t> </w:t>
      </w:r>
      <w:r>
        <w:rPr>
          <w:sz w:val="22"/>
        </w:rPr>
        <w:t>of</w:t>
      </w:r>
      <w:r>
        <w:rPr>
          <w:spacing w:val="9"/>
          <w:sz w:val="22"/>
        </w:rPr>
        <w:t> </w:t>
      </w:r>
      <w:r>
        <w:rPr>
          <w:sz w:val="22"/>
        </w:rPr>
        <w:t>the</w:t>
      </w:r>
      <w:r>
        <w:rPr>
          <w:spacing w:val="9"/>
          <w:sz w:val="22"/>
        </w:rPr>
        <w:t> </w:t>
      </w:r>
      <w:r>
        <w:rPr>
          <w:sz w:val="22"/>
        </w:rPr>
        <w:t>Report</w:t>
      </w:r>
      <w:r>
        <w:rPr>
          <w:spacing w:val="15"/>
          <w:sz w:val="22"/>
        </w:rPr>
        <w:t> </w:t>
      </w:r>
      <w:r>
        <w:rPr>
          <w:sz w:val="22"/>
        </w:rPr>
        <w:t>of</w:t>
      </w:r>
      <w:r>
        <w:rPr>
          <w:spacing w:val="10"/>
          <w:sz w:val="22"/>
        </w:rPr>
        <w:t> </w:t>
      </w:r>
      <w:r>
        <w:rPr>
          <w:sz w:val="22"/>
        </w:rPr>
        <w:t>the</w:t>
      </w:r>
      <w:r>
        <w:rPr>
          <w:spacing w:val="8"/>
          <w:sz w:val="22"/>
        </w:rPr>
        <w:t> </w:t>
      </w:r>
      <w:r>
        <w:rPr>
          <w:sz w:val="22"/>
        </w:rPr>
        <w:t>Secretary-General</w:t>
      </w:r>
      <w:r>
        <w:rPr>
          <w:spacing w:val="4"/>
          <w:sz w:val="22"/>
        </w:rPr>
        <w:t> </w:t>
      </w:r>
      <w:r>
        <w:rPr>
          <w:sz w:val="22"/>
        </w:rPr>
        <w:t>on</w:t>
      </w:r>
      <w:r>
        <w:rPr>
          <w:spacing w:val="10"/>
          <w:sz w:val="22"/>
        </w:rPr>
        <w:t> </w:t>
      </w:r>
      <w:r>
        <w:rPr>
          <w:sz w:val="22"/>
        </w:rPr>
        <w:t>the</w:t>
      </w:r>
      <w:r>
        <w:rPr>
          <w:spacing w:val="7"/>
          <w:sz w:val="22"/>
        </w:rPr>
        <w:t> </w:t>
      </w:r>
      <w:r>
        <w:rPr>
          <w:sz w:val="22"/>
        </w:rPr>
        <w:t>situation</w:t>
      </w:r>
      <w:r>
        <w:rPr>
          <w:spacing w:val="-2"/>
          <w:sz w:val="22"/>
        </w:rPr>
        <w:t> </w:t>
      </w:r>
      <w:r>
        <w:rPr>
          <w:sz w:val="22"/>
        </w:rPr>
        <w:t>in</w:t>
      </w:r>
      <w:r>
        <w:rPr>
          <w:spacing w:val="1"/>
          <w:sz w:val="22"/>
        </w:rPr>
        <w:t> </w:t>
      </w:r>
      <w:r>
        <w:rPr>
          <w:spacing w:val="-2"/>
          <w:sz w:val="22"/>
        </w:rPr>
        <w:t>Angola;</w:t>
      </w:r>
    </w:p>
    <w:p>
      <w:pPr>
        <w:pStyle w:val="BodyText"/>
        <w:spacing w:before="9"/>
        <w:ind w:left="0"/>
        <w:jc w:val="left"/>
        <w:rPr>
          <w:sz w:val="21"/>
        </w:rPr>
      </w:pPr>
    </w:p>
    <w:p>
      <w:pPr>
        <w:pStyle w:val="ListParagraph"/>
        <w:numPr>
          <w:ilvl w:val="0"/>
          <w:numId w:val="1"/>
        </w:numPr>
        <w:tabs>
          <w:tab w:pos="908" w:val="left" w:leader="none"/>
        </w:tabs>
        <w:spacing w:line="369" w:lineRule="auto" w:before="0" w:after="0"/>
        <w:ind w:left="114" w:right="519" w:firstLine="57"/>
        <w:jc w:val="both"/>
        <w:rPr>
          <w:sz w:val="22"/>
        </w:rPr>
      </w:pPr>
      <w:r>
        <w:rPr>
          <w:sz w:val="22"/>
        </w:rPr>
        <w:t>WELCOMES the formation of the Government of National Unity and Reconciliation (GNUR) and CALLS ON the latter to persevere in its efforts to complete the implementation of the Lusaka Protocol, particularly as regards the application of the principle of extending the</w:t>
      </w:r>
      <w:r>
        <w:rPr>
          <w:spacing w:val="40"/>
          <w:sz w:val="22"/>
        </w:rPr>
        <w:t> </w:t>
      </w:r>
      <w:r>
        <w:rPr>
          <w:sz w:val="22"/>
        </w:rPr>
        <w:t>administration and authority of the State to cover the entire territory;</w:t>
      </w:r>
    </w:p>
    <w:p>
      <w:pPr>
        <w:pStyle w:val="ListParagraph"/>
        <w:numPr>
          <w:ilvl w:val="0"/>
          <w:numId w:val="1"/>
        </w:numPr>
        <w:tabs>
          <w:tab w:pos="766" w:val="left" w:leader="none"/>
        </w:tabs>
        <w:spacing w:line="364" w:lineRule="auto" w:before="112" w:after="0"/>
        <w:ind w:left="114" w:right="539" w:hanging="1"/>
        <w:jc w:val="both"/>
        <w:rPr>
          <w:sz w:val="22"/>
        </w:rPr>
      </w:pPr>
      <w:r>
        <w:rPr>
          <w:sz w:val="22"/>
        </w:rPr>
        <w:t>RECOGNIZES the urgent need for a well-organized demobilization and reintegration of former combatants in the socio-economic life of the country;</w:t>
      </w:r>
    </w:p>
    <w:p>
      <w:pPr>
        <w:pStyle w:val="ListParagraph"/>
        <w:numPr>
          <w:ilvl w:val="0"/>
          <w:numId w:val="1"/>
        </w:numPr>
        <w:tabs>
          <w:tab w:pos="666" w:val="left" w:leader="none"/>
        </w:tabs>
        <w:spacing w:line="369" w:lineRule="auto" w:before="119" w:after="0"/>
        <w:ind w:left="114" w:right="543" w:firstLine="0"/>
        <w:jc w:val="both"/>
        <w:rPr>
          <w:sz w:val="22"/>
        </w:rPr>
      </w:pPr>
      <w:r>
        <w:rPr>
          <w:sz w:val="22"/>
        </w:rPr>
        <w:t>URGES UNITA to continue to cooperate in good faith with the Government and the United Nations in the implementation of the Lusaka Protocol;</w:t>
      </w:r>
    </w:p>
    <w:p>
      <w:pPr>
        <w:pStyle w:val="ListParagraph"/>
        <w:numPr>
          <w:ilvl w:val="0"/>
          <w:numId w:val="1"/>
        </w:numPr>
        <w:tabs>
          <w:tab w:pos="680" w:val="left" w:leader="none"/>
        </w:tabs>
        <w:spacing w:line="369" w:lineRule="auto" w:before="114" w:after="0"/>
        <w:ind w:left="114" w:right="533" w:firstLine="0"/>
        <w:jc w:val="both"/>
        <w:rPr>
          <w:sz w:val="22"/>
        </w:rPr>
      </w:pPr>
      <w:r>
        <w:rPr>
          <w:sz w:val="22"/>
        </w:rPr>
        <w:t>RENEWS ITS APPEAL to the International Community to continue to provide humanitarian assistance to the population and to honour the promise made at the Brussels Round Table on the economic reconstruction of Angola;</w:t>
      </w:r>
    </w:p>
    <w:p>
      <w:pPr>
        <w:pStyle w:val="ListParagraph"/>
        <w:numPr>
          <w:ilvl w:val="0"/>
          <w:numId w:val="1"/>
        </w:numPr>
        <w:tabs>
          <w:tab w:pos="702" w:val="left" w:leader="none"/>
        </w:tabs>
        <w:spacing w:line="369" w:lineRule="auto" w:before="108" w:after="0"/>
        <w:ind w:left="114" w:right="537" w:firstLine="0"/>
        <w:jc w:val="both"/>
        <w:rPr>
          <w:sz w:val="22"/>
        </w:rPr>
      </w:pPr>
      <w:r>
        <w:rPr>
          <w:sz w:val="22"/>
        </w:rPr>
        <w:t>COMMENDS the UN Secretary-General, his Special Representative in Angola, Mr. Alioune Blondin Beye and the OAU Secretary-General for their efforts aimed at facilitating the implementation of the Lusaka Protocol;</w:t>
      </w:r>
    </w:p>
    <w:p>
      <w:pPr>
        <w:pStyle w:val="ListParagraph"/>
        <w:numPr>
          <w:ilvl w:val="0"/>
          <w:numId w:val="1"/>
        </w:numPr>
        <w:tabs>
          <w:tab w:pos="766" w:val="left" w:leader="none"/>
        </w:tabs>
        <w:spacing w:line="369" w:lineRule="auto" w:before="113" w:after="0"/>
        <w:ind w:left="114" w:right="558" w:firstLine="0"/>
        <w:jc w:val="both"/>
        <w:rPr>
          <w:sz w:val="22"/>
        </w:rPr>
      </w:pPr>
      <w:r>
        <w:rPr>
          <w:sz w:val="22"/>
        </w:rPr>
        <w:t>REQUESTS the Secretary-General to closely monitor the situation in Angola and submit a report thereon to the next Session of Council.</w:t>
      </w:r>
    </w:p>
    <w:sectPr>
      <w:type w:val="continuous"/>
      <w:pgSz w:w="12240" w:h="15840"/>
      <w:pgMar w:top="60" w:bottom="280" w:left="8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18" w:hanging="547"/>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1616" w:hanging="547"/>
      </w:pPr>
      <w:rPr>
        <w:rFonts w:hint="default"/>
        <w:lang w:val="en-US" w:eastAsia="en-US" w:bidi="ar-SA"/>
      </w:rPr>
    </w:lvl>
    <w:lvl w:ilvl="2">
      <w:start w:val="0"/>
      <w:numFmt w:val="bullet"/>
      <w:lvlText w:val="•"/>
      <w:lvlJc w:val="left"/>
      <w:pPr>
        <w:ind w:left="2512" w:hanging="547"/>
      </w:pPr>
      <w:rPr>
        <w:rFonts w:hint="default"/>
        <w:lang w:val="en-US" w:eastAsia="en-US" w:bidi="ar-SA"/>
      </w:rPr>
    </w:lvl>
    <w:lvl w:ilvl="3">
      <w:start w:val="0"/>
      <w:numFmt w:val="bullet"/>
      <w:lvlText w:val="•"/>
      <w:lvlJc w:val="left"/>
      <w:pPr>
        <w:ind w:left="3408" w:hanging="547"/>
      </w:pPr>
      <w:rPr>
        <w:rFonts w:hint="default"/>
        <w:lang w:val="en-US" w:eastAsia="en-US" w:bidi="ar-SA"/>
      </w:rPr>
    </w:lvl>
    <w:lvl w:ilvl="4">
      <w:start w:val="0"/>
      <w:numFmt w:val="bullet"/>
      <w:lvlText w:val="•"/>
      <w:lvlJc w:val="left"/>
      <w:pPr>
        <w:ind w:left="4304" w:hanging="547"/>
      </w:pPr>
      <w:rPr>
        <w:rFonts w:hint="default"/>
        <w:lang w:val="en-US" w:eastAsia="en-US" w:bidi="ar-SA"/>
      </w:rPr>
    </w:lvl>
    <w:lvl w:ilvl="5">
      <w:start w:val="0"/>
      <w:numFmt w:val="bullet"/>
      <w:lvlText w:val="•"/>
      <w:lvlJc w:val="left"/>
      <w:pPr>
        <w:ind w:left="5200" w:hanging="547"/>
      </w:pPr>
      <w:rPr>
        <w:rFonts w:hint="default"/>
        <w:lang w:val="en-US" w:eastAsia="en-US" w:bidi="ar-SA"/>
      </w:rPr>
    </w:lvl>
    <w:lvl w:ilvl="6">
      <w:start w:val="0"/>
      <w:numFmt w:val="bullet"/>
      <w:lvlText w:val="•"/>
      <w:lvlJc w:val="left"/>
      <w:pPr>
        <w:ind w:left="6096" w:hanging="547"/>
      </w:pPr>
      <w:rPr>
        <w:rFonts w:hint="default"/>
        <w:lang w:val="en-US" w:eastAsia="en-US" w:bidi="ar-SA"/>
      </w:rPr>
    </w:lvl>
    <w:lvl w:ilvl="7">
      <w:start w:val="0"/>
      <w:numFmt w:val="bullet"/>
      <w:lvlText w:val="•"/>
      <w:lvlJc w:val="left"/>
      <w:pPr>
        <w:ind w:left="6992" w:hanging="547"/>
      </w:pPr>
      <w:rPr>
        <w:rFonts w:hint="default"/>
        <w:lang w:val="en-US" w:eastAsia="en-US" w:bidi="ar-SA"/>
      </w:rPr>
    </w:lvl>
    <w:lvl w:ilvl="8">
      <w:start w:val="0"/>
      <w:numFmt w:val="bullet"/>
      <w:lvlText w:val="•"/>
      <w:lvlJc w:val="left"/>
      <w:pPr>
        <w:ind w:left="7888" w:hanging="54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4"/>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3"/>
      <w:ind w:left="147"/>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4"/>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2023-04-07T14:20:26Z</dcterms:created>
  <dcterms:modified xsi:type="dcterms:W3CDTF">2023-04-07T14:20:26Z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Acrobat Pro 2020 20.5.30418</vt:lpwstr>
  </property>
  <property fmtid="{D5CDD505-2E9C-101B-9397-08002B2CF9AE}" pid="4" name="LastSaved">
    <vt:filetime>2023-04-07T00:00:00Z</vt:filetime>
  </property>
  <property fmtid="{D5CDD505-2E9C-101B-9397-08002B2CF9AE}" pid="5" name="Producer">
    <vt:lpwstr>Adobe Acrobat Pro 2020 20.5.30418</vt:lpwstr>
  </property>
</Properties>
</file>