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4"/>
        <w:jc w:val="left"/>
      </w:pPr>
      <w:r>
        <w:rPr/>
        <w:t>CM/Dec.537</w:t>
      </w:r>
      <w:r>
        <w:rPr>
          <w:spacing w:val="16"/>
        </w:rPr>
        <w:t> </w:t>
      </w:r>
      <w:r>
        <w:rPr/>
        <w:t>(LXXII)</w:t>
      </w:r>
      <w:r>
        <w:rPr>
          <w:spacing w:val="16"/>
        </w:rPr>
        <w:t> </w:t>
      </w:r>
      <w:r>
        <w:rPr>
          <w:spacing w:val="-4"/>
        </w:rPr>
        <w:t>Rev.1</w:t>
      </w:r>
    </w:p>
    <w:p>
      <w:pPr>
        <w:pStyle w:val="BodyText"/>
        <w:spacing w:before="9"/>
        <w:ind w:left="0"/>
        <w:jc w:val="left"/>
        <w:rPr>
          <w:sz w:val="31"/>
        </w:rPr>
      </w:pPr>
    </w:p>
    <w:p>
      <w:pPr>
        <w:pStyle w:val="Title"/>
      </w:pPr>
      <w:r>
        <w:rPr/>
        <w:t>DECISION</w:t>
      </w:r>
      <w:r>
        <w:rPr>
          <w:spacing w:val="17"/>
        </w:rPr>
        <w:t> </w:t>
      </w:r>
      <w:r>
        <w:rPr/>
        <w:t>ON</w:t>
      </w:r>
      <w:r>
        <w:rPr>
          <w:spacing w:val="17"/>
        </w:rPr>
        <w:t> </w:t>
      </w:r>
      <w:r>
        <w:rPr/>
        <w:t>AFRO-ARAB</w:t>
      </w:r>
      <w:r>
        <w:rPr>
          <w:spacing w:val="16"/>
        </w:rPr>
        <w:t> </w:t>
      </w:r>
      <w:r>
        <w:rPr/>
        <w:t>COOPERATION</w:t>
      </w:r>
      <w:r>
        <w:rPr>
          <w:spacing w:val="16"/>
        </w:rPr>
        <w:t> </w:t>
      </w:r>
      <w:r>
        <w:rPr/>
        <w:t>CM/2158</w:t>
      </w:r>
      <w:r>
        <w:rPr>
          <w:spacing w:val="18"/>
        </w:rPr>
        <w:t> </w:t>
      </w:r>
      <w:r>
        <w:rPr>
          <w:spacing w:val="-2"/>
        </w:rPr>
        <w:t>(LXXII)</w:t>
      </w:r>
    </w:p>
    <w:p>
      <w:pPr>
        <w:pStyle w:val="BodyText"/>
        <w:spacing w:before="0"/>
        <w:ind w:left="0"/>
        <w:jc w:val="left"/>
        <w:rPr>
          <w:b/>
          <w:sz w:val="21"/>
        </w:rPr>
      </w:pPr>
    </w:p>
    <w:p>
      <w:pPr>
        <w:pStyle w:val="BodyText"/>
        <w:spacing w:before="0"/>
        <w:jc w:val="left"/>
      </w:pPr>
      <w:r>
        <w:rPr>
          <w:spacing w:val="-2"/>
        </w:rPr>
        <w:t>Council:</w:t>
      </w:r>
    </w:p>
    <w:p>
      <w:pPr>
        <w:pStyle w:val="ListParagraph"/>
        <w:numPr>
          <w:ilvl w:val="0"/>
          <w:numId w:val="1"/>
        </w:numPr>
        <w:tabs>
          <w:tab w:pos="411" w:val="left" w:leader="none"/>
        </w:tabs>
        <w:spacing w:line="240" w:lineRule="auto" w:before="194" w:after="0"/>
        <w:ind w:left="410" w:right="0" w:hanging="231"/>
        <w:jc w:val="both"/>
        <w:rPr>
          <w:sz w:val="22"/>
        </w:rPr>
      </w:pPr>
      <w:r>
        <w:rPr>
          <w:sz w:val="22"/>
        </w:rPr>
        <w:t>TAKES</w:t>
      </w:r>
      <w:r>
        <w:rPr>
          <w:spacing w:val="10"/>
          <w:sz w:val="22"/>
        </w:rPr>
        <w:t> </w:t>
      </w:r>
      <w:r>
        <w:rPr>
          <w:sz w:val="22"/>
        </w:rPr>
        <w:t>NOTE</w:t>
      </w:r>
      <w:r>
        <w:rPr>
          <w:spacing w:val="12"/>
          <w:sz w:val="22"/>
        </w:rPr>
        <w:t> </w:t>
      </w:r>
      <w:r>
        <w:rPr>
          <w:sz w:val="22"/>
        </w:rPr>
        <w:t>of</w:t>
      </w:r>
      <w:r>
        <w:rPr>
          <w:spacing w:val="11"/>
          <w:sz w:val="22"/>
        </w:rPr>
        <w:t> </w:t>
      </w:r>
      <w:r>
        <w:rPr>
          <w:sz w:val="22"/>
        </w:rPr>
        <w:t>the</w:t>
      </w:r>
      <w:r>
        <w:rPr>
          <w:spacing w:val="10"/>
          <w:sz w:val="22"/>
        </w:rPr>
        <w:t> </w:t>
      </w:r>
      <w:r>
        <w:rPr>
          <w:sz w:val="22"/>
        </w:rPr>
        <w:t>Report</w:t>
      </w:r>
      <w:r>
        <w:rPr>
          <w:spacing w:val="11"/>
          <w:sz w:val="22"/>
        </w:rPr>
        <w:t> </w:t>
      </w:r>
      <w:r>
        <w:rPr>
          <w:sz w:val="22"/>
        </w:rPr>
        <w:t>of</w:t>
      </w:r>
      <w:r>
        <w:rPr>
          <w:spacing w:val="11"/>
          <w:sz w:val="22"/>
        </w:rPr>
        <w:t> </w:t>
      </w:r>
      <w:r>
        <w:rPr>
          <w:sz w:val="22"/>
        </w:rPr>
        <w:t>the</w:t>
      </w:r>
      <w:r>
        <w:rPr>
          <w:spacing w:val="10"/>
          <w:sz w:val="22"/>
        </w:rPr>
        <w:t> </w:t>
      </w:r>
      <w:r>
        <w:rPr>
          <w:sz w:val="22"/>
        </w:rPr>
        <w:t>Secretary-General</w:t>
      </w:r>
      <w:r>
        <w:rPr>
          <w:spacing w:val="11"/>
          <w:sz w:val="22"/>
        </w:rPr>
        <w:t> </w:t>
      </w:r>
      <w:r>
        <w:rPr>
          <w:sz w:val="22"/>
        </w:rPr>
        <w:t>on</w:t>
      </w:r>
      <w:r>
        <w:rPr>
          <w:spacing w:val="11"/>
          <w:sz w:val="22"/>
        </w:rPr>
        <w:t> </w:t>
      </w:r>
      <w:r>
        <w:rPr>
          <w:sz w:val="22"/>
        </w:rPr>
        <w:t>the</w:t>
      </w:r>
      <w:r>
        <w:rPr>
          <w:spacing w:val="10"/>
          <w:sz w:val="22"/>
        </w:rPr>
        <w:t> </w:t>
      </w:r>
      <w:r>
        <w:rPr>
          <w:sz w:val="22"/>
        </w:rPr>
        <w:t>Afro-Arab</w:t>
      </w:r>
      <w:r>
        <w:rPr>
          <w:spacing w:val="11"/>
          <w:sz w:val="22"/>
        </w:rPr>
        <w:t> </w:t>
      </w:r>
      <w:r>
        <w:rPr>
          <w:spacing w:val="-2"/>
          <w:sz w:val="22"/>
        </w:rPr>
        <w:t>Cooperation;</w:t>
      </w: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364" w:lineRule="auto" w:before="198" w:after="0"/>
        <w:ind w:left="180" w:right="141" w:firstLine="0"/>
        <w:jc w:val="both"/>
        <w:rPr>
          <w:sz w:val="22"/>
        </w:rPr>
      </w:pPr>
      <w:r>
        <w:rPr>
          <w:sz w:val="22"/>
        </w:rPr>
        <w:t>NOTES WITH GRAVE CONCERN the non-convening of the meetings of the policy</w:t>
      </w:r>
      <w:r>
        <w:rPr>
          <w:spacing w:val="40"/>
          <w:sz w:val="22"/>
        </w:rPr>
        <w:t> </w:t>
      </w:r>
      <w:r>
        <w:rPr>
          <w:spacing w:val="-2"/>
          <w:sz w:val="22"/>
        </w:rPr>
        <w:t>organs;</w:t>
      </w:r>
    </w:p>
    <w:p>
      <w:pPr>
        <w:pStyle w:val="ListParagraph"/>
        <w:numPr>
          <w:ilvl w:val="0"/>
          <w:numId w:val="1"/>
        </w:numPr>
        <w:tabs>
          <w:tab w:pos="422" w:val="left" w:leader="none"/>
        </w:tabs>
        <w:spacing w:line="364" w:lineRule="auto" w:before="66" w:after="0"/>
        <w:ind w:left="180" w:right="137" w:firstLine="0"/>
        <w:jc w:val="both"/>
        <w:rPr>
          <w:sz w:val="22"/>
        </w:rPr>
      </w:pPr>
      <w:r>
        <w:rPr>
          <w:sz w:val="22"/>
        </w:rPr>
        <w:t>CALLS ON the African and Arab Member States to reactivate, revitalize and revive Afro- Arab Cooperation in the economic, social and cultural fields;</w:t>
      </w:r>
    </w:p>
    <w:p>
      <w:pPr>
        <w:pStyle w:val="ListParagraph"/>
        <w:numPr>
          <w:ilvl w:val="0"/>
          <w:numId w:val="1"/>
        </w:numPr>
        <w:tabs>
          <w:tab w:pos="445" w:val="left" w:leader="none"/>
        </w:tabs>
        <w:spacing w:line="364" w:lineRule="auto" w:before="66" w:after="0"/>
        <w:ind w:left="180" w:right="138" w:firstLine="0"/>
        <w:jc w:val="both"/>
        <w:rPr>
          <w:sz w:val="22"/>
        </w:rPr>
      </w:pPr>
      <w:r>
        <w:rPr>
          <w:sz w:val="22"/>
        </w:rPr>
        <w:t>REQUESTS the Secretary-General to pursue contacts with the Secretary-General of the League of Arab States with a view to convening the meetings of the Coordinating Committee and of the Standing Commission as early as possible;</w:t>
      </w:r>
    </w:p>
    <w:p>
      <w:pPr>
        <w:pStyle w:val="ListParagraph"/>
        <w:numPr>
          <w:ilvl w:val="0"/>
          <w:numId w:val="1"/>
        </w:numPr>
        <w:tabs>
          <w:tab w:pos="465" w:val="left" w:leader="none"/>
        </w:tabs>
        <w:spacing w:line="369" w:lineRule="auto" w:before="66" w:after="0"/>
        <w:ind w:left="180" w:right="144" w:firstLine="0"/>
        <w:jc w:val="both"/>
        <w:rPr>
          <w:sz w:val="22"/>
        </w:rPr>
      </w:pPr>
      <w:r>
        <w:rPr>
          <w:sz w:val="22"/>
        </w:rPr>
        <w:t>URGES the General Secretariat to study and take concrete actions to implement the recommendations</w:t>
      </w:r>
      <w:r>
        <w:rPr>
          <w:spacing w:val="40"/>
          <w:sz w:val="22"/>
        </w:rPr>
        <w:t> </w:t>
      </w:r>
      <w:r>
        <w:rPr>
          <w:sz w:val="22"/>
        </w:rPr>
        <w:t>contained</w:t>
      </w:r>
      <w:r>
        <w:rPr>
          <w:spacing w:val="40"/>
          <w:sz w:val="22"/>
        </w:rPr>
        <w:t> </w:t>
      </w:r>
      <w:r>
        <w:rPr>
          <w:sz w:val="22"/>
        </w:rPr>
        <w:t>in</w:t>
      </w:r>
      <w:r>
        <w:rPr>
          <w:spacing w:val="40"/>
          <w:sz w:val="22"/>
        </w:rPr>
        <w:t> </w:t>
      </w:r>
      <w:r>
        <w:rPr>
          <w:sz w:val="22"/>
        </w:rPr>
        <w:t>Memorandum</w:t>
      </w:r>
      <w:r>
        <w:rPr>
          <w:spacing w:val="40"/>
          <w:sz w:val="22"/>
        </w:rPr>
        <w:t> </w:t>
      </w:r>
      <w:r>
        <w:rPr>
          <w:sz w:val="22"/>
        </w:rPr>
        <w:t>CM/Info</w:t>
      </w:r>
      <w:r>
        <w:rPr>
          <w:spacing w:val="40"/>
          <w:sz w:val="22"/>
        </w:rPr>
        <w:t> </w:t>
      </w:r>
      <w:r>
        <w:rPr>
          <w:sz w:val="22"/>
        </w:rPr>
        <w:t>(Egypt)</w:t>
      </w:r>
      <w:r>
        <w:rPr>
          <w:spacing w:val="40"/>
          <w:sz w:val="22"/>
        </w:rPr>
        <w:t> </w:t>
      </w:r>
      <w:r>
        <w:rPr>
          <w:sz w:val="22"/>
        </w:rPr>
        <w:t>presented</w:t>
      </w:r>
      <w:r>
        <w:rPr>
          <w:spacing w:val="40"/>
          <w:sz w:val="22"/>
        </w:rPr>
        <w:t> </w:t>
      </w:r>
      <w:r>
        <w:rPr>
          <w:sz w:val="22"/>
        </w:rPr>
        <w:t>by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Arab Republic of Egypt and endorsed by the Seventieth Ordinary Session of the Council of</w:t>
      </w:r>
      <w:r>
        <w:rPr>
          <w:spacing w:val="40"/>
          <w:sz w:val="22"/>
        </w:rPr>
        <w:t> </w:t>
      </w:r>
      <w:r>
        <w:rPr>
          <w:sz w:val="22"/>
        </w:rPr>
        <w:t>Ministers, and to present a report to the Seventy-third Ordinary Session of the Council of </w:t>
      </w:r>
      <w:r>
        <w:rPr>
          <w:spacing w:val="-2"/>
          <w:sz w:val="22"/>
        </w:rPr>
        <w:t>Ministers;</w:t>
      </w:r>
    </w:p>
    <w:p>
      <w:pPr>
        <w:pStyle w:val="ListParagraph"/>
        <w:numPr>
          <w:ilvl w:val="0"/>
          <w:numId w:val="1"/>
        </w:numPr>
        <w:tabs>
          <w:tab w:pos="449" w:val="left" w:leader="none"/>
        </w:tabs>
        <w:spacing w:line="367" w:lineRule="auto" w:before="58" w:after="0"/>
        <w:ind w:left="180" w:right="130" w:firstLine="0"/>
        <w:jc w:val="both"/>
        <w:rPr>
          <w:sz w:val="22"/>
        </w:rPr>
      </w:pPr>
      <w:r>
        <w:rPr>
          <w:sz w:val="22"/>
        </w:rPr>
        <w:t>FURTHER</w:t>
      </w:r>
      <w:r>
        <w:rPr>
          <w:spacing w:val="40"/>
          <w:sz w:val="22"/>
        </w:rPr>
        <w:t> </w:t>
      </w:r>
      <w:r>
        <w:rPr>
          <w:sz w:val="22"/>
        </w:rPr>
        <w:t>REQUESTS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Secretary-General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review,</w:t>
      </w:r>
      <w:r>
        <w:rPr>
          <w:spacing w:val="40"/>
          <w:sz w:val="22"/>
        </w:rPr>
        <w:t> </w:t>
      </w:r>
      <w:r>
        <w:rPr>
          <w:sz w:val="22"/>
        </w:rPr>
        <w:t>with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Secretary-General</w:t>
      </w:r>
      <w:r>
        <w:rPr>
          <w:spacing w:val="40"/>
          <w:sz w:val="22"/>
        </w:rPr>
        <w:t> </w:t>
      </w:r>
      <w:r>
        <w:rPr>
          <w:sz w:val="22"/>
        </w:rPr>
        <w:t>of the</w:t>
      </w:r>
      <w:r>
        <w:rPr>
          <w:spacing w:val="38"/>
          <w:sz w:val="22"/>
        </w:rPr>
        <w:t> </w:t>
      </w:r>
      <w:r>
        <w:rPr>
          <w:sz w:val="22"/>
        </w:rPr>
        <w:t>League</w:t>
      </w:r>
      <w:r>
        <w:rPr>
          <w:spacing w:val="39"/>
          <w:sz w:val="22"/>
        </w:rPr>
        <w:t> </w:t>
      </w:r>
      <w:r>
        <w:rPr>
          <w:sz w:val="22"/>
        </w:rPr>
        <w:t>of</w:t>
      </w:r>
      <w:r>
        <w:rPr>
          <w:spacing w:val="38"/>
          <w:sz w:val="22"/>
        </w:rPr>
        <w:t> </w:t>
      </w:r>
      <w:r>
        <w:rPr>
          <w:sz w:val="22"/>
        </w:rPr>
        <w:t>Arab</w:t>
      </w:r>
      <w:r>
        <w:rPr>
          <w:spacing w:val="39"/>
          <w:sz w:val="22"/>
        </w:rPr>
        <w:t> </w:t>
      </w:r>
      <w:r>
        <w:rPr>
          <w:sz w:val="22"/>
        </w:rPr>
        <w:t>States,</w:t>
      </w:r>
      <w:r>
        <w:rPr>
          <w:spacing w:val="39"/>
          <w:sz w:val="22"/>
        </w:rPr>
        <w:t> </w:t>
      </w:r>
      <w:r>
        <w:rPr>
          <w:sz w:val="22"/>
        </w:rPr>
        <w:t>the</w:t>
      </w:r>
      <w:r>
        <w:rPr>
          <w:spacing w:val="39"/>
          <w:sz w:val="22"/>
        </w:rPr>
        <w:t> </w:t>
      </w:r>
      <w:r>
        <w:rPr>
          <w:sz w:val="22"/>
        </w:rPr>
        <w:t>possibility</w:t>
      </w:r>
      <w:r>
        <w:rPr>
          <w:spacing w:val="38"/>
          <w:sz w:val="22"/>
        </w:rPr>
        <w:t> </w:t>
      </w:r>
      <w:r>
        <w:rPr>
          <w:sz w:val="22"/>
        </w:rPr>
        <w:t>of</w:t>
      </w:r>
      <w:r>
        <w:rPr>
          <w:spacing w:val="38"/>
          <w:sz w:val="22"/>
        </w:rPr>
        <w:t> </w:t>
      </w:r>
      <w:r>
        <w:rPr>
          <w:sz w:val="22"/>
        </w:rPr>
        <w:t>drawing</w:t>
      </w:r>
      <w:r>
        <w:rPr>
          <w:spacing w:val="38"/>
          <w:sz w:val="22"/>
        </w:rPr>
        <w:t> </w:t>
      </w:r>
      <w:r>
        <w:rPr>
          <w:sz w:val="22"/>
        </w:rPr>
        <w:t>up</w:t>
      </w:r>
      <w:r>
        <w:rPr>
          <w:spacing w:val="39"/>
          <w:sz w:val="22"/>
        </w:rPr>
        <w:t> </w:t>
      </w:r>
      <w:r>
        <w:rPr>
          <w:sz w:val="22"/>
        </w:rPr>
        <w:t>a</w:t>
      </w:r>
      <w:r>
        <w:rPr>
          <w:spacing w:val="38"/>
          <w:sz w:val="22"/>
        </w:rPr>
        <w:t> </w:t>
      </w:r>
      <w:r>
        <w:rPr>
          <w:sz w:val="22"/>
        </w:rPr>
        <w:t>new</w:t>
      </w:r>
      <w:r>
        <w:rPr>
          <w:spacing w:val="39"/>
          <w:sz w:val="22"/>
        </w:rPr>
        <w:t> </w:t>
      </w:r>
      <w:r>
        <w:rPr>
          <w:sz w:val="22"/>
        </w:rPr>
        <w:t>programme</w:t>
      </w:r>
      <w:r>
        <w:rPr>
          <w:spacing w:val="39"/>
          <w:sz w:val="22"/>
        </w:rPr>
        <w:t> </w:t>
      </w:r>
      <w:r>
        <w:rPr>
          <w:sz w:val="22"/>
        </w:rPr>
        <w:t>of</w:t>
      </w:r>
      <w:r>
        <w:rPr>
          <w:spacing w:val="38"/>
          <w:sz w:val="22"/>
        </w:rPr>
        <w:t> </w:t>
      </w:r>
      <w:r>
        <w:rPr>
          <w:sz w:val="22"/>
        </w:rPr>
        <w:t>cooperation that takes account of the new orientations of the two entities and explore other areas of </w:t>
      </w:r>
      <w:r>
        <w:rPr>
          <w:spacing w:val="-2"/>
          <w:sz w:val="22"/>
        </w:rPr>
        <w:t>cooperation;</w:t>
      </w:r>
    </w:p>
    <w:p>
      <w:pPr>
        <w:pStyle w:val="ListParagraph"/>
        <w:numPr>
          <w:ilvl w:val="0"/>
          <w:numId w:val="1"/>
        </w:numPr>
        <w:tabs>
          <w:tab w:pos="454" w:val="left" w:leader="none"/>
        </w:tabs>
        <w:spacing w:line="369" w:lineRule="auto" w:before="60" w:after="0"/>
        <w:ind w:left="180" w:right="140" w:firstLine="0"/>
        <w:jc w:val="both"/>
        <w:rPr>
          <w:sz w:val="22"/>
        </w:rPr>
      </w:pPr>
      <w:r>
        <w:rPr>
          <w:sz w:val="22"/>
        </w:rPr>
        <w:t>WELCOMES the offer by the Government of Algeria to host the 12th Session of the Standing Commission of Afro-Arab Cooperation;</w:t>
      </w:r>
    </w:p>
    <w:p>
      <w:pPr>
        <w:pStyle w:val="ListParagraph"/>
        <w:numPr>
          <w:ilvl w:val="0"/>
          <w:numId w:val="1"/>
        </w:numPr>
        <w:tabs>
          <w:tab w:pos="514" w:val="left" w:leader="none"/>
        </w:tabs>
        <w:spacing w:line="369" w:lineRule="auto" w:before="56" w:after="0"/>
        <w:ind w:left="180" w:right="152" w:firstLine="0"/>
        <w:jc w:val="both"/>
        <w:rPr>
          <w:sz w:val="22"/>
        </w:rPr>
      </w:pPr>
      <w:r>
        <w:rPr>
          <w:sz w:val="22"/>
        </w:rPr>
        <w:t>THANKS the Lebanese Government for the excellent facilities provided for the organization of the Fifth Afro-Arab Trade Fair;</w:t>
      </w:r>
    </w:p>
    <w:p>
      <w:pPr>
        <w:pStyle w:val="ListParagraph"/>
        <w:numPr>
          <w:ilvl w:val="0"/>
          <w:numId w:val="1"/>
        </w:numPr>
        <w:tabs>
          <w:tab w:pos="457" w:val="left" w:leader="none"/>
        </w:tabs>
        <w:spacing w:line="369" w:lineRule="auto" w:before="56" w:after="0"/>
        <w:ind w:left="180" w:right="135" w:firstLine="0"/>
        <w:jc w:val="both"/>
        <w:rPr>
          <w:sz w:val="22"/>
        </w:rPr>
      </w:pPr>
      <w:r>
        <w:rPr>
          <w:sz w:val="22"/>
        </w:rPr>
        <w:t>INVITES</w:t>
      </w:r>
      <w:r>
        <w:rPr>
          <w:spacing w:val="40"/>
          <w:sz w:val="22"/>
        </w:rPr>
        <w:t> </w:t>
      </w:r>
      <w:r>
        <w:rPr>
          <w:sz w:val="22"/>
        </w:rPr>
        <w:t>all</w:t>
      </w:r>
      <w:r>
        <w:rPr>
          <w:spacing w:val="40"/>
          <w:sz w:val="22"/>
        </w:rPr>
        <w:t> </w:t>
      </w:r>
      <w:r>
        <w:rPr>
          <w:sz w:val="22"/>
        </w:rPr>
        <w:t>Member</w:t>
      </w:r>
      <w:r>
        <w:rPr>
          <w:spacing w:val="40"/>
          <w:sz w:val="22"/>
        </w:rPr>
        <w:t> </w:t>
      </w:r>
      <w:r>
        <w:rPr>
          <w:sz w:val="22"/>
        </w:rPr>
        <w:t>States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participate</w:t>
      </w:r>
      <w:r>
        <w:rPr>
          <w:spacing w:val="40"/>
          <w:sz w:val="22"/>
        </w:rPr>
        <w:t> </w:t>
      </w:r>
      <w:r>
        <w:rPr>
          <w:sz w:val="22"/>
        </w:rPr>
        <w:t>fully</w:t>
      </w:r>
      <w:r>
        <w:rPr>
          <w:spacing w:val="40"/>
          <w:sz w:val="22"/>
        </w:rPr>
        <w:t> </w:t>
      </w:r>
      <w:r>
        <w:rPr>
          <w:sz w:val="22"/>
        </w:rPr>
        <w:t>and</w:t>
      </w:r>
      <w:r>
        <w:rPr>
          <w:spacing w:val="40"/>
          <w:sz w:val="22"/>
        </w:rPr>
        <w:t> </w:t>
      </w:r>
      <w:r>
        <w:rPr>
          <w:sz w:val="22"/>
        </w:rPr>
        <w:t>effectively in the Fifth Afro-Arab Trade Fair.</w:t>
      </w:r>
    </w:p>
    <w:sectPr>
      <w:type w:val="continuous"/>
      <w:pgSz w:w="12240" w:h="15840"/>
      <w:pgMar w:top="13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10" w:hanging="23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58" w:hanging="23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96" w:hanging="23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34" w:hanging="23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72" w:hanging="23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10" w:hanging="23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48" w:hanging="23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86" w:hanging="23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24" w:hanging="23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66"/>
      <w:ind w:left="180"/>
      <w:jc w:val="both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80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66"/>
      <w:ind w:left="180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Decisions and Regulation adopted by the Seventy-second Ordinary Session of the Council of Ministers and Seventh Ordinary Session of the AEC</dc:title>
  <dcterms:created xsi:type="dcterms:W3CDTF">2023-04-11T09:20:19Z</dcterms:created>
  <dcterms:modified xsi:type="dcterms:W3CDTF">2023-04-11T09:20:19Z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2022-11-24T00:00:00Z</vt:filetime>
  </property>
  <property fmtid="{D5CDD505-2E9C-101B-9397-08002B2CF9AE}" pid="3" name="LastSaved">
    <vt:filetime>2023-04-11T00:00:00Z</vt:filetime>
  </property>
  <property fmtid="{D5CDD505-2E9C-101B-9397-08002B2CF9AE}" pid="4" name="Producer">
    <vt:lpwstr>Acrobat PDFWriter 3.02 for Windows NT</vt:lpwstr>
  </property>
</Properties>
</file>