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jc w:val="left"/>
      </w:pPr>
      <w:r>
        <w:rPr/>
        <w:t>CM/Dec.544</w:t>
      </w:r>
      <w:r>
        <w:rPr>
          <w:spacing w:val="16"/>
        </w:rPr>
        <w:t> </w:t>
      </w:r>
      <w:r>
        <w:rPr/>
        <w:t>(LXXII)</w:t>
      </w:r>
      <w:r>
        <w:rPr>
          <w:spacing w:val="16"/>
        </w:rPr>
        <w:t> </w:t>
      </w:r>
      <w:r>
        <w:rPr>
          <w:spacing w:val="-4"/>
        </w:rPr>
        <w:t>Rev.1</w:t>
      </w:r>
    </w:p>
    <w:p>
      <w:pPr>
        <w:pStyle w:val="BodyText"/>
        <w:spacing w:before="9"/>
        <w:ind w:left="0"/>
        <w:jc w:val="left"/>
        <w:rPr>
          <w:sz w:val="31"/>
        </w:rPr>
      </w:pPr>
    </w:p>
    <w:p>
      <w:pPr>
        <w:pStyle w:val="Title"/>
      </w:pPr>
      <w:r>
        <w:rPr/>
        <w:t>DECISION</w:t>
      </w:r>
      <w:r>
        <w:rPr>
          <w:spacing w:val="16"/>
        </w:rPr>
        <w:t> </w:t>
      </w:r>
      <w:r>
        <w:rPr/>
        <w:t>ON</w:t>
      </w:r>
      <w:r>
        <w:rPr>
          <w:spacing w:val="17"/>
        </w:rPr>
        <w:t> </w:t>
      </w:r>
      <w:r>
        <w:rPr/>
        <w:t>DEVELOPMENTS</w:t>
      </w:r>
      <w:r>
        <w:rPr>
          <w:spacing w:val="16"/>
        </w:rPr>
        <w:t> </w:t>
      </w:r>
      <w:r>
        <w:rPr/>
        <w:t>IN</w:t>
      </w:r>
      <w:r>
        <w:rPr>
          <w:spacing w:val="17"/>
        </w:rPr>
        <w:t> </w:t>
      </w:r>
      <w:r>
        <w:rPr>
          <w:spacing w:val="-2"/>
        </w:rPr>
        <w:t>ZIMBABWE</w:t>
      </w:r>
    </w:p>
    <w:p>
      <w:pPr>
        <w:pStyle w:val="BodyText"/>
        <w:ind w:left="0"/>
        <w:jc w:val="left"/>
        <w:rPr>
          <w:b/>
          <w:sz w:val="21"/>
        </w:rPr>
      </w:pPr>
    </w:p>
    <w:p>
      <w:pPr>
        <w:pStyle w:val="BodyText"/>
        <w:jc w:val="left"/>
      </w:pPr>
      <w:r>
        <w:rPr>
          <w:spacing w:val="-2"/>
        </w:rPr>
        <w:t>Council:</w:t>
      </w:r>
    </w:p>
    <w:p>
      <w:pPr>
        <w:pStyle w:val="ListParagraph"/>
        <w:numPr>
          <w:ilvl w:val="0"/>
          <w:numId w:val="1"/>
        </w:numPr>
        <w:tabs>
          <w:tab w:pos="430" w:val="left" w:leader="none"/>
        </w:tabs>
        <w:spacing w:line="367" w:lineRule="auto" w:before="198" w:after="0"/>
        <w:ind w:left="180" w:right="155" w:firstLine="0"/>
        <w:jc w:val="both"/>
        <w:rPr>
          <w:sz w:val="22"/>
        </w:rPr>
      </w:pPr>
      <w:r>
        <w:rPr>
          <w:sz w:val="22"/>
        </w:rPr>
        <w:t>RECALLS AND REAFFIRMS its statement issued in Tripoli on 2 June 2000 concerning developments</w:t>
      </w:r>
      <w:r>
        <w:rPr>
          <w:spacing w:val="26"/>
          <w:sz w:val="22"/>
        </w:rPr>
        <w:t> </w:t>
      </w:r>
      <w:r>
        <w:rPr>
          <w:sz w:val="22"/>
        </w:rPr>
        <w:t>in</w:t>
      </w:r>
      <w:r>
        <w:rPr>
          <w:spacing w:val="26"/>
          <w:sz w:val="22"/>
        </w:rPr>
        <w:t> </w:t>
      </w:r>
      <w:r>
        <w:rPr>
          <w:sz w:val="22"/>
        </w:rPr>
        <w:t>Zimbabwe,</w:t>
      </w:r>
      <w:r>
        <w:rPr>
          <w:spacing w:val="27"/>
          <w:sz w:val="22"/>
        </w:rPr>
        <w:t> </w:t>
      </w:r>
      <w:r>
        <w:rPr>
          <w:sz w:val="22"/>
        </w:rPr>
        <w:t>in</w:t>
      </w:r>
      <w:r>
        <w:rPr>
          <w:spacing w:val="26"/>
          <w:sz w:val="22"/>
        </w:rPr>
        <w:t> </w:t>
      </w:r>
      <w:r>
        <w:rPr>
          <w:sz w:val="22"/>
        </w:rPr>
        <w:t>particular</w:t>
      </w:r>
      <w:r>
        <w:rPr>
          <w:spacing w:val="27"/>
          <w:sz w:val="22"/>
        </w:rPr>
        <w:t> </w:t>
      </w:r>
      <w:r>
        <w:rPr>
          <w:sz w:val="22"/>
        </w:rPr>
        <w:t>those</w:t>
      </w:r>
      <w:r>
        <w:rPr>
          <w:spacing w:val="27"/>
          <w:sz w:val="22"/>
        </w:rPr>
        <w:t> </w:t>
      </w:r>
      <w:r>
        <w:rPr>
          <w:sz w:val="22"/>
        </w:rPr>
        <w:t>related</w:t>
      </w:r>
      <w:r>
        <w:rPr>
          <w:spacing w:val="27"/>
          <w:sz w:val="22"/>
        </w:rPr>
        <w:t> </w:t>
      </w:r>
      <w:r>
        <w:rPr>
          <w:sz w:val="22"/>
        </w:rPr>
        <w:t>to</w:t>
      </w:r>
      <w:r>
        <w:rPr>
          <w:spacing w:val="27"/>
          <w:sz w:val="22"/>
        </w:rPr>
        <w:t> </w:t>
      </w:r>
      <w:r>
        <w:rPr>
          <w:sz w:val="22"/>
        </w:rPr>
        <w:t>the</w:t>
      </w:r>
      <w:r>
        <w:rPr>
          <w:spacing w:val="27"/>
          <w:sz w:val="22"/>
        </w:rPr>
        <w:t> </w:t>
      </w:r>
      <w:r>
        <w:rPr>
          <w:sz w:val="22"/>
        </w:rPr>
        <w:t>resolution</w:t>
      </w:r>
      <w:r>
        <w:rPr>
          <w:spacing w:val="26"/>
          <w:sz w:val="22"/>
        </w:rPr>
        <w:t> </w:t>
      </w:r>
      <w:r>
        <w:rPr>
          <w:sz w:val="22"/>
        </w:rPr>
        <w:t>of</w:t>
      </w:r>
      <w:r>
        <w:rPr>
          <w:spacing w:val="26"/>
          <w:sz w:val="22"/>
        </w:rPr>
        <w:t> </w:t>
      </w:r>
      <w:r>
        <w:rPr>
          <w:sz w:val="22"/>
        </w:rPr>
        <w:t>the</w:t>
      </w:r>
      <w:r>
        <w:rPr>
          <w:spacing w:val="27"/>
          <w:sz w:val="22"/>
        </w:rPr>
        <w:t> </w:t>
      </w:r>
      <w:r>
        <w:rPr>
          <w:sz w:val="22"/>
        </w:rPr>
        <w:t>land</w:t>
      </w:r>
      <w:r>
        <w:rPr>
          <w:spacing w:val="28"/>
          <w:sz w:val="22"/>
        </w:rPr>
        <w:t> </w:t>
      </w:r>
      <w:r>
        <w:rPr>
          <w:sz w:val="22"/>
        </w:rPr>
        <w:t>question in that country;</w:t>
      </w:r>
    </w:p>
    <w:p>
      <w:pPr>
        <w:pStyle w:val="ListParagraph"/>
        <w:numPr>
          <w:ilvl w:val="0"/>
          <w:numId w:val="1"/>
        </w:numPr>
        <w:tabs>
          <w:tab w:pos="458" w:val="left" w:leader="none"/>
        </w:tabs>
        <w:spacing w:line="369" w:lineRule="auto" w:before="58" w:after="0"/>
        <w:ind w:left="180" w:right="135" w:firstLine="0"/>
        <w:jc w:val="both"/>
        <w:rPr>
          <w:sz w:val="22"/>
        </w:rPr>
      </w:pPr>
      <w:r>
        <w:rPr>
          <w:sz w:val="22"/>
        </w:rPr>
        <w:t>WELCOMES the reports given by the Minister of Foreign Affairs of the Republic of Zimbabwe and the Secretary-General of the OAU on the holding of democratic elections in Zimbabwe from 24-25 June 2000;</w:t>
      </w:r>
    </w:p>
    <w:p>
      <w:pPr>
        <w:pStyle w:val="ListParagraph"/>
        <w:numPr>
          <w:ilvl w:val="0"/>
          <w:numId w:val="1"/>
        </w:numPr>
        <w:tabs>
          <w:tab w:pos="423" w:val="left" w:leader="none"/>
        </w:tabs>
        <w:spacing w:line="364" w:lineRule="auto" w:before="60" w:after="0"/>
        <w:ind w:left="180" w:right="164" w:firstLine="0"/>
        <w:jc w:val="both"/>
        <w:rPr>
          <w:sz w:val="22"/>
        </w:rPr>
      </w:pPr>
      <w:r>
        <w:rPr>
          <w:sz w:val="22"/>
        </w:rPr>
        <w:t>EXPRESSES ITS APPRECIATION to the OAU Observer Team to those elections for its commendable work;</w:t>
      </w:r>
    </w:p>
    <w:p>
      <w:pPr>
        <w:pStyle w:val="ListParagraph"/>
        <w:numPr>
          <w:ilvl w:val="0"/>
          <w:numId w:val="1"/>
        </w:numPr>
        <w:tabs>
          <w:tab w:pos="417" w:val="left" w:leader="none"/>
        </w:tabs>
        <w:spacing w:line="364" w:lineRule="auto" w:before="67" w:after="0"/>
        <w:ind w:left="180" w:right="167" w:firstLine="0"/>
        <w:jc w:val="both"/>
        <w:rPr>
          <w:sz w:val="22"/>
        </w:rPr>
      </w:pPr>
      <w:r>
        <w:rPr>
          <w:sz w:val="22"/>
        </w:rPr>
        <w:t>REGARDS the outcome, including the massive turnout of the voters, as a true, democratic reflection of the will of the people of Zimbabwe;</w:t>
      </w:r>
    </w:p>
    <w:p>
      <w:pPr>
        <w:pStyle w:val="ListParagraph"/>
        <w:numPr>
          <w:ilvl w:val="0"/>
          <w:numId w:val="1"/>
        </w:numPr>
        <w:tabs>
          <w:tab w:pos="437" w:val="left" w:leader="none"/>
        </w:tabs>
        <w:spacing w:line="364" w:lineRule="auto" w:before="66" w:after="0"/>
        <w:ind w:left="180" w:right="159" w:firstLine="0"/>
        <w:jc w:val="both"/>
        <w:rPr>
          <w:sz w:val="22"/>
        </w:rPr>
      </w:pPr>
      <w:r>
        <w:rPr>
          <w:sz w:val="22"/>
        </w:rPr>
        <w:t>COMMENDS all the people of Zimbabwe for the peaceful and orderly manner in which</w:t>
      </w:r>
      <w:r>
        <w:rPr>
          <w:spacing w:val="40"/>
          <w:sz w:val="22"/>
        </w:rPr>
        <w:t> </w:t>
      </w:r>
      <w:r>
        <w:rPr>
          <w:sz w:val="22"/>
        </w:rPr>
        <w:t>they exercised their democratic right in the elections;</w:t>
      </w:r>
    </w:p>
    <w:p>
      <w:pPr>
        <w:pStyle w:val="ListParagraph"/>
        <w:numPr>
          <w:ilvl w:val="0"/>
          <w:numId w:val="1"/>
        </w:numPr>
        <w:tabs>
          <w:tab w:pos="468" w:val="left" w:leader="none"/>
        </w:tabs>
        <w:spacing w:line="367" w:lineRule="auto" w:before="66" w:after="0"/>
        <w:ind w:left="180" w:right="152" w:firstLine="0"/>
        <w:jc w:val="both"/>
        <w:rPr>
          <w:sz w:val="22"/>
        </w:rPr>
      </w:pPr>
      <w:r>
        <w:rPr>
          <w:sz w:val="22"/>
        </w:rPr>
        <w:t>DEPLORES the attempts by some foreign interests, through the massive injection of resources and manipulation of the media, to interfere in and influence the outcome of the elections, as a threat to national independence;</w:t>
      </w:r>
    </w:p>
    <w:p>
      <w:pPr>
        <w:pStyle w:val="ListParagraph"/>
        <w:numPr>
          <w:ilvl w:val="0"/>
          <w:numId w:val="1"/>
        </w:numPr>
        <w:tabs>
          <w:tab w:pos="437" w:val="left" w:leader="none"/>
        </w:tabs>
        <w:spacing w:line="364" w:lineRule="auto" w:before="63" w:after="0"/>
        <w:ind w:left="180" w:right="138" w:firstLine="0"/>
        <w:jc w:val="both"/>
        <w:rPr>
          <w:sz w:val="22"/>
        </w:rPr>
      </w:pPr>
      <w:r>
        <w:rPr>
          <w:sz w:val="22"/>
        </w:rPr>
        <w:t>CONSIDERS</w:t>
      </w:r>
      <w:r>
        <w:rPr>
          <w:spacing w:val="10"/>
          <w:sz w:val="22"/>
        </w:rPr>
        <w:t> </w:t>
      </w:r>
      <w:r>
        <w:rPr>
          <w:sz w:val="22"/>
        </w:rPr>
        <w:t>that</w:t>
      </w:r>
      <w:r>
        <w:rPr>
          <w:spacing w:val="31"/>
          <w:sz w:val="22"/>
        </w:rPr>
        <w:t> </w:t>
      </w:r>
      <w:r>
        <w:rPr>
          <w:sz w:val="22"/>
        </w:rPr>
        <w:t>the</w:t>
      </w:r>
      <w:r>
        <w:rPr>
          <w:spacing w:val="32"/>
          <w:sz w:val="22"/>
        </w:rPr>
        <w:t> </w:t>
      </w:r>
      <w:r>
        <w:rPr>
          <w:sz w:val="22"/>
        </w:rPr>
        <w:t>resolution</w:t>
      </w:r>
      <w:r>
        <w:rPr>
          <w:spacing w:val="31"/>
          <w:sz w:val="22"/>
        </w:rPr>
        <w:t> </w:t>
      </w:r>
      <w:r>
        <w:rPr>
          <w:sz w:val="22"/>
        </w:rPr>
        <w:t>of</w:t>
      </w:r>
      <w:r>
        <w:rPr>
          <w:spacing w:val="31"/>
          <w:sz w:val="22"/>
        </w:rPr>
        <w:t> </w:t>
      </w:r>
      <w:r>
        <w:rPr>
          <w:sz w:val="22"/>
        </w:rPr>
        <w:t>the</w:t>
      </w:r>
      <w:r>
        <w:rPr>
          <w:spacing w:val="32"/>
          <w:sz w:val="22"/>
        </w:rPr>
        <w:t> </w:t>
      </w:r>
      <w:r>
        <w:rPr>
          <w:sz w:val="22"/>
        </w:rPr>
        <w:t>land</w:t>
      </w:r>
      <w:r>
        <w:rPr>
          <w:spacing w:val="33"/>
          <w:sz w:val="22"/>
        </w:rPr>
        <w:t> </w:t>
      </w:r>
      <w:r>
        <w:rPr>
          <w:sz w:val="22"/>
        </w:rPr>
        <w:t>question</w:t>
      </w:r>
      <w:r>
        <w:rPr>
          <w:spacing w:val="31"/>
          <w:sz w:val="22"/>
        </w:rPr>
        <w:t> </w:t>
      </w:r>
      <w:r>
        <w:rPr>
          <w:sz w:val="22"/>
        </w:rPr>
        <w:t>is</w:t>
      </w:r>
      <w:r>
        <w:rPr>
          <w:spacing w:val="31"/>
          <w:sz w:val="22"/>
        </w:rPr>
        <w:t> </w:t>
      </w:r>
      <w:r>
        <w:rPr>
          <w:sz w:val="22"/>
        </w:rPr>
        <w:t>central</w:t>
      </w:r>
      <w:r>
        <w:rPr>
          <w:spacing w:val="31"/>
          <w:sz w:val="22"/>
        </w:rPr>
        <w:t> </w:t>
      </w:r>
      <w:r>
        <w:rPr>
          <w:sz w:val="22"/>
        </w:rPr>
        <w:t>to</w:t>
      </w:r>
      <w:r>
        <w:rPr>
          <w:spacing w:val="32"/>
          <w:sz w:val="22"/>
        </w:rPr>
        <w:t> </w:t>
      </w:r>
      <w:r>
        <w:rPr>
          <w:sz w:val="22"/>
        </w:rPr>
        <w:t>the</w:t>
      </w:r>
      <w:r>
        <w:rPr>
          <w:spacing w:val="32"/>
          <w:sz w:val="22"/>
        </w:rPr>
        <w:t> </w:t>
      </w:r>
      <w:r>
        <w:rPr>
          <w:sz w:val="22"/>
        </w:rPr>
        <w:t>long</w:t>
      </w:r>
      <w:r>
        <w:rPr>
          <w:spacing w:val="-14"/>
          <w:sz w:val="22"/>
        </w:rPr>
        <w:t> </w:t>
      </w:r>
      <w:r>
        <w:rPr>
          <w:sz w:val="22"/>
        </w:rPr>
        <w:t>-term</w:t>
      </w:r>
      <w:r>
        <w:rPr>
          <w:spacing w:val="29"/>
          <w:sz w:val="22"/>
        </w:rPr>
        <w:t> </w:t>
      </w:r>
      <w:r>
        <w:rPr>
          <w:sz w:val="22"/>
        </w:rPr>
        <w:t>stability and development of Zimbabwe and underlines the special responsibility of the United</w:t>
      </w:r>
      <w:r>
        <w:rPr>
          <w:spacing w:val="80"/>
          <w:w w:val="150"/>
          <w:sz w:val="22"/>
        </w:rPr>
        <w:t> </w:t>
      </w:r>
      <w:r>
        <w:rPr>
          <w:sz w:val="22"/>
        </w:rPr>
        <w:t>Kingdom in this regard;</w:t>
      </w:r>
    </w:p>
    <w:p>
      <w:pPr>
        <w:pStyle w:val="ListParagraph"/>
        <w:numPr>
          <w:ilvl w:val="0"/>
          <w:numId w:val="1"/>
        </w:numPr>
        <w:tabs>
          <w:tab w:pos="462" w:val="left" w:leader="none"/>
        </w:tabs>
        <w:spacing w:line="369" w:lineRule="auto" w:before="65" w:after="0"/>
        <w:ind w:left="180" w:right="153" w:firstLine="0"/>
        <w:jc w:val="both"/>
        <w:rPr>
          <w:sz w:val="22"/>
        </w:rPr>
      </w:pPr>
      <w:r>
        <w:rPr>
          <w:sz w:val="22"/>
        </w:rPr>
        <w:t>CALLS UPON the United Kingdom to honour its obligations in accordance with the Lancaster House Agreement to provide the financial resources necessary for the resolution of the land question in Zimbabwe for the benefit of all stakeholders and in the interest of peace, justice and equality.</w:t>
      </w:r>
    </w:p>
    <w:p>
      <w:pPr>
        <w:pStyle w:val="ListParagraph"/>
        <w:numPr>
          <w:ilvl w:val="0"/>
          <w:numId w:val="1"/>
        </w:numPr>
        <w:tabs>
          <w:tab w:pos="468" w:val="left" w:leader="none"/>
        </w:tabs>
        <w:spacing w:line="367" w:lineRule="auto" w:before="60" w:after="0"/>
        <w:ind w:left="180" w:right="137" w:firstLine="0"/>
        <w:jc w:val="both"/>
        <w:rPr>
          <w:sz w:val="22"/>
        </w:rPr>
      </w:pPr>
      <w:r>
        <w:rPr>
          <w:sz w:val="22"/>
        </w:rPr>
        <w:t>WELCOMES and ENCOURAGES the efforts of those countries seeking to promote dialogue and</w:t>
      </w:r>
      <w:r>
        <w:rPr>
          <w:spacing w:val="40"/>
          <w:sz w:val="22"/>
        </w:rPr>
        <w:t> </w:t>
      </w:r>
      <w:r>
        <w:rPr>
          <w:sz w:val="22"/>
        </w:rPr>
        <w:t>achieve agreement between Zimbabwe and</w:t>
      </w:r>
      <w:r>
        <w:rPr>
          <w:spacing w:val="40"/>
          <w:sz w:val="22"/>
        </w:rPr>
        <w:t> </w:t>
      </w:r>
      <w:r>
        <w:rPr>
          <w:sz w:val="22"/>
        </w:rPr>
        <w:t>the United</w:t>
      </w:r>
      <w:r>
        <w:rPr>
          <w:spacing w:val="40"/>
          <w:sz w:val="22"/>
        </w:rPr>
        <w:t> </w:t>
      </w:r>
      <w:r>
        <w:rPr>
          <w:sz w:val="22"/>
        </w:rPr>
        <w:t>Kingdo</w:t>
      </w:r>
      <w:r>
        <w:rPr>
          <w:spacing w:val="-14"/>
          <w:sz w:val="22"/>
        </w:rPr>
        <w:t> </w:t>
      </w:r>
      <w:r>
        <w:rPr>
          <w:sz w:val="22"/>
        </w:rPr>
        <w:t>m on the land </w:t>
      </w:r>
      <w:r>
        <w:rPr>
          <w:spacing w:val="-2"/>
          <w:sz w:val="22"/>
        </w:rPr>
        <w:t>issue.</w:t>
      </w:r>
    </w:p>
    <w:sectPr>
      <w:type w:val="continuous"/>
      <w:pgSz w:w="12240" w:h="15840"/>
      <w:pgMar w:top="130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80" w:hanging="249"/>
        <w:jc w:val="left"/>
      </w:pPr>
      <w:rPr>
        <w:rFonts w:hint="default" w:ascii="Times New Roman" w:hAnsi="Times New Roman" w:eastAsia="Times New Roman" w:cs="Times New Roman"/>
        <w:b w:val="0"/>
        <w:bCs w:val="0"/>
        <w:i w:val="0"/>
        <w:iCs w:val="0"/>
        <w:w w:val="102"/>
        <w:sz w:val="22"/>
        <w:szCs w:val="22"/>
        <w:lang w:val="en-US" w:eastAsia="en-US" w:bidi="ar-SA"/>
      </w:rPr>
    </w:lvl>
    <w:lvl w:ilvl="1">
      <w:start w:val="0"/>
      <w:numFmt w:val="bullet"/>
      <w:lvlText w:val="•"/>
      <w:lvlJc w:val="left"/>
      <w:pPr>
        <w:ind w:left="1042" w:hanging="249"/>
      </w:pPr>
      <w:rPr>
        <w:rFonts w:hint="default"/>
        <w:lang w:val="en-US" w:eastAsia="en-US" w:bidi="ar-SA"/>
      </w:rPr>
    </w:lvl>
    <w:lvl w:ilvl="2">
      <w:start w:val="0"/>
      <w:numFmt w:val="bullet"/>
      <w:lvlText w:val="•"/>
      <w:lvlJc w:val="left"/>
      <w:pPr>
        <w:ind w:left="1904" w:hanging="249"/>
      </w:pPr>
      <w:rPr>
        <w:rFonts w:hint="default"/>
        <w:lang w:val="en-US" w:eastAsia="en-US" w:bidi="ar-SA"/>
      </w:rPr>
    </w:lvl>
    <w:lvl w:ilvl="3">
      <w:start w:val="0"/>
      <w:numFmt w:val="bullet"/>
      <w:lvlText w:val="•"/>
      <w:lvlJc w:val="left"/>
      <w:pPr>
        <w:ind w:left="2766" w:hanging="249"/>
      </w:pPr>
      <w:rPr>
        <w:rFonts w:hint="default"/>
        <w:lang w:val="en-US" w:eastAsia="en-US" w:bidi="ar-SA"/>
      </w:rPr>
    </w:lvl>
    <w:lvl w:ilvl="4">
      <w:start w:val="0"/>
      <w:numFmt w:val="bullet"/>
      <w:lvlText w:val="•"/>
      <w:lvlJc w:val="left"/>
      <w:pPr>
        <w:ind w:left="3628" w:hanging="249"/>
      </w:pPr>
      <w:rPr>
        <w:rFonts w:hint="default"/>
        <w:lang w:val="en-US" w:eastAsia="en-US" w:bidi="ar-SA"/>
      </w:rPr>
    </w:lvl>
    <w:lvl w:ilvl="5">
      <w:start w:val="0"/>
      <w:numFmt w:val="bullet"/>
      <w:lvlText w:val="•"/>
      <w:lvlJc w:val="left"/>
      <w:pPr>
        <w:ind w:left="4490" w:hanging="249"/>
      </w:pPr>
      <w:rPr>
        <w:rFonts w:hint="default"/>
        <w:lang w:val="en-US" w:eastAsia="en-US" w:bidi="ar-SA"/>
      </w:rPr>
    </w:lvl>
    <w:lvl w:ilvl="6">
      <w:start w:val="0"/>
      <w:numFmt w:val="bullet"/>
      <w:lvlText w:val="•"/>
      <w:lvlJc w:val="left"/>
      <w:pPr>
        <w:ind w:left="5352" w:hanging="249"/>
      </w:pPr>
      <w:rPr>
        <w:rFonts w:hint="default"/>
        <w:lang w:val="en-US" w:eastAsia="en-US" w:bidi="ar-SA"/>
      </w:rPr>
    </w:lvl>
    <w:lvl w:ilvl="7">
      <w:start w:val="0"/>
      <w:numFmt w:val="bullet"/>
      <w:lvlText w:val="•"/>
      <w:lvlJc w:val="left"/>
      <w:pPr>
        <w:ind w:left="6214" w:hanging="249"/>
      </w:pPr>
      <w:rPr>
        <w:rFonts w:hint="default"/>
        <w:lang w:val="en-US" w:eastAsia="en-US" w:bidi="ar-SA"/>
      </w:rPr>
    </w:lvl>
    <w:lvl w:ilvl="8">
      <w:start w:val="0"/>
      <w:numFmt w:val="bullet"/>
      <w:lvlText w:val="•"/>
      <w:lvlJc w:val="left"/>
      <w:pPr>
        <w:ind w:left="7076" w:hanging="24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80"/>
      <w:jc w:val="both"/>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180"/>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spacing w:before="60"/>
      <w:ind w:left="180" w:right="135"/>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Decisions and Regulation adopted by the Seventy-second Ordinary Session of the Council of Ministers and Seventh Ordinary Session of the AEC</dc:title>
  <dcterms:created xsi:type="dcterms:W3CDTF">2023-04-11T09:20:37Z</dcterms:created>
  <dcterms:modified xsi:type="dcterms:W3CDTF">2023-04-11T09:20:37Z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2022-11-24T00:00:00Z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