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33"/>
        <w:jc w:val="right"/>
        <w:rPr>
          <w:b w:val="0"/>
        </w:rPr>
      </w:pPr>
      <w:r>
        <w:rPr>
          <w:b w:val="0"/>
        </w:rPr>
        <w:t>CM/Dec.32</w:t>
      </w:r>
      <w:r>
        <w:rPr>
          <w:b w:val="0"/>
          <w:spacing w:val="75"/>
        </w:rPr>
        <w:t> </w:t>
      </w:r>
      <w:r>
        <w:rPr>
          <w:b w:val="0"/>
          <w:spacing w:val="-2"/>
        </w:rPr>
        <w:t>(LXXIV)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Title"/>
        <w:spacing w:before="208"/>
        <w:ind w:left="853"/>
        <w:rPr>
          <w:b w:val="0"/>
          <w:u w:val="none"/>
        </w:rPr>
      </w:pPr>
      <w:r>
        <w:rPr>
          <w:b w:val="0"/>
          <w:u w:val="single"/>
        </w:rPr>
        <w:t>DECISION ON SINGING/PLAYING OF </w:t>
      </w:r>
      <w:r>
        <w:rPr>
          <w:b w:val="0"/>
          <w:spacing w:val="9"/>
          <w:u w:val="single"/>
        </w:rPr>
        <w:t>THE </w:t>
      </w:r>
      <w:r>
        <w:rPr>
          <w:b w:val="0"/>
          <w:u w:val="single"/>
        </w:rPr>
        <w:t>OAU</w:t>
      </w:r>
      <w:r>
        <w:rPr>
          <w:b w:val="0"/>
          <w:u w:val="none"/>
        </w:rPr>
        <w:t> </w:t>
      </w:r>
      <w:r>
        <w:rPr>
          <w:b w:val="0"/>
          <w:spacing w:val="-2"/>
          <w:u w:val="single"/>
        </w:rPr>
        <w:t>ANTHEM</w:t>
      </w:r>
    </w:p>
    <w:p>
      <w:pPr>
        <w:pStyle w:val="Title"/>
        <w:rPr>
          <w:b w:val="0"/>
          <w:u w:val="none"/>
        </w:rPr>
      </w:pPr>
      <w:r>
        <w:rPr>
          <w:b w:val="0"/>
          <w:u w:val="single"/>
        </w:rPr>
        <w:t>AND</w:t>
      </w:r>
      <w:r>
        <w:rPr>
          <w:b w:val="0"/>
          <w:spacing w:val="21"/>
          <w:u w:val="single"/>
        </w:rPr>
        <w:t> </w:t>
      </w:r>
      <w:r>
        <w:rPr>
          <w:b w:val="0"/>
          <w:u w:val="single"/>
        </w:rPr>
        <w:t>HOISTING</w:t>
      </w:r>
      <w:r>
        <w:rPr>
          <w:b w:val="0"/>
          <w:spacing w:val="23"/>
          <w:u w:val="single"/>
        </w:rPr>
        <w:t> </w:t>
      </w:r>
      <w:r>
        <w:rPr>
          <w:b w:val="0"/>
          <w:spacing w:val="10"/>
          <w:u w:val="single"/>
        </w:rPr>
        <w:t>THE</w:t>
      </w:r>
      <w:r>
        <w:rPr>
          <w:b w:val="0"/>
          <w:spacing w:val="28"/>
          <w:u w:val="single"/>
        </w:rPr>
        <w:t> </w:t>
      </w:r>
      <w:r>
        <w:rPr>
          <w:b w:val="0"/>
          <w:u w:val="single"/>
        </w:rPr>
        <w:t>OAU</w:t>
      </w:r>
      <w:r>
        <w:rPr>
          <w:b w:val="0"/>
          <w:spacing w:val="13"/>
          <w:u w:val="single"/>
        </w:rPr>
        <w:t> </w:t>
      </w:r>
      <w:r>
        <w:rPr>
          <w:b w:val="0"/>
          <w:spacing w:val="7"/>
          <w:u w:val="single"/>
        </w:rPr>
        <w:t>FLAG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2"/>
        </w:rPr>
      </w:pPr>
    </w:p>
    <w:p>
      <w:pPr>
        <w:pStyle w:val="BodyText"/>
        <w:spacing w:before="93"/>
        <w:ind w:left="167"/>
        <w:rPr>
          <w:b w:val="0"/>
        </w:rPr>
      </w:pPr>
      <w:r>
        <w:rPr>
          <w:b w:val="0"/>
          <w:spacing w:val="-2"/>
        </w:rPr>
        <w:t>Council: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4" w:lineRule="auto" w:before="241" w:after="0"/>
        <w:ind w:left="1184" w:right="125" w:hanging="677"/>
        <w:jc w:val="both"/>
        <w:rPr>
          <w:b w:val="0"/>
          <w:sz w:val="24"/>
        </w:rPr>
      </w:pPr>
      <w:r>
        <w:rPr>
          <w:b w:val="0"/>
          <w:spacing w:val="9"/>
          <w:position w:val="1"/>
          <w:sz w:val="24"/>
        </w:rPr>
        <w:t>TAKES</w:t>
      </w:r>
      <w:r>
        <w:rPr>
          <w:b w:val="0"/>
          <w:spacing w:val="9"/>
          <w:position w:val="1"/>
          <w:sz w:val="24"/>
        </w:rPr>
        <w:t> </w:t>
      </w:r>
      <w:r>
        <w:rPr>
          <w:b w:val="0"/>
          <w:position w:val="1"/>
          <w:sz w:val="24"/>
        </w:rPr>
        <w:t>NOTE WITH APPRECIATION </w:t>
      </w:r>
      <w:r>
        <w:rPr>
          <w:b w:val="0"/>
          <w:sz w:val="24"/>
        </w:rPr>
        <w:t>the proposal of the Republic of Namibia on the singing/playing of the OAU</w:t>
      </w:r>
      <w:r>
        <w:rPr>
          <w:b w:val="0"/>
          <w:spacing w:val="80"/>
          <w:sz w:val="24"/>
        </w:rPr>
        <w:t> </w:t>
      </w:r>
      <w:r>
        <w:rPr>
          <w:b w:val="0"/>
          <w:sz w:val="24"/>
        </w:rPr>
        <w:t>Anthem and hoisting of the OAU Flag during official</w:t>
      </w:r>
      <w:r>
        <w:rPr>
          <w:b w:val="0"/>
          <w:spacing w:val="80"/>
          <w:sz w:val="24"/>
        </w:rPr>
        <w:t> </w:t>
      </w:r>
      <w:r>
        <w:rPr>
          <w:b w:val="0"/>
          <w:sz w:val="24"/>
        </w:rPr>
        <w:t>ceremonies in Member States;</w:t>
      </w:r>
    </w:p>
    <w:p>
      <w:pPr>
        <w:pStyle w:val="BodyText"/>
        <w:spacing w:before="8"/>
        <w:rPr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4" w:lineRule="auto" w:before="0" w:after="0"/>
        <w:ind w:left="1184" w:right="128" w:hanging="677"/>
        <w:jc w:val="both"/>
        <w:rPr>
          <w:b w:val="0"/>
          <w:sz w:val="24"/>
        </w:rPr>
      </w:pPr>
      <w:r>
        <w:rPr>
          <w:b w:val="0"/>
          <w:position w:val="1"/>
          <w:sz w:val="24"/>
        </w:rPr>
        <w:t>CONSIDERS </w:t>
      </w:r>
      <w:r>
        <w:rPr>
          <w:b w:val="0"/>
          <w:sz w:val="24"/>
        </w:rPr>
        <w:t>that the implementation of this proposal will assist in the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</w:rPr>
        <w:t>popularization of the principles of African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</w:rPr>
        <w:t>common identity, unity, solidarity and integration, especially among the youth and children;</w:t>
      </w:r>
    </w:p>
    <w:p>
      <w:pPr>
        <w:pStyle w:val="BodyText"/>
        <w:spacing w:before="8"/>
        <w:rPr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2" w:lineRule="auto" w:before="0" w:after="0"/>
        <w:ind w:left="1184" w:right="128" w:hanging="677"/>
        <w:jc w:val="both"/>
        <w:rPr>
          <w:b w:val="0"/>
          <w:sz w:val="24"/>
        </w:rPr>
      </w:pPr>
      <w:r>
        <w:rPr>
          <w:b w:val="0"/>
          <w:position w:val="1"/>
          <w:sz w:val="24"/>
        </w:rPr>
        <w:t>ENDORSES </w:t>
      </w:r>
      <w:r>
        <w:rPr>
          <w:b w:val="0"/>
          <w:sz w:val="24"/>
        </w:rPr>
        <w:t>the proposal and </w:t>
      </w:r>
      <w:r>
        <w:rPr>
          <w:b w:val="0"/>
          <w:position w:val="1"/>
          <w:sz w:val="24"/>
        </w:rPr>
        <w:t>RECOMMENDS </w:t>
      </w:r>
      <w:r>
        <w:rPr>
          <w:b w:val="0"/>
          <w:sz w:val="24"/>
        </w:rPr>
        <w:t>it to Member States for implementation.</w:t>
      </w:r>
    </w:p>
    <w:sectPr>
      <w:type w:val="continuous"/>
      <w:pgSz w:w="12240" w:h="15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677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852" w:right="803"/>
      <w:jc w:val="center"/>
    </w:pPr>
    <w:rPr>
      <w:rFonts w:ascii="Bookman Old Style" w:hAnsi="Bookman Old Style" w:eastAsia="Bookman Old Style" w:cs="Bookman Old Style"/>
      <w:sz w:val="30"/>
      <w:szCs w:val="3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8" w:hanging="677"/>
      <w:jc w:val="both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ADOPTED BY THE SEVENTY-FOURTH ORDINARY SESSION OF THE COUNCIL OF MINISTERS</dc:title>
  <dcterms:created xsi:type="dcterms:W3CDTF">2023-04-11T08:49:49Z</dcterms:created>
  <dcterms:modified xsi:type="dcterms:W3CDTF">2023-04-11T08:49:49Z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Distiller 3.0 for Windows</vt:lpwstr>
  </property>
</Properties>
</file>