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36C" w:rsidRDefault="00702137">
      <w:pPr>
        <w:pStyle w:val="BodyText"/>
        <w:spacing w:after="0" w:line="230" w:lineRule="auto"/>
        <w:jc w:val="center"/>
      </w:pPr>
      <w:r>
        <w:rPr>
          <w:b/>
          <w:bCs/>
        </w:rPr>
        <w:t>DECISION ON SCALE OF ASSESSMENT</w:t>
      </w:r>
    </w:p>
    <w:p w:rsidR="0003636C" w:rsidRDefault="00702137">
      <w:pPr>
        <w:pStyle w:val="BodyText"/>
        <w:spacing w:line="230" w:lineRule="auto"/>
        <w:jc w:val="center"/>
      </w:pPr>
      <w:r>
        <w:rPr>
          <w:b/>
          <w:bCs/>
        </w:rPr>
        <w:t>Doc. EX.CL.827(XXIV)</w:t>
      </w:r>
    </w:p>
    <w:p w:rsidR="0003636C" w:rsidRDefault="00702137">
      <w:pPr>
        <w:pStyle w:val="Heading10"/>
        <w:keepNext/>
        <w:keepLines/>
        <w:spacing w:after="280" w:line="230" w:lineRule="auto"/>
      </w:pPr>
      <w:bookmarkStart w:id="0" w:name="bookmark0"/>
      <w:bookmarkStart w:id="1" w:name="bookmark1"/>
      <w:bookmarkStart w:id="2" w:name="bookmark2"/>
      <w:r>
        <w:t>The Executive Council,</w:t>
      </w:r>
      <w:bookmarkEnd w:id="0"/>
      <w:bookmarkEnd w:id="1"/>
      <w:bookmarkEnd w:id="2"/>
    </w:p>
    <w:p w:rsidR="0003636C" w:rsidRDefault="00702137" w:rsidP="00702137">
      <w:pPr>
        <w:pStyle w:val="BodyText"/>
        <w:tabs>
          <w:tab w:val="left" w:pos="724"/>
        </w:tabs>
        <w:spacing w:line="221" w:lineRule="auto"/>
        <w:ind w:left="680" w:hanging="680"/>
      </w:pPr>
      <w:bookmarkStart w:id="3" w:name="bookmark3"/>
      <w:bookmarkEnd w:id="3"/>
      <w:r>
        <w:rPr>
          <w:b/>
          <w:bCs/>
        </w:rPr>
        <w:t>1.</w:t>
      </w:r>
      <w:r>
        <w:rPr>
          <w:b/>
          <w:bCs/>
        </w:rPr>
        <w:tab/>
      </w:r>
      <w:r>
        <w:rPr>
          <w:b/>
          <w:bCs/>
        </w:rPr>
        <w:t xml:space="preserve">TAKES NOTE </w:t>
      </w:r>
      <w:r>
        <w:t>of the Report of the Ministerial Committee on the Review of the Scale of Assessment;</w:t>
      </w:r>
    </w:p>
    <w:p w:rsidR="0003636C" w:rsidRDefault="00702137" w:rsidP="00702137">
      <w:pPr>
        <w:pStyle w:val="BodyText"/>
        <w:tabs>
          <w:tab w:val="left" w:pos="724"/>
        </w:tabs>
        <w:spacing w:line="226" w:lineRule="auto"/>
        <w:ind w:left="680" w:hanging="680"/>
      </w:pPr>
      <w:bookmarkStart w:id="4" w:name="bookmark4"/>
      <w:bookmarkEnd w:id="4"/>
      <w:r>
        <w:rPr>
          <w:b/>
          <w:bCs/>
        </w:rPr>
        <w:t>2.</w:t>
      </w:r>
      <w:r>
        <w:rPr>
          <w:b/>
          <w:bCs/>
        </w:rPr>
        <w:tab/>
      </w:r>
      <w:r>
        <w:rPr>
          <w:b/>
          <w:bCs/>
        </w:rPr>
        <w:t xml:space="preserve">DECIDES </w:t>
      </w:r>
      <w:r>
        <w:t xml:space="preserve">to endorse the recommendations of the Ministerial Committee as </w:t>
      </w:r>
      <w:r>
        <w:t>follows:</w:t>
      </w:r>
    </w:p>
    <w:p w:rsidR="0003636C" w:rsidRDefault="00702137" w:rsidP="00702137">
      <w:pPr>
        <w:pStyle w:val="BodyText"/>
        <w:tabs>
          <w:tab w:val="left" w:pos="1274"/>
        </w:tabs>
        <w:spacing w:line="230" w:lineRule="auto"/>
        <w:ind w:left="1280" w:hanging="560"/>
        <w:jc w:val="both"/>
      </w:pPr>
      <w:bookmarkStart w:id="5" w:name="bookmark5"/>
      <w:bookmarkEnd w:id="5"/>
      <w:r>
        <w:t>i)</w:t>
      </w:r>
      <w:r>
        <w:tab/>
      </w:r>
      <w:r>
        <w:t>The new AU Scale of Assessment will be based on a ceiling of 12.904 percent without the imposition of a floor rate</w:t>
      </w:r>
    </w:p>
    <w:p w:rsidR="0003636C" w:rsidRDefault="00702137" w:rsidP="00702137">
      <w:pPr>
        <w:pStyle w:val="BodyText"/>
        <w:tabs>
          <w:tab w:val="left" w:pos="1274"/>
        </w:tabs>
        <w:spacing w:line="230" w:lineRule="auto"/>
        <w:ind w:firstLine="680"/>
      </w:pPr>
      <w:bookmarkStart w:id="6" w:name="bookmark6"/>
      <w:bookmarkEnd w:id="6"/>
      <w:r>
        <w:t>ii)</w:t>
      </w:r>
      <w:r>
        <w:tab/>
      </w:r>
      <w:r>
        <w:t>The scale will be implemented for the financial years 2014, 2015 and 2016</w:t>
      </w:r>
    </w:p>
    <w:p w:rsidR="0003636C" w:rsidRDefault="00702137" w:rsidP="00702137">
      <w:pPr>
        <w:pStyle w:val="BodyText"/>
        <w:tabs>
          <w:tab w:val="left" w:pos="724"/>
        </w:tabs>
        <w:spacing w:line="230" w:lineRule="auto"/>
      </w:pPr>
      <w:bookmarkStart w:id="7" w:name="bookmark7"/>
      <w:bookmarkEnd w:id="7"/>
      <w:r>
        <w:rPr>
          <w:b/>
          <w:bCs/>
        </w:rPr>
        <w:t>3.</w:t>
      </w:r>
      <w:r>
        <w:rPr>
          <w:b/>
          <w:bCs/>
        </w:rPr>
        <w:tab/>
      </w:r>
      <w:r>
        <w:rPr>
          <w:b/>
          <w:bCs/>
        </w:rPr>
        <w:t xml:space="preserve">ADOPTS </w:t>
      </w:r>
      <w:r>
        <w:t>the new AU Scale of Assessment;</w:t>
      </w:r>
      <w:r>
        <w:rPr>
          <w:vertAlign w:val="superscript"/>
        </w:rPr>
        <w:footnoteReference w:id="1"/>
      </w:r>
    </w:p>
    <w:p w:rsidR="0003636C" w:rsidRDefault="00702137" w:rsidP="00702137">
      <w:pPr>
        <w:pStyle w:val="BodyText"/>
        <w:tabs>
          <w:tab w:val="left" w:pos="724"/>
        </w:tabs>
        <w:spacing w:line="230" w:lineRule="auto"/>
      </w:pPr>
      <w:bookmarkStart w:id="8" w:name="bookmark8"/>
      <w:bookmarkEnd w:id="8"/>
      <w:r>
        <w:rPr>
          <w:b/>
          <w:bCs/>
        </w:rPr>
        <w:t>4.</w:t>
      </w:r>
      <w:r>
        <w:rPr>
          <w:b/>
          <w:bCs/>
        </w:rPr>
        <w:tab/>
      </w:r>
      <w:r>
        <w:rPr>
          <w:b/>
          <w:bCs/>
        </w:rPr>
        <w:t xml:space="preserve">URGES </w:t>
      </w:r>
      <w:r>
        <w:t>Member Stat</w:t>
      </w:r>
      <w:r>
        <w:t>es to promptly pay their assessed contributions;</w:t>
      </w:r>
    </w:p>
    <w:p w:rsidR="0003636C" w:rsidRDefault="00702137" w:rsidP="00702137">
      <w:pPr>
        <w:pStyle w:val="BodyText"/>
        <w:tabs>
          <w:tab w:val="left" w:pos="724"/>
        </w:tabs>
        <w:ind w:left="680" w:hanging="680"/>
        <w:jc w:val="both"/>
      </w:pPr>
      <w:bookmarkStart w:id="9" w:name="bookmark9"/>
      <w:bookmarkEnd w:id="9"/>
      <w:r>
        <w:rPr>
          <w:b/>
          <w:bCs/>
        </w:rPr>
        <w:t>5.</w:t>
      </w:r>
      <w:r>
        <w:rPr>
          <w:b/>
          <w:bCs/>
        </w:rPr>
        <w:tab/>
      </w:r>
      <w:r>
        <w:rPr>
          <w:b/>
          <w:bCs/>
        </w:rPr>
        <w:t xml:space="preserve">REQUESTS </w:t>
      </w:r>
      <w:r>
        <w:t>the Commission to employ most effective means to encourage Member States, individually, which have the capacity to and are able to pay over and above their assessed contribution to do so.</w:t>
      </w:r>
    </w:p>
    <w:sectPr w:rsidR="0003636C">
      <w:footnotePr>
        <w:numFmt w:val="upperRoman"/>
      </w:footnotePr>
      <w:pgSz w:w="12240" w:h="16834"/>
      <w:pgMar w:top="1847" w:right="1306" w:bottom="1648" w:left="1372"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02137">
      <w:r>
        <w:separator/>
      </w:r>
    </w:p>
  </w:endnote>
  <w:endnote w:type="continuationSeparator" w:id="0">
    <w:p w:rsidR="00000000" w:rsidRDefault="0070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36C" w:rsidRDefault="00702137">
      <w:r>
        <w:separator/>
      </w:r>
    </w:p>
  </w:footnote>
  <w:footnote w:type="continuationSeparator" w:id="0">
    <w:p w:rsidR="0003636C" w:rsidRDefault="00702137">
      <w:r>
        <w:continuationSeparator/>
      </w:r>
    </w:p>
  </w:footnote>
  <w:footnote w:id="1">
    <w:p w:rsidR="0003636C" w:rsidRDefault="00702137">
      <w:pPr>
        <w:pStyle w:val="Footnote0"/>
        <w:ind w:firstLine="0"/>
        <w:rPr>
          <w:sz w:val="16"/>
          <w:szCs w:val="16"/>
        </w:rPr>
      </w:pPr>
      <w:r>
        <w:rPr>
          <w:b/>
          <w:bCs/>
          <w:sz w:val="16"/>
          <w:szCs w:val="16"/>
        </w:rPr>
        <w:t>Reservations made by the Sudan and Burundi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5640F"/>
    <w:multiLevelType w:val="multilevel"/>
    <w:tmpl w:val="D174D3C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415C20"/>
    <w:multiLevelType w:val="multilevel"/>
    <w:tmpl w:val="1638B6D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8420867">
    <w:abstractNumId w:val="1"/>
  </w:num>
  <w:num w:numId="2" w16cid:durableId="54725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6C"/>
    <w:rsid w:val="0003636C"/>
    <w:rsid w:val="0070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2022-10-26T06:21:00Z</dcterms:created>
  <dcterms:modified xsi:type="dcterms:W3CDTF">2022-10-26T06:21:00Z</dcterms:modified>
</cp:coreProperties>
</file>