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364" w:rsidRDefault="001D125A">
      <w:pPr>
        <w:pStyle w:val="BodyText"/>
        <w:spacing w:before="360" w:after="500"/>
        <w:jc w:val="center"/>
      </w:pPr>
      <w:r>
        <w:rPr>
          <w:b/>
          <w:bCs/>
        </w:rPr>
        <w:t>DECISION ON SPECIALISED TECHNICAL COMMITTEES (STCs)</w:t>
      </w:r>
      <w:r>
        <w:rPr>
          <w:b/>
          <w:bCs/>
        </w:rPr>
        <w:br/>
        <w:t>Doc. EX. CL/970, 71, 72 &amp; 974(XXVII)</w:t>
      </w:r>
    </w:p>
    <w:p w:rsidR="00B26364" w:rsidRDefault="001D125A">
      <w:pPr>
        <w:pStyle w:val="Heading10"/>
        <w:keepNext/>
        <w:keepLines/>
        <w:spacing w:after="2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B26364" w:rsidRDefault="001D125A" w:rsidP="001D125A">
      <w:pPr>
        <w:pStyle w:val="BodyText"/>
        <w:tabs>
          <w:tab w:val="left" w:pos="713"/>
        </w:tabs>
        <w:spacing w:after="260"/>
        <w:ind w:left="680" w:hanging="68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all the reports of the Specialised Technical Committees and </w:t>
      </w:r>
      <w:r>
        <w:rPr>
          <w:b/>
          <w:bCs/>
        </w:rPr>
        <w:t xml:space="preserve">ADOPTS </w:t>
      </w:r>
      <w:r>
        <w:t>the recommendations contained therein;</w:t>
      </w:r>
    </w:p>
    <w:p w:rsidR="00B26364" w:rsidRDefault="001D125A" w:rsidP="001D125A">
      <w:pPr>
        <w:pStyle w:val="Heading10"/>
        <w:keepNext/>
        <w:keepLines/>
        <w:tabs>
          <w:tab w:val="left" w:pos="1276"/>
        </w:tabs>
        <w:spacing w:after="260"/>
        <w:ind w:firstLine="680"/>
        <w:jc w:val="both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rPr>
          <w:shd w:val="clear" w:color="auto" w:fill="FFFFFF"/>
        </w:rPr>
        <w:t>A.</w:t>
      </w:r>
      <w:r>
        <w:rPr>
          <w:shd w:val="clear" w:color="auto" w:fill="FFFFFF"/>
        </w:rPr>
        <w:tab/>
      </w:r>
      <w:r>
        <w:t xml:space="preserve">On Gender </w:t>
      </w:r>
      <w:r>
        <w:t>Equality And Women Empowerment - Doc. EX.CL/970(XXIX)</w:t>
      </w:r>
      <w:bookmarkEnd w:id="5"/>
      <w:bookmarkEnd w:id="6"/>
      <w:bookmarkEnd w:id="7"/>
    </w:p>
    <w:p w:rsidR="00B26364" w:rsidRDefault="001D125A" w:rsidP="001D125A">
      <w:pPr>
        <w:pStyle w:val="BodyText"/>
        <w:tabs>
          <w:tab w:val="left" w:pos="713"/>
        </w:tabs>
        <w:spacing w:after="260"/>
        <w:ind w:left="680" w:hanging="680"/>
        <w:jc w:val="both"/>
      </w:pPr>
      <w:bookmarkStart w:id="8" w:name="bookmark8"/>
      <w:bookmarkEnd w:id="8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Specialized Technical Committee on Gender Equality and Women Empowerment held on January 18, 2016 in Addis Ababa, and adopts the recommendations contained in the Communiq</w:t>
      </w:r>
      <w:r>
        <w:t>ue;</w:t>
      </w:r>
    </w:p>
    <w:p w:rsidR="00B26364" w:rsidRDefault="001D125A" w:rsidP="001D125A">
      <w:pPr>
        <w:pStyle w:val="BodyText"/>
        <w:tabs>
          <w:tab w:val="left" w:pos="713"/>
        </w:tabs>
        <w:spacing w:after="260"/>
        <w:ind w:left="680" w:hanging="680"/>
        <w:jc w:val="both"/>
      </w:pPr>
      <w:bookmarkStart w:id="9" w:name="bookmark9"/>
      <w:bookmarkEnd w:id="9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competent Sub-Committee of the Permanent Representatives Committee to examine recommendation 19 on guaranteeing a gender alternating system in the leadership of the Commission within the framework of the review of the Rules of procedure of</w:t>
      </w:r>
      <w:r>
        <w:t xml:space="preserve"> the Policy organs;</w:t>
      </w:r>
    </w:p>
    <w:p w:rsidR="00B26364" w:rsidRDefault="001D125A" w:rsidP="001D125A">
      <w:pPr>
        <w:pStyle w:val="Heading10"/>
        <w:keepNext/>
        <w:keepLines/>
        <w:tabs>
          <w:tab w:val="left" w:pos="1276"/>
        </w:tabs>
        <w:spacing w:after="260"/>
        <w:ind w:left="1280" w:hanging="560"/>
        <w:jc w:val="both"/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>
        <w:rPr>
          <w:shd w:val="clear" w:color="auto" w:fill="FFFFFF"/>
        </w:rPr>
        <w:t>B.</w:t>
      </w:r>
      <w:r>
        <w:rPr>
          <w:shd w:val="clear" w:color="auto" w:fill="FFFFFF"/>
        </w:rPr>
        <w:tab/>
      </w:r>
      <w:r>
        <w:t>On Finance, Monetary Affairs, Economic Planning and Integration - Doc. EX.CL/971(XXIX)</w:t>
      </w:r>
      <w:bookmarkEnd w:id="11"/>
      <w:bookmarkEnd w:id="12"/>
      <w:bookmarkEnd w:id="13"/>
    </w:p>
    <w:p w:rsidR="00B26364" w:rsidRDefault="001D125A" w:rsidP="001D125A">
      <w:pPr>
        <w:pStyle w:val="BodyText"/>
        <w:tabs>
          <w:tab w:val="left" w:pos="713"/>
        </w:tabs>
        <w:spacing w:after="260"/>
        <w:ind w:left="680" w:hanging="680"/>
        <w:jc w:val="both"/>
      </w:pPr>
      <w:bookmarkStart w:id="14" w:name="bookmark14"/>
      <w:bookmarkEnd w:id="14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DECLARES </w:t>
      </w:r>
      <w:r>
        <w:t>2017-2026 as the Decade for repositioning Civil Registration and Vital Statistics (CRVS) in Africa’s continental, regional and national deve</w:t>
      </w:r>
      <w:r>
        <w:t xml:space="preserve">lopment agenda and </w:t>
      </w:r>
      <w:r>
        <w:rPr>
          <w:b/>
          <w:bCs/>
        </w:rPr>
        <w:t xml:space="preserve">URGES </w:t>
      </w:r>
      <w:r>
        <w:t>governments to respond with appropriate action;</w:t>
      </w:r>
    </w:p>
    <w:p w:rsidR="00B26364" w:rsidRDefault="001D125A" w:rsidP="001D125A">
      <w:pPr>
        <w:pStyle w:val="BodyText"/>
        <w:tabs>
          <w:tab w:val="left" w:pos="1276"/>
        </w:tabs>
        <w:spacing w:after="260"/>
        <w:ind w:firstLine="680"/>
        <w:jc w:val="both"/>
      </w:pPr>
      <w:bookmarkStart w:id="15" w:name="bookmark15"/>
      <w:bookmarkEnd w:id="15"/>
      <w:r>
        <w:rPr>
          <w:b/>
          <w:bCs/>
          <w:shd w:val="clear" w:color="auto" w:fill="FFFFFF"/>
        </w:rPr>
        <w:t>C.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>On Trade, Industry and Minerals - Doc. EX.CL/972(XXIX)</w:t>
      </w:r>
    </w:p>
    <w:p w:rsidR="00B26364" w:rsidRDefault="001D125A" w:rsidP="001D125A">
      <w:pPr>
        <w:pStyle w:val="BodyText"/>
        <w:tabs>
          <w:tab w:val="left" w:pos="713"/>
        </w:tabs>
        <w:spacing w:after="260"/>
        <w:ind w:left="680" w:hanging="680"/>
        <w:jc w:val="both"/>
      </w:pPr>
      <w:bookmarkStart w:id="16" w:name="bookmark16"/>
      <w:bookmarkEnd w:id="16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Assembly to declare 2019 as the Year of </w:t>
      </w:r>
      <w:r>
        <w:rPr>
          <w:i/>
          <w:iCs/>
        </w:rPr>
        <w:t>“Africa’s Structural Transformation through Industrialization and Mineral R</w:t>
      </w:r>
      <w:r>
        <w:rPr>
          <w:i/>
          <w:iCs/>
        </w:rPr>
        <w:t>esources Development under Agenda 2063”;</w:t>
      </w:r>
    </w:p>
    <w:p w:rsidR="00B26364" w:rsidRDefault="001D125A" w:rsidP="001D125A">
      <w:pPr>
        <w:pStyle w:val="BodyText"/>
        <w:tabs>
          <w:tab w:val="left" w:pos="713"/>
        </w:tabs>
        <w:spacing w:after="260" w:line="230" w:lineRule="auto"/>
        <w:ind w:left="680" w:hanging="680"/>
        <w:jc w:val="both"/>
      </w:pPr>
      <w:bookmarkStart w:id="17" w:name="bookmark17"/>
      <w:bookmarkEnd w:id="17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 Commission to mobilise the necessary resources to carry out the following activities:</w:t>
      </w:r>
    </w:p>
    <w:p w:rsidR="00B26364" w:rsidRDefault="001D125A" w:rsidP="001D125A">
      <w:pPr>
        <w:pStyle w:val="BodyText"/>
        <w:tabs>
          <w:tab w:val="left" w:pos="1276"/>
        </w:tabs>
        <w:spacing w:after="260"/>
        <w:ind w:left="1280" w:hanging="560"/>
        <w:jc w:val="both"/>
      </w:pPr>
      <w:bookmarkStart w:id="18" w:name="bookmark18"/>
      <w:bookmarkEnd w:id="18"/>
      <w:r>
        <w:rPr>
          <w:shd w:val="clear" w:color="auto" w:fill="FFFFFF"/>
        </w:rPr>
        <w:t>i)</w:t>
      </w:r>
      <w:r>
        <w:rPr>
          <w:shd w:val="clear" w:color="auto" w:fill="FFFFFF"/>
        </w:rPr>
        <w:tab/>
      </w:r>
      <w:r>
        <w:t xml:space="preserve">Organise meetings of the Sub-Committees on Trade, Industry, Minerals and Directors General of </w:t>
      </w:r>
      <w:r>
        <w:t>Geological Surveys;</w:t>
      </w:r>
    </w:p>
    <w:p w:rsidR="00B26364" w:rsidRDefault="001D125A" w:rsidP="001D125A">
      <w:pPr>
        <w:pStyle w:val="BodyText"/>
        <w:tabs>
          <w:tab w:val="left" w:pos="1276"/>
        </w:tabs>
        <w:spacing w:after="260"/>
        <w:ind w:left="1280" w:hanging="560"/>
        <w:jc w:val="both"/>
      </w:pPr>
      <w:bookmarkStart w:id="19" w:name="bookmark19"/>
      <w:bookmarkEnd w:id="19"/>
      <w:r>
        <w:rPr>
          <w:shd w:val="clear" w:color="auto" w:fill="FFFFFF"/>
        </w:rPr>
        <w:t>ii)</w:t>
      </w:r>
      <w:r>
        <w:rPr>
          <w:shd w:val="clear" w:color="auto" w:fill="FFFFFF"/>
        </w:rPr>
        <w:tab/>
      </w:r>
      <w:r>
        <w:t>Undertake technical studies with pertinent data underlining Africa’s potential in trade, industry and mining sectors in order to boost investments in identified priority sectors including pharmaceuticals;</w:t>
      </w:r>
    </w:p>
    <w:p w:rsidR="00B26364" w:rsidRDefault="001D125A" w:rsidP="001D125A">
      <w:pPr>
        <w:pStyle w:val="BodyText"/>
        <w:tabs>
          <w:tab w:val="left" w:pos="1324"/>
        </w:tabs>
        <w:spacing w:after="260"/>
        <w:ind w:left="1380" w:hanging="660"/>
        <w:jc w:val="both"/>
      </w:pPr>
      <w:bookmarkStart w:id="20" w:name="bookmark20"/>
      <w:bookmarkEnd w:id="20"/>
      <w:r>
        <w:rPr>
          <w:shd w:val="clear" w:color="auto" w:fill="FFFFFF"/>
        </w:rPr>
        <w:t>iii)</w:t>
      </w:r>
      <w:r>
        <w:rPr>
          <w:shd w:val="clear" w:color="auto" w:fill="FFFFFF"/>
        </w:rPr>
        <w:tab/>
      </w:r>
      <w:r>
        <w:t>In collaboration with UNECA, un</w:t>
      </w:r>
      <w:r>
        <w:t xml:space="preserve">dertake a study that will enable Africa to formulate </w:t>
      </w:r>
      <w:r>
        <w:lastRenderedPageBreak/>
        <w:t>a common approach to future Africa-US trade and investment relations including an analysis on the low utilization of AGOA.</w:t>
      </w:r>
    </w:p>
    <w:p w:rsidR="00B26364" w:rsidRDefault="001D125A" w:rsidP="001D125A">
      <w:pPr>
        <w:pStyle w:val="Heading10"/>
        <w:keepNext/>
        <w:keepLines/>
        <w:tabs>
          <w:tab w:val="left" w:pos="1324"/>
        </w:tabs>
        <w:spacing w:after="260"/>
        <w:ind w:firstLine="840"/>
        <w:jc w:val="both"/>
      </w:pPr>
      <w:bookmarkStart w:id="21" w:name="bookmark23"/>
      <w:bookmarkStart w:id="22" w:name="bookmark21"/>
      <w:bookmarkStart w:id="23" w:name="bookmark22"/>
      <w:bookmarkStart w:id="24" w:name="bookmark24"/>
      <w:bookmarkEnd w:id="21"/>
      <w:r>
        <w:rPr>
          <w:shd w:val="clear" w:color="auto" w:fill="FFFFFF"/>
        </w:rPr>
        <w:t>D.</w:t>
      </w:r>
      <w:r>
        <w:rPr>
          <w:shd w:val="clear" w:color="auto" w:fill="FFFFFF"/>
        </w:rPr>
        <w:tab/>
      </w:r>
      <w:r>
        <w:t>On Youth, Culture and Sport - Doc. EX.CL/974(XXIX)</w:t>
      </w:r>
      <w:bookmarkEnd w:id="22"/>
      <w:bookmarkEnd w:id="23"/>
      <w:bookmarkEnd w:id="24"/>
    </w:p>
    <w:p w:rsidR="00B26364" w:rsidRDefault="001D125A" w:rsidP="001D125A">
      <w:pPr>
        <w:pStyle w:val="BodyText"/>
        <w:tabs>
          <w:tab w:val="left" w:pos="707"/>
        </w:tabs>
        <w:spacing w:after="260"/>
        <w:ind w:left="700" w:hanging="700"/>
        <w:jc w:val="both"/>
      </w:pPr>
      <w:bookmarkStart w:id="25" w:name="bookmark25"/>
      <w:bookmarkEnd w:id="25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ex</w:t>
      </w:r>
      <w:r>
        <w:t>pedite the establishment of the African Youth Development Fund and develop clear programs and initiatives to address emerging issues affecting young people, including migration;</w:t>
      </w:r>
    </w:p>
    <w:p w:rsidR="00B26364" w:rsidRDefault="001D125A" w:rsidP="001D125A">
      <w:pPr>
        <w:pStyle w:val="BodyText"/>
        <w:tabs>
          <w:tab w:val="left" w:pos="707"/>
        </w:tabs>
        <w:spacing w:after="260"/>
        <w:ind w:left="700" w:hanging="700"/>
        <w:jc w:val="both"/>
      </w:pPr>
      <w:bookmarkStart w:id="26" w:name="bookmark26"/>
      <w:bookmarkEnd w:id="26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Member States to engage in the process of development of the Africa</w:t>
      </w:r>
      <w:r>
        <w:t>n Union Model Law on the Protection of Cultural Property/Heritage through regional consultations to take place in 2016 and 2017 to ensure ownership of the Model Law;</w:t>
      </w:r>
    </w:p>
    <w:p w:rsidR="00B26364" w:rsidRDefault="001D125A" w:rsidP="001D125A">
      <w:pPr>
        <w:pStyle w:val="BodyText"/>
        <w:tabs>
          <w:tab w:val="left" w:pos="707"/>
        </w:tabs>
        <w:spacing w:after="260"/>
        <w:jc w:val="both"/>
      </w:pPr>
      <w:bookmarkStart w:id="27" w:name="bookmark27"/>
      <w:bookmarkEnd w:id="27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Member States to:</w:t>
      </w:r>
    </w:p>
    <w:p w:rsidR="00B26364" w:rsidRDefault="001D125A" w:rsidP="001D125A">
      <w:pPr>
        <w:pStyle w:val="BodyText"/>
        <w:tabs>
          <w:tab w:val="left" w:pos="1324"/>
        </w:tabs>
        <w:spacing w:after="260"/>
        <w:ind w:left="1260" w:hanging="540"/>
        <w:jc w:val="both"/>
      </w:pPr>
      <w:bookmarkStart w:id="28" w:name="bookmark28"/>
      <w:bookmarkEnd w:id="28"/>
      <w:r>
        <w:t>i)</w:t>
      </w:r>
      <w:r>
        <w:tab/>
      </w:r>
      <w:r>
        <w:t>Comply with UNESCO Convention on Doping and other Instruments to p</w:t>
      </w:r>
      <w:r>
        <w:t xml:space="preserve">romote a drug free environment in all competitions; and </w:t>
      </w:r>
      <w:r>
        <w:rPr>
          <w:b/>
          <w:bCs/>
        </w:rPr>
        <w:t xml:space="preserve">REQUESTS </w:t>
      </w:r>
      <w:r>
        <w:t>the Commission in collaboration with the World Anti-doping Agency (WADA) to convene an Anti- Doping forum to sensitize Member States on the fight against doping in Sport in June 2017;</w:t>
      </w:r>
    </w:p>
    <w:p w:rsidR="00B26364" w:rsidRDefault="001D125A" w:rsidP="001D125A">
      <w:pPr>
        <w:pStyle w:val="BodyText"/>
        <w:tabs>
          <w:tab w:val="left" w:pos="1324"/>
        </w:tabs>
        <w:spacing w:after="260"/>
        <w:ind w:left="1260" w:hanging="540"/>
        <w:jc w:val="both"/>
      </w:pPr>
      <w:bookmarkStart w:id="29" w:name="bookmark29"/>
      <w:bookmarkEnd w:id="29"/>
      <w:r>
        <w:t>ii)</w:t>
      </w:r>
      <w:r>
        <w:tab/>
      </w:r>
      <w:r>
        <w:t>Approve</w:t>
      </w:r>
      <w:r>
        <w:t xml:space="preserve"> the proposal by the Sudan to convene a workshop on the African Capitals cities in Khartoum, Sudan in 2016 in collaboration with the Commission;</w:t>
      </w:r>
    </w:p>
    <w:p w:rsidR="00B26364" w:rsidRDefault="001D125A" w:rsidP="001D125A">
      <w:pPr>
        <w:pStyle w:val="BodyText"/>
        <w:tabs>
          <w:tab w:val="left" w:pos="1324"/>
        </w:tabs>
        <w:spacing w:after="260"/>
        <w:ind w:left="1260" w:hanging="540"/>
        <w:jc w:val="both"/>
      </w:pPr>
      <w:bookmarkStart w:id="30" w:name="bookmark30"/>
      <w:bookmarkEnd w:id="30"/>
      <w:r>
        <w:t>iii)</w:t>
      </w:r>
      <w:r>
        <w:tab/>
      </w:r>
      <w:r>
        <w:t>Provide technical and financial support to the Great Museum of Africa being established in Algiers, Algeria and</w:t>
      </w:r>
      <w:r>
        <w:t xml:space="preserve"> </w:t>
      </w:r>
      <w:r>
        <w:rPr>
          <w:b/>
          <w:bCs/>
        </w:rPr>
        <w:t xml:space="preserve">RECOMMENDS </w:t>
      </w:r>
      <w:r>
        <w:t xml:space="preserve">that the Great Museum of Africa becomes one of the Flagship programmes of the AU Agenda 2063 in the first ten (10) year plan for the arts and culture sector; and in this regard, </w:t>
      </w:r>
      <w:r>
        <w:rPr>
          <w:b/>
          <w:bCs/>
        </w:rPr>
        <w:t xml:space="preserve">AGREES </w:t>
      </w:r>
      <w:r>
        <w:t>to establish a Technical and Advisory Committee composed of</w:t>
      </w:r>
      <w:r>
        <w:t xml:space="preserve"> Member States, the Commission and stakeholders led by Algeria to develop the road-map for the launching of the Great Museum of Africa.</w:t>
      </w:r>
    </w:p>
    <w:p w:rsidR="00B26364" w:rsidRDefault="001D125A" w:rsidP="001D125A">
      <w:pPr>
        <w:pStyle w:val="BodyText"/>
        <w:tabs>
          <w:tab w:val="left" w:pos="707"/>
        </w:tabs>
        <w:spacing w:after="260"/>
        <w:ind w:left="700" w:hanging="700"/>
        <w:jc w:val="both"/>
      </w:pPr>
      <w:bookmarkStart w:id="31" w:name="bookmark31"/>
      <w:bookmarkEnd w:id="31"/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 xml:space="preserve">the offer by Equatorial Guinea to host the 2019 African Games; and </w:t>
      </w:r>
      <w:r>
        <w:rPr>
          <w:b/>
          <w:bCs/>
        </w:rPr>
        <w:t xml:space="preserve">INVITES </w:t>
      </w:r>
      <w:r>
        <w:t>Member States to submit bids for hos</w:t>
      </w:r>
      <w:r>
        <w:t>ting the 2023 African Games;</w:t>
      </w:r>
    </w:p>
    <w:p w:rsidR="00B26364" w:rsidRDefault="001D125A" w:rsidP="001D125A">
      <w:pPr>
        <w:pStyle w:val="BodyText"/>
        <w:tabs>
          <w:tab w:val="left" w:pos="707"/>
        </w:tabs>
        <w:spacing w:after="260"/>
        <w:ind w:left="700" w:hanging="700"/>
        <w:jc w:val="both"/>
      </w:pPr>
      <w:bookmarkStart w:id="32" w:name="bookmark32"/>
      <w:bookmarkEnd w:id="32"/>
      <w:r>
        <w:rPr>
          <w:b/>
          <w:bCs/>
        </w:rPr>
        <w:t>11.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proposal by the Democratic Republic of Congo (DRC) to institutionalize an Africa Music Day to be celebrated on 24 April each year in memory of the artist/musician Wembadio Shungu also known as “Papa Wemba”;</w:t>
      </w:r>
    </w:p>
    <w:p w:rsidR="00B26364" w:rsidRDefault="001D125A" w:rsidP="001D125A">
      <w:pPr>
        <w:pStyle w:val="BodyText"/>
        <w:tabs>
          <w:tab w:val="left" w:pos="707"/>
        </w:tabs>
        <w:spacing w:after="260"/>
        <w:ind w:left="700" w:hanging="700"/>
        <w:jc w:val="both"/>
      </w:pPr>
      <w:bookmarkStart w:id="33" w:name="bookmark33"/>
      <w:bookmarkEnd w:id="33"/>
      <w:r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</w:rPr>
        <w:t>ALSO AP</w:t>
      </w:r>
      <w:r>
        <w:rPr>
          <w:b/>
          <w:bCs/>
        </w:rPr>
        <w:t xml:space="preserve">PROVES </w:t>
      </w:r>
      <w:r>
        <w:t xml:space="preserve">the offer by the Republic of Congo to host the Pan-African Festival on Music (FESPAM); in this regard, </w:t>
      </w:r>
      <w:r>
        <w:rPr>
          <w:b/>
          <w:bCs/>
        </w:rPr>
        <w:t xml:space="preserve">REQUESTS </w:t>
      </w:r>
      <w:r>
        <w:t>the Commission to assist the Republic of Congo to submit a working document on the role to be played by all stakeholders in the organizat</w:t>
      </w:r>
      <w:r>
        <w:t xml:space="preserve">ion of the activities of FESPAM; also </w:t>
      </w:r>
      <w:r>
        <w:rPr>
          <w:b/>
          <w:bCs/>
        </w:rPr>
        <w:t xml:space="preserve">CALLS ON </w:t>
      </w:r>
      <w:r>
        <w:t>all Member States and the Diaspora to participate fully in the festival;</w:t>
      </w:r>
    </w:p>
    <w:p w:rsidR="00B26364" w:rsidRDefault="001D125A" w:rsidP="001D125A">
      <w:pPr>
        <w:pStyle w:val="BodyText"/>
        <w:tabs>
          <w:tab w:val="left" w:pos="710"/>
        </w:tabs>
        <w:spacing w:after="240"/>
        <w:ind w:left="700" w:hanging="700"/>
        <w:jc w:val="both"/>
      </w:pPr>
      <w:bookmarkStart w:id="34" w:name="bookmark34"/>
      <w:bookmarkEnd w:id="34"/>
      <w:r>
        <w:rPr>
          <w:b/>
          <w:bCs/>
        </w:rPr>
        <w:t>13.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 xml:space="preserve">the Roadmap and accompanying matrix of key activities as the main guiding </w:t>
      </w:r>
      <w:r>
        <w:lastRenderedPageBreak/>
        <w:t xml:space="preserve">framework for the commemoration of the 2017 theme of the year </w:t>
      </w:r>
      <w:r>
        <w:rPr>
          <w:b/>
          <w:bCs/>
        </w:rPr>
        <w:t xml:space="preserve">“On Harnessing Dividend Through Investment in Youth” </w:t>
      </w:r>
      <w:r>
        <w:t xml:space="preserve">and </w:t>
      </w:r>
      <w:r>
        <w:rPr>
          <w:b/>
          <w:bCs/>
        </w:rPr>
        <w:t xml:space="preserve">CALLS ON </w:t>
      </w:r>
      <w:r>
        <w:t xml:space="preserve">all Member States and Regional Economic </w:t>
      </w:r>
      <w:r>
        <w:t>Communities to be guided by its recommendations and key actions to help position Africa towards harnessing the demographic dividend;</w:t>
      </w:r>
    </w:p>
    <w:p w:rsidR="00B26364" w:rsidRDefault="001D125A" w:rsidP="001D125A">
      <w:pPr>
        <w:pStyle w:val="BodyText"/>
        <w:tabs>
          <w:tab w:val="left" w:pos="710"/>
        </w:tabs>
        <w:spacing w:after="0"/>
        <w:ind w:left="700" w:hanging="700"/>
        <w:jc w:val="both"/>
      </w:pPr>
      <w:bookmarkStart w:id="35" w:name="bookmark35"/>
      <w:bookmarkEnd w:id="35"/>
      <w:r>
        <w:rPr>
          <w:b/>
          <w:bCs/>
        </w:rPr>
        <w:t>14.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convene an extraordinary session of the Specialized Technical Committee on Youth, Culture and Sp</w:t>
      </w:r>
      <w:r>
        <w:t xml:space="preserve">ort (STC-YCS2) in September 2016 to consider the Draft Statute of the African Film Commission and </w:t>
      </w:r>
      <w:r>
        <w:rPr>
          <w:b/>
          <w:bCs/>
        </w:rPr>
        <w:t xml:space="preserve">ACCEPTS </w:t>
      </w:r>
      <w:r>
        <w:t>the offer of the Republic of Kenya to host the extraordinary session.</w:t>
      </w:r>
    </w:p>
    <w:sectPr w:rsidR="00B26364">
      <w:pgSz w:w="12240" w:h="16834"/>
      <w:pgMar w:top="1955" w:right="1040" w:bottom="2394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D125A">
      <w:r>
        <w:separator/>
      </w:r>
    </w:p>
  </w:endnote>
  <w:endnote w:type="continuationSeparator" w:id="0">
    <w:p w:rsidR="00000000" w:rsidRDefault="001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364" w:rsidRDefault="001D125A">
      <w:r>
        <w:separator/>
      </w:r>
    </w:p>
  </w:footnote>
  <w:footnote w:type="continuationSeparator" w:id="0">
    <w:p w:rsidR="00B26364" w:rsidRDefault="001D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C48"/>
    <w:multiLevelType w:val="multilevel"/>
    <w:tmpl w:val="C2C6BD0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B4B08"/>
    <w:multiLevelType w:val="multilevel"/>
    <w:tmpl w:val="7D1073A2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855EE8"/>
    <w:multiLevelType w:val="multilevel"/>
    <w:tmpl w:val="759AF6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A4ADE"/>
    <w:multiLevelType w:val="multilevel"/>
    <w:tmpl w:val="E5CA320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9008999">
    <w:abstractNumId w:val="2"/>
  </w:num>
  <w:num w:numId="2" w16cid:durableId="150681021">
    <w:abstractNumId w:val="0"/>
  </w:num>
  <w:num w:numId="3" w16cid:durableId="811215360">
    <w:abstractNumId w:val="1"/>
  </w:num>
  <w:num w:numId="4" w16cid:durableId="267125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64"/>
    <w:rsid w:val="001D125A"/>
    <w:rsid w:val="00B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2022-10-26T06:24:00Z</dcterms:created>
  <dcterms:modified xsi:type="dcterms:W3CDTF">2022-10-26T06:24:00Z</dcterms:modified>
</cp:coreProperties>
</file>