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815" w:rsidRDefault="001B6CB1">
      <w:pPr>
        <w:pStyle w:val="BodyText"/>
        <w:spacing w:after="0"/>
        <w:ind w:left="1340"/>
      </w:pPr>
      <w:r>
        <w:rPr>
          <w:b/>
          <w:bCs/>
        </w:rPr>
        <w:t>DECISION ON THE HUMANITARIAN SITUATION IN AFRICA</w:t>
      </w:r>
    </w:p>
    <w:p w:rsidR="00056815" w:rsidRDefault="001B6CB1">
      <w:pPr>
        <w:pStyle w:val="BodyText"/>
        <w:spacing w:after="260"/>
        <w:jc w:val="center"/>
      </w:pPr>
      <w:r>
        <w:rPr>
          <w:b/>
          <w:bCs/>
        </w:rPr>
        <w:t>Doc. EX.CL/1082(XXXIII)</w:t>
      </w:r>
    </w:p>
    <w:p w:rsidR="00056815" w:rsidRDefault="001B6CB1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NOTES WITH CONCERN </w:t>
      </w:r>
      <w:r>
        <w:t xml:space="preserve">the seriousness and complexities of the humanitarian situation in Africa which continues to be driven by conflicts, terrorism, </w:t>
      </w:r>
      <w:r>
        <w:t>political instability and natural disasters, including climate change related issues;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STRESSES </w:t>
      </w:r>
      <w:r>
        <w:t xml:space="preserve">the importance of political, economic and social solutions to humanitarian challenges on the continent and </w:t>
      </w:r>
      <w:r>
        <w:rPr>
          <w:b/>
          <w:bCs/>
        </w:rPr>
        <w:t xml:space="preserve">URGES </w:t>
      </w:r>
      <w:r>
        <w:t>Member States to scale up efforts on tangible me</w:t>
      </w:r>
      <w:r>
        <w:t>asures to address the structural root causes of humanitarian crises and forced displacement;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Member States that continue to host refugees, IDPs and migrants for their solidarity and hospitality in the spirit of Pan-Africanism;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RECOGNIZES </w:t>
      </w:r>
      <w:r>
        <w:t>the impor</w:t>
      </w:r>
      <w:r>
        <w:t>tance of involving the host communities when providing humanitarian aid to refugees as they share the same fragile infrastructure;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Member States to enhance sustainable investment on building capacities to prevent, prepare, respond and recover fr</w:t>
      </w:r>
      <w:r>
        <w:t>om conflict-related, human induced and natural disasters and take measures to put an end to conflicts;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Member States to implement the priorities and commitments stipulated in the Common African Position on Humanitarian Effectiveness to strengthen </w:t>
      </w:r>
      <w:r>
        <w:t>humanitarian action at national, regional and continental levels, in close cooperation with international humanitarian actors;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efforts of Member States, Commission and the humanitarian partners of the AU, including the UN International Organiz</w:t>
      </w:r>
      <w:r>
        <w:t xml:space="preserve">ation of Migration (IOM), which supported and facilitated the safe, voluntary and dignified return of stranded African migrants and refugees in Libya and </w:t>
      </w:r>
      <w:r>
        <w:rPr>
          <w:b/>
          <w:bCs/>
        </w:rPr>
        <w:t xml:space="preserve">WELCOMES </w:t>
      </w:r>
      <w:r>
        <w:t>the efforts made by Libya in addressing the issue in cooperation with the international commu</w:t>
      </w:r>
      <w:r>
        <w:t>nity;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CALLS ON </w:t>
      </w:r>
      <w:r>
        <w:t>Member States to implement the Executive Council decision, EX.CL/Dec.709(XXI), which called for the gradual increment of the contribution from the AU Budget to the Humanitarian Fund from 2 to 4 percent;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 xml:space="preserve">Member States to adopt and </w:t>
      </w:r>
      <w:r>
        <w:t>implement policies in respect of reintegration and rehabilitation of returnees;</w:t>
      </w:r>
    </w:p>
    <w:p w:rsidR="00056815" w:rsidRDefault="001B6CB1" w:rsidP="001B6CB1">
      <w:pPr>
        <w:pStyle w:val="BodyText"/>
        <w:tabs>
          <w:tab w:val="left" w:pos="723"/>
        </w:tabs>
        <w:spacing w:after="260"/>
        <w:ind w:left="720" w:hanging="720"/>
        <w:jc w:val="both"/>
      </w:pPr>
      <w:bookmarkStart w:id="12" w:name="bookmark12"/>
      <w:bookmarkEnd w:id="12"/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 xml:space="preserve">CALLS ON </w:t>
      </w:r>
      <w:r>
        <w:t>Member States that have not yet done so, to sign, ratify and implement the OAU Convention governing the specific aspects of refugee problems in Africa and the AU Conve</w:t>
      </w:r>
      <w:r>
        <w:t>ntion for the protection and assistance of Internally Displaced Persons in Africa;</w:t>
      </w:r>
    </w:p>
    <w:p w:rsidR="00056815" w:rsidRDefault="001B6CB1" w:rsidP="001B6CB1">
      <w:pPr>
        <w:pStyle w:val="BodyText"/>
        <w:tabs>
          <w:tab w:val="left" w:pos="719"/>
        </w:tabs>
        <w:spacing w:after="260"/>
        <w:ind w:left="700" w:hanging="700"/>
        <w:jc w:val="both"/>
      </w:pPr>
      <w:bookmarkStart w:id="13" w:name="bookmark13"/>
      <w:bookmarkEnd w:id="13"/>
      <w:r>
        <w:rPr>
          <w:b/>
          <w:bCs/>
        </w:rPr>
        <w:lastRenderedPageBreak/>
        <w:t>11.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Member States to implement the African common position on the Global Compact for Safe, Orderly and Regular Migration which will be adopted at the Intergovernmental Con</w:t>
      </w:r>
      <w:r>
        <w:t>ference to be held in Marrakech, Morocco, on 10 and 11 December 2018, so as to allow Africa to speak with one voice;</w:t>
      </w:r>
    </w:p>
    <w:p w:rsidR="00056815" w:rsidRDefault="001B6CB1" w:rsidP="001B6CB1">
      <w:pPr>
        <w:pStyle w:val="BodyText"/>
        <w:tabs>
          <w:tab w:val="left" w:pos="719"/>
        </w:tabs>
        <w:spacing w:after="260"/>
        <w:ind w:left="700" w:hanging="700"/>
        <w:jc w:val="both"/>
      </w:pPr>
      <w:bookmarkStart w:id="14" w:name="bookmark14"/>
      <w:bookmarkEnd w:id="14"/>
      <w:r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</w:rPr>
        <w:t xml:space="preserve">UNDERLINES </w:t>
      </w:r>
      <w:r>
        <w:t>the importance of studies, research, data collection and information exchange in the field of migration and refugees for an effi</w:t>
      </w:r>
      <w:r>
        <w:t>cient and coherent African humanitarian action at the national, regional and continental levels;</w:t>
      </w:r>
    </w:p>
    <w:p w:rsidR="00056815" w:rsidRDefault="001B6CB1" w:rsidP="001B6CB1">
      <w:pPr>
        <w:pStyle w:val="BodyText"/>
        <w:tabs>
          <w:tab w:val="left" w:pos="719"/>
        </w:tabs>
        <w:spacing w:after="260"/>
        <w:ind w:left="700" w:hanging="700"/>
        <w:jc w:val="both"/>
      </w:pPr>
      <w:bookmarkStart w:id="15" w:name="bookmark15"/>
      <w:bookmarkEnd w:id="15"/>
      <w:r>
        <w:rPr>
          <w:b/>
          <w:bCs/>
        </w:rPr>
        <w:t>13.</w:t>
      </w:r>
      <w:r>
        <w:rPr>
          <w:b/>
          <w:bCs/>
        </w:rPr>
        <w:tab/>
      </w:r>
      <w:r>
        <w:rPr>
          <w:b/>
          <w:bCs/>
        </w:rPr>
        <w:t xml:space="preserve">EXPRESSES DEEP CONCERN </w:t>
      </w:r>
      <w:r>
        <w:t xml:space="preserve">on the recent outbreak of the Ebola Virus Disease (EVD) and </w:t>
      </w:r>
      <w:r>
        <w:rPr>
          <w:b/>
          <w:bCs/>
        </w:rPr>
        <w:t xml:space="preserve">CALLS ON </w:t>
      </w:r>
      <w:r>
        <w:t>Member States to render requisite support to the Democratic Republi</w:t>
      </w:r>
      <w:r>
        <w:t>c of the Congo (DRC) to effectively respond and prevent future incidents of EVD;</w:t>
      </w:r>
    </w:p>
    <w:p w:rsidR="00056815" w:rsidRDefault="001B6CB1" w:rsidP="001B6CB1">
      <w:pPr>
        <w:pStyle w:val="Heading10"/>
        <w:keepNext/>
        <w:keepLines/>
        <w:tabs>
          <w:tab w:val="left" w:pos="719"/>
        </w:tabs>
        <w:spacing w:after="260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14.</w:t>
      </w:r>
      <w:r>
        <w:tab/>
      </w:r>
      <w:r>
        <w:t>REQUESTS :</w:t>
      </w:r>
      <w:bookmarkEnd w:id="17"/>
      <w:bookmarkEnd w:id="18"/>
      <w:bookmarkEnd w:id="19"/>
    </w:p>
    <w:p w:rsidR="00056815" w:rsidRDefault="001B6CB1" w:rsidP="001B6CB1">
      <w:pPr>
        <w:pStyle w:val="BodyText"/>
        <w:tabs>
          <w:tab w:val="left" w:pos="1421"/>
        </w:tabs>
        <w:spacing w:after="260"/>
        <w:ind w:left="1420" w:hanging="700"/>
        <w:jc w:val="both"/>
      </w:pPr>
      <w:bookmarkStart w:id="20" w:name="bookmark20"/>
      <w:bookmarkEnd w:id="20"/>
      <w:r>
        <w:t>(i)</w:t>
      </w:r>
      <w:r>
        <w:tab/>
      </w:r>
      <w:r>
        <w:t xml:space="preserve">the Commission to develop capacity and mechanisms to gather, analyse and share reliable and verifiable humanitarian data in Africa and to obtain the </w:t>
      </w:r>
      <w:r>
        <w:t>statistics on the humanitarian situation in Africa from the competent national institutions;</w:t>
      </w:r>
    </w:p>
    <w:p w:rsidR="00056815" w:rsidRDefault="001B6CB1" w:rsidP="001B6CB1">
      <w:pPr>
        <w:pStyle w:val="BodyText"/>
        <w:tabs>
          <w:tab w:val="left" w:pos="1421"/>
        </w:tabs>
        <w:spacing w:after="260"/>
        <w:ind w:left="1420" w:hanging="700"/>
        <w:jc w:val="both"/>
      </w:pPr>
      <w:bookmarkStart w:id="21" w:name="bookmark21"/>
      <w:bookmarkEnd w:id="21"/>
      <w:r>
        <w:t>(ii)</w:t>
      </w:r>
      <w:r>
        <w:tab/>
      </w:r>
      <w:r>
        <w:t xml:space="preserve">the Commission, in collaboration with the PRC and other stakeholders, to prepare a Concept Note and Roadmap for 2019 Theme as “the Year of Refugees, Returnees and </w:t>
      </w:r>
      <w:r>
        <w:t>Internally Displaced Persons: Towards Durable Solutions to Forced Displacement in Africa”;</w:t>
      </w:r>
    </w:p>
    <w:p w:rsidR="00056815" w:rsidRDefault="001B6CB1" w:rsidP="001B6CB1">
      <w:pPr>
        <w:pStyle w:val="BodyText"/>
        <w:tabs>
          <w:tab w:val="left" w:pos="719"/>
        </w:tabs>
        <w:spacing w:after="260"/>
        <w:ind w:left="700" w:hanging="700"/>
        <w:jc w:val="both"/>
      </w:pPr>
      <w:bookmarkStart w:id="22" w:name="bookmark22"/>
      <w:bookmarkEnd w:id="22"/>
      <w:r>
        <w:rPr>
          <w:b/>
          <w:bCs/>
        </w:rPr>
        <w:t>15.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host countries to continue assisting refugees that wish to voluntarily return to their countries of origin;</w:t>
      </w:r>
    </w:p>
    <w:p w:rsidR="00056815" w:rsidRDefault="001B6CB1" w:rsidP="001B6CB1">
      <w:pPr>
        <w:pStyle w:val="BodyText"/>
        <w:tabs>
          <w:tab w:val="left" w:pos="719"/>
        </w:tabs>
        <w:spacing w:after="260"/>
        <w:ind w:left="700" w:hanging="700"/>
        <w:jc w:val="both"/>
      </w:pPr>
      <w:bookmarkStart w:id="23" w:name="bookmark23"/>
      <w:bookmarkEnd w:id="23"/>
      <w:r>
        <w:rPr>
          <w:b/>
          <w:bCs/>
        </w:rPr>
        <w:t>16.</w:t>
      </w:r>
      <w:r>
        <w:rPr>
          <w:b/>
          <w:bCs/>
        </w:rPr>
        <w:tab/>
      </w:r>
      <w:r>
        <w:rPr>
          <w:b/>
          <w:bCs/>
        </w:rPr>
        <w:t xml:space="preserve">INVITES </w:t>
      </w:r>
      <w:r>
        <w:t>the Commission to accelerate the proce</w:t>
      </w:r>
      <w:r>
        <w:t>ss of the operationalization of the African Humanitarian Agency, in line with the relevant Policy Organs decisions;</w:t>
      </w:r>
    </w:p>
    <w:p w:rsidR="00056815" w:rsidRDefault="001B6CB1" w:rsidP="001B6CB1">
      <w:pPr>
        <w:pStyle w:val="BodyText"/>
        <w:tabs>
          <w:tab w:val="left" w:pos="719"/>
        </w:tabs>
        <w:spacing w:after="260"/>
        <w:ind w:left="700" w:hanging="700"/>
        <w:jc w:val="both"/>
      </w:pPr>
      <w:bookmarkStart w:id="24" w:name="bookmark24"/>
      <w:bookmarkEnd w:id="24"/>
      <w:r>
        <w:rPr>
          <w:b/>
          <w:bCs/>
        </w:rPr>
        <w:t>17.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 xml:space="preserve">Member States to sign the African Risk Capacity (ARC) Establishment Treaty and work closely with the institution to develop and scale </w:t>
      </w:r>
      <w:r>
        <w:t>up programmes and risk financing tools to address natural disasters, including climate-induced disasters and food insecurity;</w:t>
      </w:r>
    </w:p>
    <w:p w:rsidR="00056815" w:rsidRDefault="001B6CB1" w:rsidP="001B6CB1">
      <w:pPr>
        <w:pStyle w:val="BodyText"/>
        <w:tabs>
          <w:tab w:val="left" w:pos="719"/>
        </w:tabs>
        <w:spacing w:after="260"/>
        <w:ind w:left="700" w:hanging="700"/>
        <w:jc w:val="both"/>
      </w:pPr>
      <w:bookmarkStart w:id="25" w:name="bookmark25"/>
      <w:bookmarkEnd w:id="25"/>
      <w:r>
        <w:rPr>
          <w:b/>
          <w:bCs/>
        </w:rPr>
        <w:t>18.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Executive Council decision EX.CL/Dec.968(XXXI) and </w:t>
      </w:r>
      <w:r>
        <w:rPr>
          <w:b/>
          <w:bCs/>
        </w:rPr>
        <w:t xml:space="preserve">RECOMMENDS </w:t>
      </w:r>
      <w:r>
        <w:t>to the Assembly to declare 2019 as “the Year of Refugees, Re</w:t>
      </w:r>
      <w:r>
        <w:t>turnees and Internally Displaced Persons : Towards Durable Solutions to Forced Displacement in Africa”.</w:t>
      </w:r>
    </w:p>
    <w:sectPr w:rsidR="00056815">
      <w:pgSz w:w="12240" w:h="16834"/>
      <w:pgMar w:top="1942" w:right="793" w:bottom="2158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B6CB1">
      <w:r>
        <w:separator/>
      </w:r>
    </w:p>
  </w:endnote>
  <w:endnote w:type="continuationSeparator" w:id="0">
    <w:p w:rsidR="00000000" w:rsidRDefault="001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815" w:rsidRDefault="001B6CB1">
      <w:r>
        <w:separator/>
      </w:r>
    </w:p>
  </w:footnote>
  <w:footnote w:type="continuationSeparator" w:id="0">
    <w:p w:rsidR="00056815" w:rsidRDefault="001B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13A"/>
    <w:multiLevelType w:val="multilevel"/>
    <w:tmpl w:val="F9A61DC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47B7B"/>
    <w:multiLevelType w:val="multilevel"/>
    <w:tmpl w:val="E744BDD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4459434">
    <w:abstractNumId w:val="1"/>
  </w:num>
  <w:num w:numId="2" w16cid:durableId="76396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15"/>
    <w:rsid w:val="00056815"/>
    <w:rsid w:val="001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