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9E4" w:rsidRDefault="001710DC">
      <w:pPr>
        <w:pStyle w:val="BodyText"/>
        <w:spacing w:after="260"/>
        <w:jc w:val="center"/>
      </w:pPr>
      <w:r>
        <w:rPr>
          <w:b/>
          <w:bCs/>
        </w:rPr>
        <w:t>DECISION ON THE ACTIVITY REPORT OF THE AFRICAN COURT</w:t>
      </w:r>
      <w:r>
        <w:rPr>
          <w:b/>
          <w:bCs/>
        </w:rPr>
        <w:br/>
        <w:t>ON HUMAN AND PEOPLES’ RIGHTS (AfCHPR)</w:t>
      </w:r>
      <w:r>
        <w:rPr>
          <w:b/>
          <w:bCs/>
        </w:rPr>
        <w:br/>
        <w:t>Doc. EX.CL/1088(XXXIII)</w:t>
      </w:r>
    </w:p>
    <w:p w:rsidR="000179E4" w:rsidRDefault="001710DC">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0179E4" w:rsidRDefault="001710DC" w:rsidP="001710DC">
      <w:pPr>
        <w:pStyle w:val="BodyText"/>
        <w:tabs>
          <w:tab w:val="left" w:pos="725"/>
        </w:tabs>
        <w:spacing w:after="260"/>
        <w:ind w:left="720" w:hanging="720"/>
        <w:jc w:val="both"/>
      </w:pPr>
      <w:bookmarkStart w:id="3" w:name="bookmark3"/>
      <w:bookmarkEnd w:id="3"/>
      <w:r>
        <w:rPr>
          <w:b/>
          <w:bCs/>
        </w:rPr>
        <w:t>1.</w:t>
      </w:r>
      <w:r>
        <w:rPr>
          <w:b/>
          <w:bCs/>
        </w:rPr>
        <w:tab/>
      </w:r>
      <w:r>
        <w:rPr>
          <w:b/>
          <w:bCs/>
        </w:rPr>
        <w:t xml:space="preserve">TAKES NOTE </w:t>
      </w:r>
      <w:r>
        <w:t xml:space="preserve">of the Mid-Term Activity Report of the African Court on Human and Peoples’ Rights (the Court) for the </w:t>
      </w:r>
      <w:r>
        <w:t>period 1 January - 30 June, 2018, and the recommendations therein;</w:t>
      </w:r>
    </w:p>
    <w:p w:rsidR="000179E4" w:rsidRDefault="001710DC" w:rsidP="001710DC">
      <w:pPr>
        <w:pStyle w:val="BodyText"/>
        <w:tabs>
          <w:tab w:val="left" w:pos="725"/>
        </w:tabs>
        <w:spacing w:after="260"/>
        <w:ind w:left="720" w:hanging="720"/>
        <w:jc w:val="both"/>
      </w:pPr>
      <w:bookmarkStart w:id="4" w:name="bookmark4"/>
      <w:bookmarkEnd w:id="4"/>
      <w:r>
        <w:rPr>
          <w:b/>
          <w:bCs/>
        </w:rPr>
        <w:t>2.</w:t>
      </w:r>
      <w:r>
        <w:rPr>
          <w:b/>
          <w:bCs/>
        </w:rPr>
        <w:tab/>
      </w:r>
      <w:r>
        <w:rPr>
          <w:b/>
          <w:bCs/>
        </w:rPr>
        <w:t xml:space="preserve">CALLS UPON </w:t>
      </w:r>
      <w:r>
        <w:t>the Court to include in the study on the establishment of its Trust Fund the detailed legal, structural and financial implications for submission to the policy Organs through the</w:t>
      </w:r>
      <w:r>
        <w:t xml:space="preserve"> regular procedure;</w:t>
      </w:r>
    </w:p>
    <w:p w:rsidR="000179E4" w:rsidRDefault="001710DC" w:rsidP="001710DC">
      <w:pPr>
        <w:pStyle w:val="BodyText"/>
        <w:tabs>
          <w:tab w:val="left" w:pos="725"/>
        </w:tabs>
        <w:spacing w:after="260"/>
        <w:ind w:left="720" w:hanging="720"/>
        <w:jc w:val="both"/>
      </w:pPr>
      <w:bookmarkStart w:id="5" w:name="bookmark5"/>
      <w:bookmarkEnd w:id="5"/>
      <w:r>
        <w:rPr>
          <w:b/>
          <w:bCs/>
        </w:rPr>
        <w:t>3.</w:t>
      </w:r>
      <w:r>
        <w:rPr>
          <w:b/>
          <w:bCs/>
        </w:rPr>
        <w:tab/>
      </w:r>
      <w:r>
        <w:rPr>
          <w:b/>
          <w:bCs/>
        </w:rPr>
        <w:t xml:space="preserve">URGES </w:t>
      </w:r>
      <w:r>
        <w:t>the Court to reflect, in its Activity Report, comments and responses provided by Member States on the alleged non-execution of Court orders;</w:t>
      </w:r>
    </w:p>
    <w:p w:rsidR="000179E4" w:rsidRDefault="001710DC" w:rsidP="001710DC">
      <w:pPr>
        <w:pStyle w:val="BodyText"/>
        <w:tabs>
          <w:tab w:val="left" w:pos="725"/>
        </w:tabs>
        <w:spacing w:after="260"/>
        <w:ind w:left="720" w:hanging="720"/>
        <w:jc w:val="both"/>
      </w:pPr>
      <w:bookmarkStart w:id="6" w:name="bookmark6"/>
      <w:bookmarkEnd w:id="6"/>
      <w:r>
        <w:rPr>
          <w:b/>
          <w:bCs/>
        </w:rPr>
        <w:t>4.</w:t>
      </w:r>
      <w:r>
        <w:rPr>
          <w:b/>
          <w:bCs/>
        </w:rPr>
        <w:tab/>
      </w:r>
      <w:r>
        <w:rPr>
          <w:b/>
          <w:bCs/>
        </w:rPr>
        <w:t xml:space="preserve">REQUESTS </w:t>
      </w:r>
      <w:r>
        <w:t>the Court, in collaboration with the PRC and the Commission, to undertake an in-</w:t>
      </w:r>
      <w:r>
        <w:t>depth study on mechanisms and framework of implementation, to enable the Executive Council effectively monitor execution of the judgments of the Court in accordance with Articles 29 and 31 of the Protocol to the African Charter on Human and Peoples’ Rights</w:t>
      </w:r>
      <w:r>
        <w:t xml:space="preserve"> on the Establishment of the African Court on human and peoples’ Rights;</w:t>
      </w:r>
    </w:p>
    <w:p w:rsidR="000179E4" w:rsidRDefault="001710DC" w:rsidP="001710DC">
      <w:pPr>
        <w:pStyle w:val="BodyText"/>
        <w:tabs>
          <w:tab w:val="left" w:pos="725"/>
        </w:tabs>
        <w:spacing w:after="260"/>
        <w:ind w:left="720" w:hanging="720"/>
        <w:jc w:val="both"/>
      </w:pPr>
      <w:bookmarkStart w:id="7" w:name="bookmark7"/>
      <w:bookmarkEnd w:id="7"/>
      <w:r>
        <w:rPr>
          <w:b/>
          <w:bCs/>
        </w:rPr>
        <w:t>5.</w:t>
      </w:r>
      <w:r>
        <w:rPr>
          <w:b/>
          <w:bCs/>
        </w:rPr>
        <w:tab/>
      </w:r>
      <w:r>
        <w:rPr>
          <w:b/>
          <w:bCs/>
        </w:rPr>
        <w:t xml:space="preserve">CONGRATULATES </w:t>
      </w:r>
      <w:r>
        <w:t>the thirty (30) Member States that have ratified the Protocol, namely; Algeria, Benin, Burkina Faso, Burundi, Cameroon, Chad, The Comoros, Congo, Cote d’Ivoire, Gabon, T</w:t>
      </w:r>
      <w:r>
        <w:t>he Gambia, Ghana, Kenya, Lesotho, Libya, Malawi, Mali, Mauritania, Mauritius, Mozambique, Niger, Nigeria, Rwanda, SADR, Senegal, South Africa, Tanzania, Togo, Tunisia and Uganda;</w:t>
      </w:r>
    </w:p>
    <w:p w:rsidR="000179E4" w:rsidRDefault="001710DC" w:rsidP="001710DC">
      <w:pPr>
        <w:pStyle w:val="BodyText"/>
        <w:tabs>
          <w:tab w:val="left" w:pos="725"/>
        </w:tabs>
        <w:spacing w:after="260"/>
        <w:ind w:left="720" w:hanging="720"/>
        <w:jc w:val="both"/>
      </w:pPr>
      <w:bookmarkStart w:id="8" w:name="bookmark8"/>
      <w:bookmarkEnd w:id="8"/>
      <w:r>
        <w:rPr>
          <w:b/>
          <w:bCs/>
        </w:rPr>
        <w:t>6.</w:t>
      </w:r>
      <w:r>
        <w:rPr>
          <w:b/>
          <w:bCs/>
        </w:rPr>
        <w:tab/>
      </w:r>
      <w:r>
        <w:rPr>
          <w:b/>
          <w:bCs/>
        </w:rPr>
        <w:t xml:space="preserve">FURTHER CONGRATULATES </w:t>
      </w:r>
      <w:r>
        <w:t>the eight (8) State Parties that have deposited the dec</w:t>
      </w:r>
      <w:r>
        <w:t>laration under Article 34 (6) of the Protocol, namely: Benin, Burkina Faso, Cote d’Ivoire, Ghana, Malawi, Mali, Tanzania and Tunisia ;</w:t>
      </w:r>
    </w:p>
    <w:p w:rsidR="000179E4" w:rsidRDefault="001710DC" w:rsidP="001710DC">
      <w:pPr>
        <w:pStyle w:val="BodyText"/>
        <w:tabs>
          <w:tab w:val="left" w:pos="725"/>
        </w:tabs>
        <w:spacing w:after="260"/>
        <w:ind w:left="720" w:hanging="720"/>
        <w:jc w:val="both"/>
      </w:pPr>
      <w:bookmarkStart w:id="9" w:name="bookmark9"/>
      <w:bookmarkEnd w:id="9"/>
      <w:r>
        <w:rPr>
          <w:b/>
          <w:bCs/>
        </w:rPr>
        <w:t>7.</w:t>
      </w:r>
      <w:r>
        <w:rPr>
          <w:b/>
          <w:bCs/>
        </w:rPr>
        <w:tab/>
      </w:r>
      <w:r>
        <w:rPr>
          <w:b/>
          <w:bCs/>
        </w:rPr>
        <w:t xml:space="preserve">INVITES </w:t>
      </w:r>
      <w:r>
        <w:t>those Member States that have not already done so, to accede to the Protocol and deposit the declaration required</w:t>
      </w:r>
      <w:r>
        <w:t xml:space="preserve"> under Article 34 (6) of the Protocol;</w:t>
      </w:r>
    </w:p>
    <w:p w:rsidR="000179E4" w:rsidRDefault="001710DC" w:rsidP="001710DC">
      <w:pPr>
        <w:pStyle w:val="BodyText"/>
        <w:tabs>
          <w:tab w:val="left" w:pos="725"/>
        </w:tabs>
        <w:spacing w:after="260"/>
        <w:ind w:left="720" w:hanging="720"/>
        <w:jc w:val="both"/>
      </w:pPr>
      <w:bookmarkStart w:id="10" w:name="bookmark10"/>
      <w:bookmarkEnd w:id="10"/>
      <w:r>
        <w:rPr>
          <w:b/>
          <w:bCs/>
        </w:rPr>
        <w:t>8.</w:t>
      </w:r>
      <w:r>
        <w:rPr>
          <w:b/>
          <w:bCs/>
        </w:rPr>
        <w:tab/>
      </w:r>
      <w:r>
        <w:rPr>
          <w:b/>
          <w:bCs/>
        </w:rPr>
        <w:t xml:space="preserve">FURTHER REQUESTS </w:t>
      </w:r>
      <w:r>
        <w:t>Member States to communicate to the Commission the challenges they face in signing and ratifying the Malabo Protocol;</w:t>
      </w:r>
    </w:p>
    <w:p w:rsidR="000179E4" w:rsidRDefault="001710DC" w:rsidP="001710DC">
      <w:pPr>
        <w:pStyle w:val="BodyText"/>
        <w:tabs>
          <w:tab w:val="left" w:pos="725"/>
        </w:tabs>
        <w:spacing w:after="260"/>
        <w:ind w:left="720" w:hanging="720"/>
        <w:jc w:val="both"/>
      </w:pPr>
      <w:bookmarkStart w:id="11" w:name="bookmark11"/>
      <w:bookmarkEnd w:id="11"/>
      <w:r>
        <w:rPr>
          <w:b/>
          <w:bCs/>
        </w:rPr>
        <w:t>9.</w:t>
      </w:r>
      <w:r>
        <w:rPr>
          <w:b/>
          <w:bCs/>
        </w:rPr>
        <w:tab/>
      </w:r>
      <w:r>
        <w:rPr>
          <w:b/>
          <w:bCs/>
        </w:rPr>
        <w:t xml:space="preserve">EXPRESSES SINCERE APPRECIATION </w:t>
      </w:r>
      <w:r>
        <w:t>to the Government of the United Republic of Tanzani</w:t>
      </w:r>
      <w:r>
        <w:t xml:space="preserve">a for the facilities it has placed at the disposal of the Court, and for the architectural designs for the construction of the permanent premises of the Court submitted to the Commission, and </w:t>
      </w:r>
      <w:r>
        <w:rPr>
          <w:b/>
          <w:bCs/>
        </w:rPr>
        <w:t xml:space="preserve">URGES </w:t>
      </w:r>
      <w:r>
        <w:t>the Government of the United Republic of Tanzania, the PRC</w:t>
      </w:r>
      <w:r>
        <w:t xml:space="preserve"> and the Commission, in collaboration with the Court, working under the framework of the Task Force established by decision EX.CL/Dec.994(XXXII), to take steps to ensure the expeditious construction of the premises;</w:t>
      </w:r>
    </w:p>
    <w:p w:rsidR="000179E4" w:rsidRDefault="001710DC">
      <w:pPr>
        <w:pStyle w:val="BodyText"/>
        <w:spacing w:after="0"/>
        <w:ind w:left="800" w:hanging="800"/>
        <w:jc w:val="both"/>
      </w:pPr>
      <w:r>
        <w:rPr>
          <w:b/>
          <w:bCs/>
        </w:rPr>
        <w:lastRenderedPageBreak/>
        <w:t xml:space="preserve">10. REQUESTS </w:t>
      </w:r>
      <w:r>
        <w:t>the Court, in collaboration</w:t>
      </w:r>
      <w:r>
        <w:t xml:space="preserve"> with the PRC and the Commission, to report at the next Ordinary Session of the Executive Council in February 2019, on the implementation of this Decision.</w:t>
      </w:r>
    </w:p>
    <w:sectPr w:rsidR="000179E4">
      <w:pgSz w:w="12240" w:h="16834"/>
      <w:pgMar w:top="1987" w:right="842" w:bottom="2079" w:left="13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710DC">
      <w:r>
        <w:separator/>
      </w:r>
    </w:p>
  </w:endnote>
  <w:endnote w:type="continuationSeparator" w:id="0">
    <w:p w:rsidR="00000000" w:rsidRDefault="0017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9E4" w:rsidRDefault="001710DC">
      <w:r>
        <w:separator/>
      </w:r>
    </w:p>
  </w:footnote>
  <w:footnote w:type="continuationSeparator" w:id="0">
    <w:p w:rsidR="000179E4" w:rsidRDefault="0017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7A2D"/>
    <w:multiLevelType w:val="multilevel"/>
    <w:tmpl w:val="D8B66AB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759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E4"/>
    <w:rsid w:val="000179E4"/>
    <w:rsid w:val="0017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2022-10-26T06:26:00Z</dcterms:created>
  <dcterms:modified xsi:type="dcterms:W3CDTF">2022-10-26T06:26:00Z</dcterms:modified>
</cp:coreProperties>
</file>