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3055" w:rsidRDefault="000E0F5F">
      <w:pPr>
        <w:pStyle w:val="BodyText"/>
        <w:spacing w:after="260"/>
        <w:jc w:val="center"/>
      </w:pPr>
      <w:r>
        <w:rPr>
          <w:b/>
          <w:bCs/>
        </w:rPr>
        <w:t>DECISION ON THE FORTY-FOURTH ACTIVITY REPORT OF THE</w:t>
      </w:r>
      <w:r>
        <w:rPr>
          <w:b/>
          <w:bCs/>
        </w:rPr>
        <w:br/>
        <w:t>AFRICAN COMMISSION ON HUMAN AND PEOPLES’ RIGHTS</w:t>
      </w:r>
      <w:r>
        <w:rPr>
          <w:b/>
          <w:bCs/>
        </w:rPr>
        <w:br/>
        <w:t>Doc.EX.CL/1089(XXXIII)</w:t>
      </w:r>
    </w:p>
    <w:p w:rsidR="00353055" w:rsidRDefault="000E0F5F">
      <w:pPr>
        <w:pStyle w:val="Heading10"/>
        <w:keepNext/>
        <w:keepLines/>
        <w:spacing w:after="260"/>
      </w:pPr>
      <w:bookmarkStart w:id="0" w:name="bookmark0"/>
      <w:bookmarkStart w:id="1" w:name="bookmark1"/>
      <w:bookmarkStart w:id="2" w:name="bookmark2"/>
      <w:r>
        <w:t>The Executive Council,</w:t>
      </w:r>
      <w:bookmarkEnd w:id="0"/>
      <w:bookmarkEnd w:id="1"/>
      <w:bookmarkEnd w:id="2"/>
    </w:p>
    <w:p w:rsidR="00353055" w:rsidRDefault="000E0F5F" w:rsidP="000E0F5F">
      <w:pPr>
        <w:pStyle w:val="BodyText"/>
        <w:tabs>
          <w:tab w:val="left" w:pos="726"/>
        </w:tabs>
        <w:spacing w:after="260"/>
        <w:ind w:left="760" w:hanging="760"/>
        <w:jc w:val="both"/>
      </w:pPr>
      <w:bookmarkStart w:id="3" w:name="bookmark3"/>
      <w:bookmarkEnd w:id="3"/>
      <w:r>
        <w:rPr>
          <w:b/>
          <w:bCs/>
        </w:rPr>
        <w:t>1.</w:t>
      </w:r>
      <w:r>
        <w:rPr>
          <w:b/>
          <w:bCs/>
        </w:rPr>
        <w:tab/>
      </w:r>
      <w:r>
        <w:rPr>
          <w:b/>
          <w:bCs/>
        </w:rPr>
        <w:t xml:space="preserve">TAKES NOTE </w:t>
      </w:r>
      <w:r>
        <w:t xml:space="preserve">of the Forty-Fourth Activity Report of the African Commission on Human and Peoples’ Rights (the ACHPR), and </w:t>
      </w:r>
      <w:r>
        <w:rPr>
          <w:b/>
          <w:bCs/>
        </w:rPr>
        <w:t xml:space="preserve">AUTHORISES </w:t>
      </w:r>
      <w:r>
        <w:t>its publication;</w:t>
      </w:r>
    </w:p>
    <w:p w:rsidR="00353055" w:rsidRDefault="000E0F5F" w:rsidP="000E0F5F">
      <w:pPr>
        <w:pStyle w:val="BodyText"/>
        <w:tabs>
          <w:tab w:val="left" w:pos="726"/>
        </w:tabs>
        <w:spacing w:after="260"/>
        <w:ind w:left="760" w:hanging="760"/>
        <w:jc w:val="both"/>
      </w:pPr>
      <w:bookmarkStart w:id="4" w:name="bookmark4"/>
      <w:bookmarkEnd w:id="4"/>
      <w:r>
        <w:rPr>
          <w:b/>
          <w:bCs/>
        </w:rPr>
        <w:t>2.</w:t>
      </w:r>
      <w:r>
        <w:rPr>
          <w:b/>
          <w:bCs/>
        </w:rPr>
        <w:tab/>
      </w:r>
      <w:r>
        <w:rPr>
          <w:b/>
          <w:bCs/>
        </w:rPr>
        <w:t xml:space="preserve">EXPRESSES </w:t>
      </w:r>
      <w:r>
        <w:t>its appreciation for the efforts deployed by the ACHPR during the reporting period to promote and protect huma</w:t>
      </w:r>
      <w:r>
        <w:t>n rights on the continent;</w:t>
      </w:r>
    </w:p>
    <w:p w:rsidR="00353055" w:rsidRDefault="000E0F5F" w:rsidP="000E0F5F">
      <w:pPr>
        <w:pStyle w:val="BodyText"/>
        <w:tabs>
          <w:tab w:val="left" w:pos="726"/>
        </w:tabs>
        <w:spacing w:after="260"/>
        <w:ind w:left="760" w:hanging="760"/>
        <w:jc w:val="both"/>
      </w:pPr>
      <w:bookmarkStart w:id="5" w:name="bookmark5"/>
      <w:bookmarkEnd w:id="5"/>
      <w:r>
        <w:rPr>
          <w:b/>
          <w:bCs/>
        </w:rPr>
        <w:t>3.</w:t>
      </w:r>
      <w:r>
        <w:rPr>
          <w:b/>
          <w:bCs/>
        </w:rPr>
        <w:tab/>
      </w:r>
      <w:r>
        <w:rPr>
          <w:b/>
          <w:bCs/>
        </w:rPr>
        <w:t xml:space="preserve">REITERATES ITS CALL </w:t>
      </w:r>
      <w:r>
        <w:t>to Member States that have not done so, to sign and ratify the Protocol to the African Charter on Human and Peoples’ Rights on the Rights of Women in Africa (Maputo Protocol), and the Protocol to the African C</w:t>
      </w:r>
      <w:r>
        <w:t>harter on Human and Peoples’ Rights on the Rights of Older Persons in Africa;</w:t>
      </w:r>
    </w:p>
    <w:p w:rsidR="00353055" w:rsidRDefault="000E0F5F" w:rsidP="000E0F5F">
      <w:pPr>
        <w:pStyle w:val="BodyText"/>
        <w:tabs>
          <w:tab w:val="left" w:pos="726"/>
        </w:tabs>
        <w:spacing w:after="260"/>
        <w:ind w:left="760" w:hanging="760"/>
        <w:jc w:val="both"/>
      </w:pPr>
      <w:bookmarkStart w:id="6" w:name="bookmark6"/>
      <w:bookmarkEnd w:id="6"/>
      <w:r>
        <w:rPr>
          <w:b/>
          <w:bCs/>
        </w:rPr>
        <w:t>4.</w:t>
      </w:r>
      <w:r>
        <w:rPr>
          <w:b/>
          <w:bCs/>
        </w:rPr>
        <w:tab/>
      </w:r>
      <w:r>
        <w:rPr>
          <w:b/>
          <w:bCs/>
        </w:rPr>
        <w:t xml:space="preserve">CALLS ON </w:t>
      </w:r>
      <w:r>
        <w:t>Member States to sign and ratify the African Union Convention for Protection and Assistance of Internally Displaced Persons in Africa (the Kampala Convention), the Proto</w:t>
      </w:r>
      <w:r>
        <w:t>col to the African Charter on Human and Peoples’ Rights on the Rights of Persons with Disabilities in Africa, and the Protocol to the Treaty Establishing the African Economic Community relating to Free Movement of Persons, Right of Residence and Right of E</w:t>
      </w:r>
      <w:r>
        <w:t>stablishment;</w:t>
      </w:r>
    </w:p>
    <w:p w:rsidR="00353055" w:rsidRDefault="000E0F5F" w:rsidP="000E0F5F">
      <w:pPr>
        <w:pStyle w:val="BodyText"/>
        <w:tabs>
          <w:tab w:val="left" w:pos="726"/>
        </w:tabs>
        <w:spacing w:after="260"/>
        <w:ind w:left="760" w:hanging="760"/>
        <w:jc w:val="both"/>
      </w:pPr>
      <w:bookmarkStart w:id="7" w:name="bookmark7"/>
      <w:bookmarkEnd w:id="7"/>
      <w:r>
        <w:rPr>
          <w:b/>
          <w:bCs/>
        </w:rPr>
        <w:t>5.</w:t>
      </w:r>
      <w:r>
        <w:rPr>
          <w:b/>
          <w:bCs/>
        </w:rPr>
        <w:tab/>
      </w:r>
      <w:r>
        <w:rPr>
          <w:b/>
          <w:bCs/>
        </w:rPr>
        <w:t xml:space="preserve">URGES </w:t>
      </w:r>
      <w:r>
        <w:t>State Parties to submit their Periodic Reports in compliance with Article 62 of the African Charter on Human and Peoples’ Rights (African Charter), Article 26 of the Maputo Protocol, and Article 14 of the Kampala Convention;</w:t>
      </w:r>
    </w:p>
    <w:p w:rsidR="00353055" w:rsidRDefault="000E0F5F" w:rsidP="000E0F5F">
      <w:pPr>
        <w:pStyle w:val="BodyText"/>
        <w:tabs>
          <w:tab w:val="left" w:pos="726"/>
        </w:tabs>
        <w:spacing w:after="260" w:line="233" w:lineRule="auto"/>
        <w:ind w:left="760" w:hanging="760"/>
        <w:jc w:val="both"/>
      </w:pPr>
      <w:bookmarkStart w:id="8" w:name="bookmark8"/>
      <w:bookmarkEnd w:id="8"/>
      <w:r>
        <w:rPr>
          <w:b/>
          <w:bCs/>
        </w:rPr>
        <w:t>6.</w:t>
      </w:r>
      <w:r>
        <w:rPr>
          <w:b/>
          <w:bCs/>
        </w:rPr>
        <w:tab/>
      </w:r>
      <w:r>
        <w:rPr>
          <w:b/>
          <w:bCs/>
        </w:rPr>
        <w:t xml:space="preserve">REITERATES </w:t>
      </w:r>
      <w:r>
        <w:t>its call in decision EX.CL/Dec.995(XXXII) of January 2018, for the Kingdom of Morocco to accede to the African Charter;</w:t>
      </w:r>
    </w:p>
    <w:p w:rsidR="00353055" w:rsidRDefault="000E0F5F" w:rsidP="000E0F5F">
      <w:pPr>
        <w:pStyle w:val="BodyText"/>
        <w:tabs>
          <w:tab w:val="left" w:pos="726"/>
        </w:tabs>
        <w:spacing w:after="260"/>
        <w:ind w:left="760" w:hanging="760"/>
        <w:jc w:val="both"/>
      </w:pPr>
      <w:bookmarkStart w:id="9" w:name="bookmark9"/>
      <w:bookmarkEnd w:id="9"/>
      <w:r>
        <w:rPr>
          <w:b/>
          <w:bCs/>
        </w:rPr>
        <w:t>7.</w:t>
      </w:r>
      <w:r>
        <w:rPr>
          <w:b/>
          <w:bCs/>
        </w:rPr>
        <w:tab/>
      </w:r>
      <w:r>
        <w:rPr>
          <w:b/>
          <w:bCs/>
          <w:color w:val="353535"/>
        </w:rPr>
        <w:t xml:space="preserve">ENCOURAGES </w:t>
      </w:r>
      <w:r>
        <w:t>the Kingdom of Morocco and the ACHPR to continue their frank, sincere and transparent cooperation through a formal exchange o</w:t>
      </w:r>
      <w:r>
        <w:t>f communication towards full implementation of the AU decisions on the situation of human rights;</w:t>
      </w:r>
    </w:p>
    <w:p w:rsidR="00353055" w:rsidRDefault="000E0F5F" w:rsidP="000E0F5F">
      <w:pPr>
        <w:pStyle w:val="BodyText"/>
        <w:tabs>
          <w:tab w:val="left" w:pos="726"/>
        </w:tabs>
        <w:spacing w:after="260" w:line="233" w:lineRule="auto"/>
        <w:ind w:left="760" w:hanging="760"/>
        <w:jc w:val="both"/>
      </w:pPr>
      <w:bookmarkStart w:id="10" w:name="bookmark10"/>
      <w:bookmarkEnd w:id="10"/>
      <w:r>
        <w:rPr>
          <w:b/>
          <w:bCs/>
        </w:rPr>
        <w:t>8.</w:t>
      </w:r>
      <w:r>
        <w:rPr>
          <w:b/>
          <w:bCs/>
        </w:rPr>
        <w:tab/>
      </w:r>
      <w:r>
        <w:rPr>
          <w:b/>
          <w:bCs/>
        </w:rPr>
        <w:t xml:space="preserve">URGES </w:t>
      </w:r>
      <w:r>
        <w:t>Member States concerned to facilitate the fact-finding missions to investigate all alleged violations of human rights;</w:t>
      </w:r>
    </w:p>
    <w:p w:rsidR="00353055" w:rsidRDefault="000E0F5F" w:rsidP="000E0F5F">
      <w:pPr>
        <w:pStyle w:val="BodyText"/>
        <w:tabs>
          <w:tab w:val="left" w:pos="726"/>
        </w:tabs>
        <w:spacing w:after="260"/>
        <w:ind w:left="760" w:hanging="760"/>
        <w:jc w:val="both"/>
      </w:pPr>
      <w:bookmarkStart w:id="11" w:name="bookmark11"/>
      <w:bookmarkEnd w:id="11"/>
      <w:r>
        <w:rPr>
          <w:b/>
          <w:bCs/>
        </w:rPr>
        <w:t>9.</w:t>
      </w:r>
      <w:r>
        <w:rPr>
          <w:b/>
          <w:bCs/>
        </w:rPr>
        <w:tab/>
      </w:r>
      <w:r>
        <w:rPr>
          <w:b/>
          <w:bCs/>
        </w:rPr>
        <w:t xml:space="preserve">CALLS ON </w:t>
      </w:r>
      <w:r>
        <w:t xml:space="preserve">State Parties to comply </w:t>
      </w:r>
      <w:r>
        <w:t>with requests for Provisional Measures, to implement decisions made by the ACHPR in Communications to which they are parties, and to inform the ACHPR of the measures taken to implement those decisions in line with Rule 112 of the ACHPR’s Rules of Procedure</w:t>
      </w:r>
      <w:r>
        <w:t>;</w:t>
      </w:r>
    </w:p>
    <w:p w:rsidR="00353055" w:rsidRDefault="000E0F5F" w:rsidP="000E0F5F">
      <w:pPr>
        <w:pStyle w:val="BodyText"/>
        <w:tabs>
          <w:tab w:val="left" w:pos="726"/>
        </w:tabs>
        <w:spacing w:after="260"/>
        <w:ind w:left="760" w:hanging="760"/>
        <w:jc w:val="both"/>
      </w:pPr>
      <w:bookmarkStart w:id="12" w:name="bookmark12"/>
      <w:bookmarkEnd w:id="12"/>
      <w:r>
        <w:rPr>
          <w:b/>
          <w:bCs/>
        </w:rPr>
        <w:t>10.</w:t>
      </w:r>
      <w:r>
        <w:rPr>
          <w:b/>
          <w:bCs/>
        </w:rPr>
        <w:tab/>
      </w:r>
      <w:r>
        <w:rPr>
          <w:b/>
          <w:bCs/>
        </w:rPr>
        <w:t xml:space="preserve">REQUESTS </w:t>
      </w:r>
      <w:r>
        <w:t>the Commission to expedite recruitment of the various unfilled positions at the ACHPR Secretariat, in accordance with the organogram;</w:t>
      </w:r>
    </w:p>
    <w:p w:rsidR="00353055" w:rsidRDefault="000E0F5F" w:rsidP="000E0F5F">
      <w:pPr>
        <w:pStyle w:val="BodyText"/>
        <w:tabs>
          <w:tab w:val="left" w:pos="710"/>
        </w:tabs>
        <w:spacing w:after="300" w:line="230" w:lineRule="auto"/>
        <w:ind w:left="780" w:hanging="780"/>
        <w:jc w:val="both"/>
      </w:pPr>
      <w:bookmarkStart w:id="13" w:name="bookmark13"/>
      <w:bookmarkEnd w:id="13"/>
      <w:r>
        <w:rPr>
          <w:b/>
          <w:bCs/>
        </w:rPr>
        <w:lastRenderedPageBreak/>
        <w:t>11.</w:t>
      </w:r>
      <w:r>
        <w:rPr>
          <w:b/>
          <w:bCs/>
        </w:rPr>
        <w:tab/>
      </w:r>
      <w:r>
        <w:rPr>
          <w:b/>
          <w:bCs/>
        </w:rPr>
        <w:t xml:space="preserve">EXPRESSES ITS APPRECIATION </w:t>
      </w:r>
      <w:r>
        <w:t>to the Islamic Republic of Mauritania for hosting the 62</w:t>
      </w:r>
      <w:r>
        <w:rPr>
          <w:vertAlign w:val="superscript"/>
        </w:rPr>
        <w:t>nd</w:t>
      </w:r>
      <w:r>
        <w:t xml:space="preserve"> Ordinary Session of the A</w:t>
      </w:r>
      <w:r>
        <w:t>CHPR held in Nouakchott, Mauritania, from 25 April to 9 May 2018, and the excellent facilities accorded to all participants during the Session;</w:t>
      </w:r>
    </w:p>
    <w:p w:rsidR="00353055" w:rsidRDefault="000E0F5F" w:rsidP="000E0F5F">
      <w:pPr>
        <w:pStyle w:val="BodyText"/>
        <w:tabs>
          <w:tab w:val="left" w:pos="710"/>
        </w:tabs>
        <w:spacing w:after="0" w:line="233" w:lineRule="auto"/>
        <w:ind w:left="780" w:hanging="780"/>
        <w:jc w:val="both"/>
      </w:pPr>
      <w:bookmarkStart w:id="14" w:name="bookmark14"/>
      <w:bookmarkEnd w:id="14"/>
      <w:r>
        <w:rPr>
          <w:b/>
          <w:bCs/>
        </w:rPr>
        <w:t>12.</w:t>
      </w:r>
      <w:r>
        <w:rPr>
          <w:b/>
          <w:bCs/>
        </w:rPr>
        <w:tab/>
      </w:r>
      <w:r>
        <w:rPr>
          <w:b/>
          <w:bCs/>
        </w:rPr>
        <w:t xml:space="preserve">WELCOMES </w:t>
      </w:r>
      <w:r>
        <w:t>the offer by the Arab Republic of Egypt to host the 64</w:t>
      </w:r>
      <w:r>
        <w:rPr>
          <w:vertAlign w:val="superscript"/>
        </w:rPr>
        <w:t>th</w:t>
      </w:r>
      <w:r>
        <w:t xml:space="preserve"> Ordinary Session, and those of the Kingdom of </w:t>
      </w:r>
      <w:r>
        <w:t xml:space="preserve">Lesotho, the Republic of Malawi and the Kingdom of Eswatini to host subsequent ACHPR Sessions; and </w:t>
      </w:r>
      <w:r>
        <w:rPr>
          <w:b/>
          <w:bCs/>
        </w:rPr>
        <w:t xml:space="preserve">CALLS ON </w:t>
      </w:r>
      <w:r>
        <w:t>Member States, particularly those that have not yet done so, to consider hosting one of the Sessions of the ACHPR.</w:t>
      </w:r>
    </w:p>
    <w:sectPr w:rsidR="00353055">
      <w:pgSz w:w="12240" w:h="16834"/>
      <w:pgMar w:top="2010" w:right="842" w:bottom="2132" w:left="13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E0F5F">
      <w:r>
        <w:separator/>
      </w:r>
    </w:p>
  </w:endnote>
  <w:endnote w:type="continuationSeparator" w:id="0">
    <w:p w:rsidR="00000000" w:rsidRDefault="000E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3055" w:rsidRDefault="000E0F5F">
      <w:r>
        <w:separator/>
      </w:r>
    </w:p>
  </w:footnote>
  <w:footnote w:type="continuationSeparator" w:id="0">
    <w:p w:rsidR="00353055" w:rsidRDefault="000E0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1593E"/>
    <w:multiLevelType w:val="multilevel"/>
    <w:tmpl w:val="B644D73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2808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055"/>
    <w:rsid w:val="000E0F5F"/>
    <w:rsid w:val="0035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2022-10-26T06:26:00Z</dcterms:created>
  <dcterms:modified xsi:type="dcterms:W3CDTF">2022-10-26T06:26:00Z</dcterms:modified>
</cp:coreProperties>
</file>