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F22" w:rsidRDefault="007803DE">
      <w:pPr>
        <w:pStyle w:val="BodyText"/>
        <w:spacing w:after="260"/>
        <w:jc w:val="center"/>
      </w:pPr>
      <w:r>
        <w:rPr>
          <w:b/>
          <w:bCs/>
        </w:rPr>
        <w:t>DECISION ON THE REPORT OF THE AFRICAN UNION</w:t>
      </w:r>
      <w:r>
        <w:rPr>
          <w:b/>
          <w:bCs/>
        </w:rPr>
        <w:br/>
        <w:t>COMMISSION ON INTERNATIONAL LAW (AUCIL)</w:t>
      </w:r>
      <w:r>
        <w:rPr>
          <w:b/>
          <w:bCs/>
        </w:rPr>
        <w:br/>
        <w:t>Doc. EX.CL/1093(XXXIII)</w:t>
      </w:r>
    </w:p>
    <w:p w:rsidR="00766F22" w:rsidRDefault="007803DE">
      <w:pPr>
        <w:pStyle w:val="Heading10"/>
        <w:keepNext/>
        <w:keepLines/>
        <w:spacing w:after="26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766F22" w:rsidRDefault="007803DE" w:rsidP="007803DE">
      <w:pPr>
        <w:pStyle w:val="BodyText"/>
        <w:tabs>
          <w:tab w:val="left" w:pos="718"/>
        </w:tabs>
        <w:spacing w:after="260"/>
        <w:ind w:left="760" w:hanging="76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Activity Report of the African Union Commission on International Law (AUCIL) for the period 30 July </w:t>
      </w:r>
      <w:r>
        <w:t>2017 to 30 June 2018 together with the recommendations contained therein;</w:t>
      </w:r>
    </w:p>
    <w:p w:rsidR="00766F22" w:rsidRDefault="007803DE" w:rsidP="007803DE">
      <w:pPr>
        <w:pStyle w:val="BodyText"/>
        <w:tabs>
          <w:tab w:val="left" w:pos="718"/>
        </w:tabs>
        <w:spacing w:after="260"/>
        <w:ind w:left="760" w:hanging="76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AUCIL to conduct studies that will assist in achieving and implementing Agenda 2063 flagship projects including the African Union integration agenda;</w:t>
      </w:r>
    </w:p>
    <w:p w:rsidR="00766F22" w:rsidRDefault="007803DE" w:rsidP="007803DE">
      <w:pPr>
        <w:pStyle w:val="BodyText"/>
        <w:tabs>
          <w:tab w:val="left" w:pos="718"/>
        </w:tabs>
        <w:spacing w:after="260"/>
        <w:ind w:left="760" w:hanging="76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ENCOURAGES </w:t>
      </w:r>
      <w:r>
        <w:t>the AUCI</w:t>
      </w:r>
      <w:r>
        <w:t xml:space="preserve">L, within the limits of available resources, to bolster its activities in the development and codification of International Law with a specific focus on African Union Law. In this regard, draft conventions should be initiated in areas of specific interest </w:t>
      </w:r>
      <w:r>
        <w:t>to the African Union;</w:t>
      </w:r>
    </w:p>
    <w:p w:rsidR="00766F22" w:rsidRDefault="007803DE" w:rsidP="007803DE">
      <w:pPr>
        <w:pStyle w:val="BodyText"/>
        <w:tabs>
          <w:tab w:val="left" w:pos="718"/>
        </w:tabs>
        <w:spacing w:after="260" w:line="233" w:lineRule="auto"/>
        <w:ind w:left="760" w:hanging="760"/>
        <w:jc w:val="both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AUCIL to consider holding open sessions to enable Member States to participate in its activities;</w:t>
      </w:r>
    </w:p>
    <w:p w:rsidR="00766F22" w:rsidRDefault="007803DE" w:rsidP="007803DE">
      <w:pPr>
        <w:pStyle w:val="BodyText"/>
        <w:tabs>
          <w:tab w:val="left" w:pos="718"/>
        </w:tabs>
        <w:spacing w:after="260"/>
        <w:ind w:left="760" w:hanging="760"/>
        <w:jc w:val="both"/>
      </w:pPr>
      <w:bookmarkStart w:id="7" w:name="bookmark7"/>
      <w:bookmarkEnd w:id="7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ENCOURAGES </w:t>
      </w:r>
      <w:r>
        <w:t>the Commission and other Organs of the Union to extend necessary support to and work with the AUCIL in the prepa</w:t>
      </w:r>
      <w:r>
        <w:t>ration of its Studies by, inter alia, providing information that AUCIL may need for this purpose on relevant matters of international law;</w:t>
      </w:r>
    </w:p>
    <w:p w:rsidR="00766F22" w:rsidRDefault="007803DE" w:rsidP="007803DE">
      <w:pPr>
        <w:pStyle w:val="BodyText"/>
        <w:tabs>
          <w:tab w:val="left" w:pos="718"/>
        </w:tabs>
        <w:spacing w:after="260" w:line="226" w:lineRule="auto"/>
        <w:ind w:left="760" w:hanging="760"/>
        <w:jc w:val="both"/>
      </w:pPr>
      <w:bookmarkStart w:id="8" w:name="bookmark8"/>
      <w:bookmarkEnd w:id="8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URGES </w:t>
      </w:r>
      <w:r>
        <w:t>Member States to respond to questionnaires of the AUCIL in a timely manner;</w:t>
      </w:r>
    </w:p>
    <w:p w:rsidR="00766F22" w:rsidRDefault="007803DE" w:rsidP="007803DE">
      <w:pPr>
        <w:pStyle w:val="BodyText"/>
        <w:tabs>
          <w:tab w:val="left" w:pos="718"/>
        </w:tabs>
        <w:spacing w:after="260"/>
        <w:ind w:left="760" w:hanging="760"/>
        <w:jc w:val="both"/>
      </w:pPr>
      <w:bookmarkStart w:id="9" w:name="bookmark9"/>
      <w:bookmarkEnd w:id="9"/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</w:rPr>
        <w:t xml:space="preserve">RECOMMENDS </w:t>
      </w:r>
      <w:r>
        <w:t>that the Statutes of AUC</w:t>
      </w:r>
      <w:r>
        <w:t>IL be amended to present the findings of its Studies to the STC on Justice and Legal Affairs;</w:t>
      </w:r>
    </w:p>
    <w:p w:rsidR="00766F22" w:rsidRDefault="007803DE" w:rsidP="007803DE">
      <w:pPr>
        <w:pStyle w:val="BodyText"/>
        <w:tabs>
          <w:tab w:val="left" w:pos="718"/>
        </w:tabs>
        <w:spacing w:after="260"/>
        <w:ind w:left="760" w:hanging="760"/>
        <w:jc w:val="both"/>
      </w:pPr>
      <w:bookmarkStart w:id="10" w:name="bookmark10"/>
      <w:bookmarkEnd w:id="10"/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AUCIL to reach out to Member States to popularize its activities and mandate.</w:t>
      </w:r>
    </w:p>
    <w:sectPr w:rsidR="00766F22">
      <w:pgSz w:w="12240" w:h="16834"/>
      <w:pgMar w:top="1968" w:right="839" w:bottom="3817" w:left="13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803DE">
      <w:r>
        <w:separator/>
      </w:r>
    </w:p>
  </w:endnote>
  <w:endnote w:type="continuationSeparator" w:id="0">
    <w:p w:rsidR="00000000" w:rsidRDefault="0078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6F22" w:rsidRDefault="007803DE">
      <w:r>
        <w:separator/>
      </w:r>
    </w:p>
  </w:footnote>
  <w:footnote w:type="continuationSeparator" w:id="0">
    <w:p w:rsidR="00766F22" w:rsidRDefault="0078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D1064"/>
    <w:multiLevelType w:val="multilevel"/>
    <w:tmpl w:val="02408D0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3085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22"/>
    <w:rsid w:val="00766F22"/>
    <w:rsid w:val="0078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2022-10-26T06:26:00Z</dcterms:created>
  <dcterms:modified xsi:type="dcterms:W3CDTF">2022-10-26T06:26:00Z</dcterms:modified>
</cp:coreProperties>
</file>