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6524" w:rsidRDefault="00BD4AFA">
      <w:pPr>
        <w:pStyle w:val="BodyText"/>
        <w:jc w:val="center"/>
      </w:pPr>
      <w:r>
        <w:rPr>
          <w:b/>
          <w:bCs/>
        </w:rPr>
        <w:t>DECISION ON THE DRAFT 2019 AFRICAN UNION</w:t>
      </w:r>
      <w:r>
        <w:rPr>
          <w:b/>
          <w:bCs/>
        </w:rPr>
        <w:br/>
        <w:t>BUDGET AND 2018 SUPPLEMENTARY BUDGET</w:t>
      </w:r>
      <w:r>
        <w:rPr>
          <w:b/>
          <w:bCs/>
        </w:rPr>
        <w:br/>
        <w:t>Doc. EX.CL/1094(XXXIII)</w:t>
      </w:r>
    </w:p>
    <w:p w:rsidR="00BA6524" w:rsidRDefault="00BD4AFA">
      <w:pPr>
        <w:pStyle w:val="Heading10"/>
        <w:keepNext/>
        <w:keepLines/>
        <w:spacing w:after="280"/>
      </w:pPr>
      <w:bookmarkStart w:id="0" w:name="bookmark0"/>
      <w:bookmarkStart w:id="1" w:name="bookmark1"/>
      <w:bookmarkStart w:id="2" w:name="bookmark2"/>
      <w:r>
        <w:t>The Executive Council,</w:t>
      </w:r>
      <w:bookmarkEnd w:id="0"/>
      <w:bookmarkEnd w:id="1"/>
      <w:bookmarkEnd w:id="2"/>
    </w:p>
    <w:p w:rsidR="00BA6524" w:rsidRDefault="00BD4AFA" w:rsidP="00BD4AFA">
      <w:pPr>
        <w:pStyle w:val="BodyText"/>
        <w:tabs>
          <w:tab w:val="left" w:pos="701"/>
        </w:tabs>
        <w:ind w:left="800" w:hanging="800"/>
        <w:jc w:val="both"/>
      </w:pPr>
      <w:bookmarkStart w:id="3" w:name="bookmark3"/>
      <w:bookmarkEnd w:id="3"/>
      <w:r>
        <w:rPr>
          <w:b/>
          <w:bCs/>
        </w:rPr>
        <w:t>1.</w:t>
      </w:r>
      <w:r>
        <w:rPr>
          <w:b/>
          <w:bCs/>
        </w:rPr>
        <w:tab/>
      </w:r>
      <w:r>
        <w:rPr>
          <w:b/>
          <w:bCs/>
        </w:rPr>
        <w:t xml:space="preserve">TAKES NOTE </w:t>
      </w:r>
      <w:r>
        <w:t>with appreciation of the Report of the PRC resulting from the first Joint Sitting of the PRC Sub-Committee on General Supervision and Coordination on the Administrative, Budgetary and Financial Matters and the PRC Sub-Committee on Programmes and Conference</w:t>
      </w:r>
      <w:r>
        <w:t xml:space="preserve">s as well as the F15 Committee of Experts and </w:t>
      </w:r>
      <w:r>
        <w:rPr>
          <w:b/>
          <w:bCs/>
        </w:rPr>
        <w:t xml:space="preserve">ENDORSES </w:t>
      </w:r>
      <w:r>
        <w:t>the recommendations contained therein;</w:t>
      </w:r>
    </w:p>
    <w:p w:rsidR="00BA6524" w:rsidRDefault="00BD4AFA" w:rsidP="00BD4AFA">
      <w:pPr>
        <w:pStyle w:val="BodyText"/>
        <w:tabs>
          <w:tab w:val="left" w:pos="701"/>
        </w:tabs>
        <w:ind w:left="800" w:hanging="800"/>
        <w:jc w:val="both"/>
      </w:pPr>
      <w:bookmarkStart w:id="4" w:name="bookmark4"/>
      <w:bookmarkEnd w:id="4"/>
      <w:r>
        <w:rPr>
          <w:b/>
          <w:bCs/>
        </w:rPr>
        <w:t>2.</w:t>
      </w:r>
      <w:r>
        <w:rPr>
          <w:b/>
          <w:bCs/>
        </w:rPr>
        <w:tab/>
      </w:r>
      <w:r>
        <w:rPr>
          <w:b/>
          <w:bCs/>
        </w:rPr>
        <w:t xml:space="preserve">APPROVES </w:t>
      </w:r>
      <w:r>
        <w:t xml:space="preserve">a supplementary budget of the African Union for the 2018 financial year for a total of </w:t>
      </w:r>
      <w:r>
        <w:rPr>
          <w:b/>
          <w:bCs/>
        </w:rPr>
        <w:t xml:space="preserve">US$ 5,042,440 </w:t>
      </w:r>
      <w:r>
        <w:t>as follows:</w:t>
      </w:r>
    </w:p>
    <w:p w:rsidR="00BA6524" w:rsidRDefault="00BD4AFA" w:rsidP="00BD4AFA">
      <w:pPr>
        <w:pStyle w:val="BodyText"/>
        <w:tabs>
          <w:tab w:val="left" w:pos="1448"/>
        </w:tabs>
        <w:ind w:left="1520" w:hanging="720"/>
        <w:jc w:val="both"/>
      </w:pPr>
      <w:bookmarkStart w:id="5" w:name="bookmark5"/>
      <w:bookmarkEnd w:id="5"/>
      <w:r>
        <w:t>(i)</w:t>
      </w:r>
      <w:r>
        <w:tab/>
      </w:r>
      <w:r>
        <w:t>Conference Management and Publications f</w:t>
      </w:r>
      <w:r>
        <w:t xml:space="preserve">or online translation fee with an amount of </w:t>
      </w:r>
      <w:r>
        <w:rPr>
          <w:b/>
          <w:bCs/>
        </w:rPr>
        <w:t>US$ 71,280;</w:t>
      </w:r>
    </w:p>
    <w:p w:rsidR="00BA6524" w:rsidRDefault="00BD4AFA" w:rsidP="00BD4AFA">
      <w:pPr>
        <w:pStyle w:val="BodyText"/>
        <w:tabs>
          <w:tab w:val="left" w:pos="1448"/>
        </w:tabs>
        <w:ind w:left="1520" w:hanging="720"/>
        <w:jc w:val="both"/>
      </w:pPr>
      <w:bookmarkStart w:id="6" w:name="bookmark6"/>
      <w:bookmarkEnd w:id="6"/>
      <w:r>
        <w:t>(ii)</w:t>
      </w:r>
      <w:r>
        <w:tab/>
      </w:r>
      <w:r>
        <w:t>Africa CDC: activities related with EBOLA with a total amount of US$ 4,181,160;</w:t>
      </w:r>
    </w:p>
    <w:p w:rsidR="00BA6524" w:rsidRDefault="00BD4AFA" w:rsidP="00BD4AFA">
      <w:pPr>
        <w:pStyle w:val="BodyText"/>
        <w:tabs>
          <w:tab w:val="left" w:pos="1448"/>
        </w:tabs>
        <w:ind w:left="1520" w:hanging="720"/>
        <w:jc w:val="both"/>
      </w:pPr>
      <w:bookmarkStart w:id="7" w:name="bookmark7"/>
      <w:bookmarkEnd w:id="7"/>
      <w:r>
        <w:t>(iii)</w:t>
      </w:r>
      <w:r>
        <w:tab/>
      </w:r>
      <w:r>
        <w:t>Programming, Budgeting, Finance and Accounting: Consultancy services for assessment of property and plant of the African</w:t>
      </w:r>
      <w:r>
        <w:t xml:space="preserve"> Union with an amount of US$ 790,000.</w:t>
      </w:r>
    </w:p>
    <w:p w:rsidR="00BA6524" w:rsidRDefault="00BD4AFA" w:rsidP="00BD4AFA">
      <w:pPr>
        <w:pStyle w:val="BodyText"/>
        <w:tabs>
          <w:tab w:val="left" w:pos="701"/>
        </w:tabs>
        <w:ind w:left="800" w:hanging="800"/>
        <w:jc w:val="both"/>
      </w:pPr>
      <w:bookmarkStart w:id="8" w:name="bookmark8"/>
      <w:bookmarkEnd w:id="8"/>
      <w:r>
        <w:rPr>
          <w:b/>
          <w:bCs/>
        </w:rPr>
        <w:t>3.</w:t>
      </w:r>
      <w:r>
        <w:rPr>
          <w:b/>
          <w:bCs/>
        </w:rPr>
        <w:tab/>
      </w:r>
      <w:r>
        <w:rPr>
          <w:b/>
          <w:bCs/>
        </w:rPr>
        <w:t xml:space="preserve">APPROVES </w:t>
      </w:r>
      <w:r>
        <w:t xml:space="preserve">a total budget of </w:t>
      </w:r>
      <w:r>
        <w:rPr>
          <w:b/>
          <w:bCs/>
        </w:rPr>
        <w:t xml:space="preserve">US $ 681, 485, 337 </w:t>
      </w:r>
      <w:r>
        <w:t>for the African Union for the 2019 financial year divided as follows:</w:t>
      </w:r>
    </w:p>
    <w:p w:rsidR="00BA6524" w:rsidRDefault="00BD4AFA" w:rsidP="00BD4AFA">
      <w:pPr>
        <w:pStyle w:val="BodyText"/>
        <w:tabs>
          <w:tab w:val="left" w:pos="1448"/>
        </w:tabs>
        <w:ind w:firstLine="800"/>
      </w:pPr>
      <w:bookmarkStart w:id="9" w:name="bookmark9"/>
      <w:bookmarkEnd w:id="9"/>
      <w:r>
        <w:t>(i)</w:t>
      </w:r>
      <w:r>
        <w:tab/>
      </w:r>
      <w:r>
        <w:t xml:space="preserve">Operating budget: </w:t>
      </w:r>
      <w:r>
        <w:rPr>
          <w:b/>
          <w:bCs/>
        </w:rPr>
        <w:t xml:space="preserve">US$ 158,459,118 </w:t>
      </w:r>
      <w:r>
        <w:t>to be financed by Member States;</w:t>
      </w:r>
    </w:p>
    <w:p w:rsidR="00BA6524" w:rsidRDefault="00BD4AFA" w:rsidP="00BD4AFA">
      <w:pPr>
        <w:pStyle w:val="BodyText"/>
        <w:tabs>
          <w:tab w:val="left" w:pos="1448"/>
        </w:tabs>
        <w:ind w:firstLine="800"/>
      </w:pPr>
      <w:bookmarkStart w:id="10" w:name="bookmark10"/>
      <w:bookmarkEnd w:id="10"/>
      <w:r>
        <w:t>(ii)</w:t>
      </w:r>
      <w:r>
        <w:tab/>
      </w:r>
      <w:r>
        <w:t xml:space="preserve">Programme budget: </w:t>
      </w:r>
      <w:r>
        <w:rPr>
          <w:b/>
          <w:bCs/>
        </w:rPr>
        <w:t xml:space="preserve">US$ 249,757,079 </w:t>
      </w:r>
      <w:r>
        <w:t>t</w:t>
      </w:r>
      <w:r>
        <w:t>o be financed as follows:</w:t>
      </w:r>
    </w:p>
    <w:p w:rsidR="00BA6524" w:rsidRDefault="00BD4AFA" w:rsidP="00BD4AFA">
      <w:pPr>
        <w:pStyle w:val="BodyText"/>
        <w:tabs>
          <w:tab w:val="left" w:pos="2012"/>
        </w:tabs>
        <w:spacing w:after="0"/>
        <w:ind w:left="1620"/>
      </w:pPr>
      <w:bookmarkStart w:id="11" w:name="bookmark11"/>
      <w:bookmarkEnd w:id="11"/>
      <w:r>
        <w:t>a)</w:t>
      </w:r>
      <w:r>
        <w:tab/>
      </w:r>
      <w:r>
        <w:rPr>
          <w:b/>
          <w:bCs/>
        </w:rPr>
        <w:t xml:space="preserve">US$ 110,257,890 </w:t>
      </w:r>
      <w:r>
        <w:t>assessed on Member States;</w:t>
      </w:r>
    </w:p>
    <w:p w:rsidR="00BA6524" w:rsidRDefault="00BD4AFA" w:rsidP="00BD4AFA">
      <w:pPr>
        <w:pStyle w:val="BodyText"/>
        <w:tabs>
          <w:tab w:val="left" w:pos="2012"/>
        </w:tabs>
        <w:ind w:left="1620"/>
      </w:pPr>
      <w:bookmarkStart w:id="12" w:name="bookmark12"/>
      <w:bookmarkEnd w:id="12"/>
      <w:r>
        <w:t>b)</w:t>
      </w:r>
      <w:r>
        <w:tab/>
      </w:r>
      <w:r>
        <w:rPr>
          <w:b/>
          <w:bCs/>
        </w:rPr>
        <w:t xml:space="preserve">US$ 139,499,189 </w:t>
      </w:r>
      <w:r>
        <w:t>to be solicited from International partners.</w:t>
      </w:r>
    </w:p>
    <w:p w:rsidR="00BA6524" w:rsidRDefault="00BD4AFA" w:rsidP="00BD4AFA">
      <w:pPr>
        <w:pStyle w:val="BodyText"/>
        <w:tabs>
          <w:tab w:val="left" w:pos="1448"/>
        </w:tabs>
        <w:spacing w:after="340"/>
        <w:ind w:firstLine="800"/>
      </w:pPr>
      <w:bookmarkStart w:id="13" w:name="bookmark13"/>
      <w:bookmarkEnd w:id="13"/>
      <w:r>
        <w:t>(iii)</w:t>
      </w:r>
      <w:r>
        <w:tab/>
      </w:r>
      <w:r>
        <w:t xml:space="preserve">Peace Support Operations: </w:t>
      </w:r>
      <w:r>
        <w:rPr>
          <w:b/>
          <w:bCs/>
        </w:rPr>
        <w:t xml:space="preserve">US$ 273,269,140 </w:t>
      </w:r>
      <w:r>
        <w:t>to be financed as follows:</w:t>
      </w:r>
    </w:p>
    <w:p w:rsidR="00BA6524" w:rsidRDefault="00BD4AFA" w:rsidP="00BD4AFA">
      <w:pPr>
        <w:pStyle w:val="BodyText"/>
        <w:tabs>
          <w:tab w:val="left" w:pos="2012"/>
        </w:tabs>
        <w:spacing w:after="0"/>
        <w:ind w:left="1620"/>
      </w:pPr>
      <w:bookmarkStart w:id="14" w:name="bookmark14"/>
      <w:bookmarkEnd w:id="14"/>
      <w:r>
        <w:t>a)</w:t>
      </w:r>
      <w:r>
        <w:tab/>
      </w:r>
      <w:r>
        <w:rPr>
          <w:b/>
          <w:bCs/>
        </w:rPr>
        <w:t xml:space="preserve">US$ 11,328,753 </w:t>
      </w:r>
      <w:r>
        <w:t>assessed on Member States;</w:t>
      </w:r>
    </w:p>
    <w:p w:rsidR="00BA6524" w:rsidRDefault="00BD4AFA" w:rsidP="00BD4AFA">
      <w:pPr>
        <w:pStyle w:val="BodyText"/>
        <w:tabs>
          <w:tab w:val="left" w:pos="2012"/>
        </w:tabs>
        <w:ind w:left="1620"/>
        <w:sectPr w:rsidR="00BA6524">
          <w:pgSz w:w="12240" w:h="16834"/>
          <w:pgMar w:top="1968" w:right="839" w:bottom="3817" w:left="1351" w:header="0" w:footer="3" w:gutter="0"/>
          <w:cols w:space="720"/>
          <w:noEndnote/>
          <w:docGrid w:linePitch="360"/>
        </w:sectPr>
      </w:pPr>
      <w:bookmarkStart w:id="15" w:name="bookmark15"/>
      <w:bookmarkEnd w:id="15"/>
      <w:r>
        <w:t>b)</w:t>
      </w:r>
      <w:r>
        <w:tab/>
      </w:r>
      <w:r>
        <w:rPr>
          <w:b/>
          <w:bCs/>
        </w:rPr>
        <w:t>US$ 261, 940,387 to be solicited from International partners.</w:t>
      </w:r>
    </w:p>
    <w:p w:rsidR="00BA6524" w:rsidRDefault="00BD4AFA">
      <w:pPr>
        <w:spacing w:line="1" w:lineRule="exact"/>
      </w:pPr>
      <w:r>
        <w:rPr>
          <w:noProof/>
        </w:rPr>
        <w:lastRenderedPageBreak/>
        <mc:AlternateContent>
          <mc:Choice Requires="wps">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10689590" cy="7772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10689590" cy="7772400"/>
                        </a:xfrm>
                        <a:prstGeom prst="rect">
                          <a:avLst/>
                        </a:prstGeom>
                        <a:solidFill>
                          <a:srgbClr val="FEFEFE"/>
                        </a:solidFill>
                      </wps:spPr>
                      <wps:bodyPr/>
                    </wps:wsp>
                  </a:graphicData>
                </a:graphic>
              </wp:anchor>
            </w:drawing>
          </mc:Choice>
          <mc:Fallback>
            <w:pict>
              <v:rect style="position:absolute;margin-left:0;margin-top:0;width:841.70000000000005pt;height:612.pt;z-index:-251658240;mso-position-horizontal-relative:page;mso-position-vertical-relative:page;z-index:-251658752" fillcolor="#FEFEFE" stroked="f"/>
            </w:pict>
          </mc:Fallback>
        </mc:AlternateContent>
      </w:r>
    </w:p>
    <w:p w:rsidR="00BA6524" w:rsidRDefault="00BA6524">
      <w:pPr>
        <w:spacing w:after="1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62"/>
        <w:gridCol w:w="1277"/>
        <w:gridCol w:w="1138"/>
        <w:gridCol w:w="1272"/>
        <w:gridCol w:w="192"/>
        <w:gridCol w:w="1104"/>
        <w:gridCol w:w="1133"/>
        <w:gridCol w:w="1133"/>
        <w:gridCol w:w="192"/>
        <w:gridCol w:w="1099"/>
        <w:gridCol w:w="1138"/>
        <w:gridCol w:w="1440"/>
      </w:tblGrid>
      <w:tr w:rsidR="00BA6524">
        <w:tblPrEx>
          <w:tblCellMar>
            <w:top w:w="0" w:type="dxa"/>
            <w:bottom w:w="0" w:type="dxa"/>
          </w:tblCellMar>
        </w:tblPrEx>
        <w:trPr>
          <w:trHeight w:hRule="exact" w:val="302"/>
          <w:jc w:val="center"/>
        </w:trPr>
        <w:tc>
          <w:tcPr>
            <w:tcW w:w="1862" w:type="dxa"/>
            <w:vMerge w:val="restart"/>
            <w:tcBorders>
              <w:top w:val="single" w:sz="4" w:space="0" w:color="auto"/>
              <w:left w:val="single" w:sz="4" w:space="0" w:color="auto"/>
            </w:tcBorders>
            <w:shd w:val="clear" w:color="auto" w:fill="D9D9D9"/>
            <w:vAlign w:val="bottom"/>
          </w:tcPr>
          <w:p w:rsidR="00BA6524" w:rsidRDefault="00BD4AFA">
            <w:pPr>
              <w:pStyle w:val="Other0"/>
              <w:spacing w:after="0"/>
              <w:jc w:val="center"/>
              <w:rPr>
                <w:sz w:val="16"/>
                <w:szCs w:val="16"/>
              </w:rPr>
            </w:pPr>
            <w:r>
              <w:rPr>
                <w:b/>
                <w:bCs/>
                <w:sz w:val="16"/>
                <w:szCs w:val="16"/>
              </w:rPr>
              <w:t>Organs</w:t>
            </w:r>
          </w:p>
        </w:tc>
        <w:tc>
          <w:tcPr>
            <w:tcW w:w="3687" w:type="dxa"/>
            <w:gridSpan w:val="3"/>
            <w:tcBorders>
              <w:top w:val="single" w:sz="4" w:space="0" w:color="auto"/>
              <w:left w:val="single" w:sz="4" w:space="0" w:color="auto"/>
            </w:tcBorders>
            <w:shd w:val="clear" w:color="auto" w:fill="D9D9D9"/>
            <w:vAlign w:val="bottom"/>
          </w:tcPr>
          <w:p w:rsidR="00BA6524" w:rsidRDefault="00BD4AFA">
            <w:pPr>
              <w:pStyle w:val="Other0"/>
              <w:spacing w:after="0"/>
              <w:jc w:val="center"/>
              <w:rPr>
                <w:sz w:val="16"/>
                <w:szCs w:val="16"/>
              </w:rPr>
            </w:pPr>
            <w:r>
              <w:rPr>
                <w:b/>
                <w:bCs/>
                <w:sz w:val="16"/>
                <w:szCs w:val="16"/>
              </w:rPr>
              <w:t>Member States</w:t>
            </w:r>
          </w:p>
        </w:tc>
        <w:tc>
          <w:tcPr>
            <w:tcW w:w="192" w:type="dxa"/>
            <w:vMerge w:val="restart"/>
            <w:tcBorders>
              <w:top w:val="single" w:sz="4" w:space="0" w:color="auto"/>
              <w:left w:val="single" w:sz="4" w:space="0" w:color="auto"/>
            </w:tcBorders>
            <w:shd w:val="clear" w:color="auto" w:fill="FFFFFF"/>
          </w:tcPr>
          <w:p w:rsidR="00BA6524" w:rsidRDefault="00BA6524">
            <w:pPr>
              <w:rPr>
                <w:sz w:val="10"/>
                <w:szCs w:val="10"/>
              </w:rPr>
            </w:pPr>
          </w:p>
        </w:tc>
        <w:tc>
          <w:tcPr>
            <w:tcW w:w="3370" w:type="dxa"/>
            <w:gridSpan w:val="3"/>
            <w:tcBorders>
              <w:top w:val="single" w:sz="4" w:space="0" w:color="auto"/>
              <w:left w:val="single" w:sz="4" w:space="0" w:color="auto"/>
            </w:tcBorders>
            <w:shd w:val="clear" w:color="auto" w:fill="D9D9D9"/>
            <w:vAlign w:val="bottom"/>
          </w:tcPr>
          <w:p w:rsidR="00BA6524" w:rsidRDefault="00BD4AFA">
            <w:pPr>
              <w:pStyle w:val="Other0"/>
              <w:spacing w:after="0"/>
              <w:rPr>
                <w:sz w:val="16"/>
                <w:szCs w:val="16"/>
              </w:rPr>
            </w:pPr>
            <w:r>
              <w:rPr>
                <w:b/>
                <w:bCs/>
                <w:sz w:val="16"/>
                <w:szCs w:val="16"/>
              </w:rPr>
              <w:t xml:space="preserve"> Partners</w:t>
            </w:r>
          </w:p>
        </w:tc>
        <w:tc>
          <w:tcPr>
            <w:tcW w:w="192" w:type="dxa"/>
            <w:vMerge w:val="restart"/>
            <w:tcBorders>
              <w:top w:val="single" w:sz="4" w:space="0" w:color="auto"/>
              <w:left w:val="single" w:sz="4" w:space="0" w:color="auto"/>
            </w:tcBorders>
            <w:shd w:val="clear" w:color="auto" w:fill="FFFFFF"/>
          </w:tcPr>
          <w:p w:rsidR="00BA6524" w:rsidRDefault="00BA6524">
            <w:pPr>
              <w:rPr>
                <w:sz w:val="10"/>
                <w:szCs w:val="10"/>
              </w:rPr>
            </w:pPr>
          </w:p>
        </w:tc>
        <w:tc>
          <w:tcPr>
            <w:tcW w:w="3677" w:type="dxa"/>
            <w:gridSpan w:val="3"/>
            <w:tcBorders>
              <w:top w:val="single" w:sz="4" w:space="0" w:color="auto"/>
              <w:left w:val="single" w:sz="4" w:space="0" w:color="auto"/>
              <w:right w:val="single" w:sz="4" w:space="0" w:color="auto"/>
            </w:tcBorders>
            <w:shd w:val="clear" w:color="auto" w:fill="D9D9D9"/>
            <w:vAlign w:val="bottom"/>
          </w:tcPr>
          <w:p w:rsidR="00BA6524" w:rsidRDefault="00BD4AFA">
            <w:pPr>
              <w:pStyle w:val="Other0"/>
              <w:spacing w:after="0"/>
              <w:jc w:val="center"/>
              <w:rPr>
                <w:sz w:val="16"/>
                <w:szCs w:val="16"/>
              </w:rPr>
            </w:pPr>
            <w:r>
              <w:rPr>
                <w:b/>
                <w:bCs/>
                <w:sz w:val="16"/>
                <w:szCs w:val="16"/>
              </w:rPr>
              <w:t>Total Budget 2019</w:t>
            </w:r>
          </w:p>
        </w:tc>
      </w:tr>
      <w:tr w:rsidR="00BA6524">
        <w:tblPrEx>
          <w:tblCellMar>
            <w:top w:w="0" w:type="dxa"/>
            <w:bottom w:w="0" w:type="dxa"/>
          </w:tblCellMar>
        </w:tblPrEx>
        <w:trPr>
          <w:trHeight w:hRule="exact" w:val="398"/>
          <w:jc w:val="center"/>
        </w:trPr>
        <w:tc>
          <w:tcPr>
            <w:tcW w:w="1862" w:type="dxa"/>
            <w:vMerge/>
            <w:tcBorders>
              <w:left w:val="single" w:sz="4" w:space="0" w:color="auto"/>
            </w:tcBorders>
            <w:shd w:val="clear" w:color="auto" w:fill="D9D9D9"/>
            <w:vAlign w:val="bottom"/>
          </w:tcPr>
          <w:p w:rsidR="00BA6524" w:rsidRDefault="00BA6524"/>
        </w:tc>
        <w:tc>
          <w:tcPr>
            <w:tcW w:w="1277" w:type="dxa"/>
            <w:tcBorders>
              <w:top w:val="single" w:sz="4" w:space="0" w:color="auto"/>
              <w:left w:val="single" w:sz="4" w:space="0" w:color="auto"/>
            </w:tcBorders>
            <w:shd w:val="clear" w:color="auto" w:fill="D9D9D9"/>
            <w:vAlign w:val="bottom"/>
          </w:tcPr>
          <w:p w:rsidR="00BA6524" w:rsidRDefault="00BD4AFA">
            <w:pPr>
              <w:pStyle w:val="Other0"/>
              <w:spacing w:after="0"/>
              <w:jc w:val="center"/>
              <w:rPr>
                <w:sz w:val="16"/>
                <w:szCs w:val="16"/>
              </w:rPr>
            </w:pPr>
            <w:r>
              <w:rPr>
                <w:b/>
                <w:bCs/>
                <w:sz w:val="16"/>
                <w:szCs w:val="16"/>
              </w:rPr>
              <w:t>Operating Budget</w:t>
            </w:r>
          </w:p>
        </w:tc>
        <w:tc>
          <w:tcPr>
            <w:tcW w:w="1138" w:type="dxa"/>
            <w:tcBorders>
              <w:top w:val="single" w:sz="4" w:space="0" w:color="auto"/>
              <w:left w:val="single" w:sz="4" w:space="0" w:color="auto"/>
            </w:tcBorders>
            <w:shd w:val="clear" w:color="auto" w:fill="D9D9D9"/>
            <w:vAlign w:val="center"/>
          </w:tcPr>
          <w:p w:rsidR="00BA6524" w:rsidRDefault="00BD4AFA">
            <w:pPr>
              <w:pStyle w:val="Other0"/>
              <w:spacing w:after="0"/>
              <w:jc w:val="center"/>
              <w:rPr>
                <w:sz w:val="16"/>
                <w:szCs w:val="16"/>
              </w:rPr>
            </w:pPr>
            <w:r>
              <w:rPr>
                <w:b/>
                <w:bCs/>
                <w:sz w:val="16"/>
                <w:szCs w:val="16"/>
              </w:rPr>
              <w:t>Programs</w:t>
            </w:r>
          </w:p>
        </w:tc>
        <w:tc>
          <w:tcPr>
            <w:tcW w:w="1272" w:type="dxa"/>
            <w:tcBorders>
              <w:top w:val="single" w:sz="4" w:space="0" w:color="auto"/>
              <w:left w:val="single" w:sz="4" w:space="0" w:color="auto"/>
            </w:tcBorders>
            <w:shd w:val="clear" w:color="auto" w:fill="D9D9D9"/>
            <w:vAlign w:val="bottom"/>
          </w:tcPr>
          <w:p w:rsidR="00BA6524" w:rsidRDefault="00BD4AFA">
            <w:pPr>
              <w:pStyle w:val="Other0"/>
              <w:spacing w:after="0"/>
              <w:jc w:val="center"/>
              <w:rPr>
                <w:sz w:val="16"/>
                <w:szCs w:val="16"/>
              </w:rPr>
            </w:pPr>
            <w:r>
              <w:rPr>
                <w:b/>
                <w:bCs/>
                <w:sz w:val="16"/>
                <w:szCs w:val="16"/>
              </w:rPr>
              <w:t>Total</w:t>
            </w:r>
          </w:p>
          <w:p w:rsidR="00BA6524" w:rsidRDefault="00BD4AFA">
            <w:pPr>
              <w:pStyle w:val="Other0"/>
              <w:spacing w:after="0"/>
              <w:jc w:val="center"/>
              <w:rPr>
                <w:sz w:val="16"/>
                <w:szCs w:val="16"/>
              </w:rPr>
            </w:pPr>
            <w:r>
              <w:rPr>
                <w:b/>
                <w:bCs/>
                <w:sz w:val="16"/>
                <w:szCs w:val="16"/>
              </w:rPr>
              <w:t>Assessment</w:t>
            </w:r>
          </w:p>
        </w:tc>
        <w:tc>
          <w:tcPr>
            <w:tcW w:w="192" w:type="dxa"/>
            <w:vMerge/>
            <w:tcBorders>
              <w:left w:val="single" w:sz="4" w:space="0" w:color="auto"/>
            </w:tcBorders>
            <w:shd w:val="clear" w:color="auto" w:fill="FFFFFF"/>
          </w:tcPr>
          <w:p w:rsidR="00BA6524" w:rsidRDefault="00BA6524"/>
        </w:tc>
        <w:tc>
          <w:tcPr>
            <w:tcW w:w="1104" w:type="dxa"/>
            <w:tcBorders>
              <w:top w:val="single" w:sz="4" w:space="0" w:color="auto"/>
              <w:left w:val="single" w:sz="4" w:space="0" w:color="auto"/>
            </w:tcBorders>
            <w:shd w:val="clear" w:color="auto" w:fill="D9D9D9"/>
            <w:vAlign w:val="center"/>
          </w:tcPr>
          <w:p w:rsidR="00BA6524" w:rsidRDefault="00BD4AFA">
            <w:pPr>
              <w:pStyle w:val="Other0"/>
              <w:spacing w:after="0"/>
              <w:jc w:val="center"/>
              <w:rPr>
                <w:sz w:val="16"/>
                <w:szCs w:val="16"/>
              </w:rPr>
            </w:pPr>
            <w:r>
              <w:rPr>
                <w:b/>
                <w:bCs/>
                <w:sz w:val="16"/>
                <w:szCs w:val="16"/>
              </w:rPr>
              <w:t>Operating</w:t>
            </w:r>
          </w:p>
        </w:tc>
        <w:tc>
          <w:tcPr>
            <w:tcW w:w="1133" w:type="dxa"/>
            <w:tcBorders>
              <w:top w:val="single" w:sz="4" w:space="0" w:color="auto"/>
              <w:left w:val="single" w:sz="4" w:space="0" w:color="auto"/>
            </w:tcBorders>
            <w:shd w:val="clear" w:color="auto" w:fill="D9D9D9"/>
            <w:vAlign w:val="center"/>
          </w:tcPr>
          <w:p w:rsidR="00BA6524" w:rsidRDefault="00BD4AFA">
            <w:pPr>
              <w:pStyle w:val="Other0"/>
              <w:spacing w:after="0"/>
              <w:ind w:right="180"/>
              <w:jc w:val="right"/>
              <w:rPr>
                <w:sz w:val="16"/>
                <w:szCs w:val="16"/>
              </w:rPr>
            </w:pPr>
            <w:r>
              <w:rPr>
                <w:b/>
                <w:bCs/>
                <w:sz w:val="16"/>
                <w:szCs w:val="16"/>
              </w:rPr>
              <w:t>Programs</w:t>
            </w:r>
          </w:p>
        </w:tc>
        <w:tc>
          <w:tcPr>
            <w:tcW w:w="1133" w:type="dxa"/>
            <w:tcBorders>
              <w:top w:val="single" w:sz="4" w:space="0" w:color="auto"/>
              <w:left w:val="single" w:sz="4" w:space="0" w:color="auto"/>
            </w:tcBorders>
            <w:shd w:val="clear" w:color="auto" w:fill="D9D9D9"/>
            <w:vAlign w:val="center"/>
          </w:tcPr>
          <w:p w:rsidR="00BA6524" w:rsidRDefault="00BD4AFA">
            <w:pPr>
              <w:pStyle w:val="Other0"/>
              <w:spacing w:after="0"/>
              <w:ind w:firstLine="340"/>
              <w:rPr>
                <w:sz w:val="16"/>
                <w:szCs w:val="16"/>
              </w:rPr>
            </w:pPr>
            <w:r>
              <w:rPr>
                <w:b/>
                <w:bCs/>
                <w:sz w:val="16"/>
                <w:szCs w:val="16"/>
              </w:rPr>
              <w:t>Total</w:t>
            </w:r>
          </w:p>
        </w:tc>
        <w:tc>
          <w:tcPr>
            <w:tcW w:w="192" w:type="dxa"/>
            <w:vMerge/>
            <w:tcBorders>
              <w:left w:val="single" w:sz="4" w:space="0" w:color="auto"/>
            </w:tcBorders>
            <w:shd w:val="clear" w:color="auto" w:fill="FFFFFF"/>
          </w:tcPr>
          <w:p w:rsidR="00BA6524" w:rsidRDefault="00BA6524"/>
        </w:tc>
        <w:tc>
          <w:tcPr>
            <w:tcW w:w="1099" w:type="dxa"/>
            <w:tcBorders>
              <w:top w:val="single" w:sz="4" w:space="0" w:color="auto"/>
              <w:left w:val="single" w:sz="4" w:space="0" w:color="auto"/>
            </w:tcBorders>
            <w:shd w:val="clear" w:color="auto" w:fill="D9D9D9"/>
            <w:vAlign w:val="center"/>
          </w:tcPr>
          <w:p w:rsidR="00BA6524" w:rsidRDefault="00BD4AFA">
            <w:pPr>
              <w:pStyle w:val="Other0"/>
              <w:spacing w:after="0"/>
              <w:ind w:firstLine="140"/>
              <w:jc w:val="both"/>
              <w:rPr>
                <w:sz w:val="16"/>
                <w:szCs w:val="16"/>
              </w:rPr>
            </w:pPr>
            <w:r>
              <w:rPr>
                <w:b/>
                <w:bCs/>
                <w:sz w:val="16"/>
                <w:szCs w:val="16"/>
              </w:rPr>
              <w:t>Operating</w:t>
            </w:r>
          </w:p>
        </w:tc>
        <w:tc>
          <w:tcPr>
            <w:tcW w:w="1138" w:type="dxa"/>
            <w:tcBorders>
              <w:top w:val="single" w:sz="4" w:space="0" w:color="auto"/>
              <w:left w:val="single" w:sz="4" w:space="0" w:color="auto"/>
            </w:tcBorders>
            <w:shd w:val="clear" w:color="auto" w:fill="D9D9D9"/>
            <w:vAlign w:val="center"/>
          </w:tcPr>
          <w:p w:rsidR="00BA6524" w:rsidRDefault="00BD4AFA">
            <w:pPr>
              <w:pStyle w:val="Other0"/>
              <w:spacing w:after="0"/>
              <w:ind w:firstLine="160"/>
              <w:rPr>
                <w:sz w:val="16"/>
                <w:szCs w:val="16"/>
              </w:rPr>
            </w:pPr>
            <w:r>
              <w:rPr>
                <w:b/>
                <w:bCs/>
                <w:sz w:val="16"/>
                <w:szCs w:val="16"/>
              </w:rPr>
              <w:t>Programs</w:t>
            </w:r>
          </w:p>
        </w:tc>
        <w:tc>
          <w:tcPr>
            <w:tcW w:w="1440" w:type="dxa"/>
            <w:tcBorders>
              <w:top w:val="single" w:sz="4" w:space="0" w:color="auto"/>
              <w:left w:val="single" w:sz="4" w:space="0" w:color="auto"/>
              <w:right w:val="single" w:sz="4" w:space="0" w:color="auto"/>
            </w:tcBorders>
            <w:shd w:val="clear" w:color="auto" w:fill="D9D9D9"/>
            <w:vAlign w:val="center"/>
          </w:tcPr>
          <w:p w:rsidR="00BA6524" w:rsidRDefault="00BD4AFA">
            <w:pPr>
              <w:pStyle w:val="Other0"/>
              <w:spacing w:after="0"/>
              <w:ind w:right="540"/>
              <w:jc w:val="right"/>
              <w:rPr>
                <w:sz w:val="16"/>
                <w:szCs w:val="16"/>
              </w:rPr>
            </w:pPr>
            <w:r>
              <w:rPr>
                <w:b/>
                <w:bCs/>
                <w:sz w:val="16"/>
                <w:szCs w:val="16"/>
              </w:rPr>
              <w:t>Total</w:t>
            </w:r>
          </w:p>
        </w:tc>
      </w:tr>
      <w:tr w:rsidR="00BA6524">
        <w:tblPrEx>
          <w:tblCellMar>
            <w:top w:w="0" w:type="dxa"/>
            <w:bottom w:w="0" w:type="dxa"/>
          </w:tblCellMar>
        </w:tblPrEx>
        <w:trPr>
          <w:trHeight w:hRule="exact" w:val="365"/>
          <w:jc w:val="center"/>
        </w:trPr>
        <w:tc>
          <w:tcPr>
            <w:tcW w:w="1862" w:type="dxa"/>
            <w:tcBorders>
              <w:top w:val="single" w:sz="4" w:space="0" w:color="auto"/>
              <w:left w:val="single" w:sz="4" w:space="0" w:color="auto"/>
            </w:tcBorders>
            <w:shd w:val="clear" w:color="auto" w:fill="FFFFFF"/>
            <w:vAlign w:val="bottom"/>
          </w:tcPr>
          <w:p w:rsidR="00BA6524" w:rsidRDefault="00BD4AFA">
            <w:pPr>
              <w:pStyle w:val="Other0"/>
              <w:spacing w:after="0"/>
              <w:rPr>
                <w:sz w:val="18"/>
                <w:szCs w:val="18"/>
              </w:rPr>
            </w:pPr>
            <w:r>
              <w:rPr>
                <w:sz w:val="18"/>
                <w:szCs w:val="18"/>
              </w:rPr>
              <w:t>AUC</w:t>
            </w:r>
          </w:p>
        </w:tc>
        <w:tc>
          <w:tcPr>
            <w:tcW w:w="1277" w:type="dxa"/>
            <w:tcBorders>
              <w:top w:val="single" w:sz="4" w:space="0" w:color="auto"/>
              <w:left w:val="single" w:sz="4" w:space="0" w:color="auto"/>
            </w:tcBorders>
            <w:shd w:val="clear" w:color="auto" w:fill="FFFFFF"/>
            <w:vAlign w:val="bottom"/>
          </w:tcPr>
          <w:p w:rsidR="00BA6524" w:rsidRDefault="00BD4AFA">
            <w:pPr>
              <w:pStyle w:val="Other0"/>
              <w:spacing w:after="0"/>
              <w:ind w:firstLine="300"/>
              <w:rPr>
                <w:sz w:val="18"/>
                <w:szCs w:val="18"/>
              </w:rPr>
            </w:pPr>
            <w:r>
              <w:rPr>
                <w:sz w:val="18"/>
                <w:szCs w:val="18"/>
              </w:rPr>
              <w:t>107,611,392</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ind w:firstLine="240"/>
              <w:rPr>
                <w:sz w:val="18"/>
                <w:szCs w:val="18"/>
              </w:rPr>
            </w:pPr>
            <w:r>
              <w:rPr>
                <w:sz w:val="18"/>
                <w:szCs w:val="18"/>
              </w:rPr>
              <w:t>55,137,644</w:t>
            </w:r>
          </w:p>
        </w:tc>
        <w:tc>
          <w:tcPr>
            <w:tcW w:w="1272" w:type="dxa"/>
            <w:tcBorders>
              <w:top w:val="single" w:sz="4" w:space="0" w:color="auto"/>
              <w:left w:val="single" w:sz="4" w:space="0" w:color="auto"/>
            </w:tcBorders>
            <w:shd w:val="clear" w:color="auto" w:fill="FFFFFF"/>
            <w:vAlign w:val="bottom"/>
          </w:tcPr>
          <w:p w:rsidR="00BA6524" w:rsidRDefault="00BD4AFA">
            <w:pPr>
              <w:pStyle w:val="Other0"/>
              <w:spacing w:after="0"/>
              <w:ind w:firstLine="300"/>
              <w:jc w:val="both"/>
              <w:rPr>
                <w:sz w:val="18"/>
                <w:szCs w:val="18"/>
              </w:rPr>
            </w:pPr>
            <w:r>
              <w:rPr>
                <w:sz w:val="18"/>
                <w:szCs w:val="18"/>
              </w:rPr>
              <w:t>162,749,036</w:t>
            </w:r>
          </w:p>
        </w:tc>
        <w:tc>
          <w:tcPr>
            <w:tcW w:w="192" w:type="dxa"/>
            <w:vMerge/>
            <w:tcBorders>
              <w:left w:val="single" w:sz="4" w:space="0" w:color="auto"/>
            </w:tcBorders>
            <w:shd w:val="clear" w:color="auto" w:fill="FFFFFF"/>
          </w:tcPr>
          <w:p w:rsidR="00BA6524" w:rsidRDefault="00BA6524"/>
        </w:tc>
        <w:tc>
          <w:tcPr>
            <w:tcW w:w="1104"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120,043,895</w:t>
            </w: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ind w:firstLine="160"/>
              <w:jc w:val="both"/>
              <w:rPr>
                <w:sz w:val="18"/>
                <w:szCs w:val="18"/>
              </w:rPr>
            </w:pPr>
            <w:r>
              <w:rPr>
                <w:sz w:val="18"/>
                <w:szCs w:val="18"/>
              </w:rPr>
              <w:t>120,043,895</w:t>
            </w:r>
          </w:p>
        </w:tc>
        <w:tc>
          <w:tcPr>
            <w:tcW w:w="192" w:type="dxa"/>
            <w:vMerge/>
            <w:tcBorders>
              <w:left w:val="single" w:sz="4" w:space="0" w:color="auto"/>
            </w:tcBorders>
            <w:shd w:val="clear" w:color="auto" w:fill="FFFFFF"/>
          </w:tcPr>
          <w:p w:rsidR="00BA6524" w:rsidRDefault="00BA6524"/>
        </w:tc>
        <w:tc>
          <w:tcPr>
            <w:tcW w:w="1099" w:type="dxa"/>
            <w:tcBorders>
              <w:top w:val="single" w:sz="4" w:space="0" w:color="auto"/>
              <w:left w:val="single" w:sz="4" w:space="0" w:color="auto"/>
            </w:tcBorders>
            <w:shd w:val="clear" w:color="auto" w:fill="FFFFFF"/>
            <w:vAlign w:val="bottom"/>
          </w:tcPr>
          <w:p w:rsidR="00BA6524" w:rsidRDefault="00BD4AFA">
            <w:pPr>
              <w:pStyle w:val="Other0"/>
              <w:spacing w:after="0"/>
              <w:ind w:firstLine="140"/>
              <w:jc w:val="both"/>
              <w:rPr>
                <w:sz w:val="18"/>
                <w:szCs w:val="18"/>
              </w:rPr>
            </w:pPr>
            <w:r>
              <w:rPr>
                <w:sz w:val="18"/>
                <w:szCs w:val="18"/>
              </w:rPr>
              <w:t>107,611,392</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175,181,539</w:t>
            </w:r>
          </w:p>
        </w:tc>
        <w:tc>
          <w:tcPr>
            <w:tcW w:w="1440" w:type="dxa"/>
            <w:tcBorders>
              <w:top w:val="single" w:sz="4" w:space="0" w:color="auto"/>
              <w:left w:val="single" w:sz="4" w:space="0" w:color="auto"/>
              <w:righ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282,792,931</w:t>
            </w:r>
          </w:p>
        </w:tc>
      </w:tr>
      <w:tr w:rsidR="00BA6524">
        <w:tblPrEx>
          <w:tblCellMar>
            <w:top w:w="0" w:type="dxa"/>
            <w:bottom w:w="0" w:type="dxa"/>
          </w:tblCellMar>
        </w:tblPrEx>
        <w:trPr>
          <w:trHeight w:hRule="exact" w:val="379"/>
          <w:jc w:val="center"/>
        </w:trPr>
        <w:tc>
          <w:tcPr>
            <w:tcW w:w="1862" w:type="dxa"/>
            <w:tcBorders>
              <w:top w:val="single" w:sz="4" w:space="0" w:color="auto"/>
              <w:left w:val="single" w:sz="4" w:space="0" w:color="auto"/>
            </w:tcBorders>
            <w:shd w:val="clear" w:color="auto" w:fill="FFFFFF"/>
            <w:vAlign w:val="bottom"/>
          </w:tcPr>
          <w:p w:rsidR="00BA6524" w:rsidRDefault="00BD4AFA">
            <w:pPr>
              <w:pStyle w:val="Other0"/>
              <w:spacing w:after="0"/>
              <w:rPr>
                <w:sz w:val="18"/>
                <w:szCs w:val="18"/>
              </w:rPr>
            </w:pPr>
            <w:r>
              <w:rPr>
                <w:sz w:val="18"/>
                <w:szCs w:val="18"/>
              </w:rPr>
              <w:t>PAP</w:t>
            </w:r>
          </w:p>
        </w:tc>
        <w:tc>
          <w:tcPr>
            <w:tcW w:w="1277" w:type="dxa"/>
            <w:tcBorders>
              <w:top w:val="single" w:sz="4" w:space="0" w:color="auto"/>
              <w:left w:val="single" w:sz="4" w:space="0" w:color="auto"/>
            </w:tcBorders>
            <w:shd w:val="clear" w:color="auto" w:fill="FFFFFF"/>
            <w:vAlign w:val="bottom"/>
          </w:tcPr>
          <w:p w:rsidR="00BA6524" w:rsidRDefault="00BD4AFA">
            <w:pPr>
              <w:pStyle w:val="Other0"/>
              <w:spacing w:after="0"/>
              <w:ind w:firstLine="400"/>
              <w:rPr>
                <w:sz w:val="18"/>
                <w:szCs w:val="18"/>
              </w:rPr>
            </w:pPr>
            <w:r>
              <w:rPr>
                <w:sz w:val="18"/>
                <w:szCs w:val="18"/>
              </w:rPr>
              <w:t>11,749,132</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ind w:firstLine="340"/>
              <w:rPr>
                <w:sz w:val="18"/>
                <w:szCs w:val="18"/>
              </w:rPr>
            </w:pPr>
            <w:r>
              <w:rPr>
                <w:sz w:val="18"/>
                <w:szCs w:val="18"/>
              </w:rPr>
              <w:t>6,290,983</w:t>
            </w:r>
          </w:p>
        </w:tc>
        <w:tc>
          <w:tcPr>
            <w:tcW w:w="1272" w:type="dxa"/>
            <w:tcBorders>
              <w:top w:val="single" w:sz="4" w:space="0" w:color="auto"/>
              <w:left w:val="single" w:sz="4" w:space="0" w:color="auto"/>
            </w:tcBorders>
            <w:shd w:val="clear" w:color="auto" w:fill="FFFFFF"/>
            <w:vAlign w:val="bottom"/>
          </w:tcPr>
          <w:p w:rsidR="00BA6524" w:rsidRDefault="00BD4AFA">
            <w:pPr>
              <w:pStyle w:val="Other0"/>
              <w:spacing w:after="0"/>
              <w:ind w:firstLine="380"/>
              <w:jc w:val="both"/>
              <w:rPr>
                <w:sz w:val="18"/>
                <w:szCs w:val="18"/>
              </w:rPr>
            </w:pPr>
            <w:r>
              <w:rPr>
                <w:sz w:val="18"/>
                <w:szCs w:val="18"/>
              </w:rPr>
              <w:t>18,040,115</w:t>
            </w:r>
          </w:p>
        </w:tc>
        <w:tc>
          <w:tcPr>
            <w:tcW w:w="192" w:type="dxa"/>
            <w:vMerge/>
            <w:tcBorders>
              <w:left w:val="single" w:sz="4" w:space="0" w:color="auto"/>
            </w:tcBorders>
            <w:shd w:val="clear" w:color="auto" w:fill="FFFFFF"/>
          </w:tcPr>
          <w:p w:rsidR="00BA6524" w:rsidRDefault="00BA6524"/>
        </w:tc>
        <w:tc>
          <w:tcPr>
            <w:tcW w:w="1104"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470,000</w:t>
            </w: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ind w:firstLine="460"/>
              <w:jc w:val="both"/>
              <w:rPr>
                <w:sz w:val="18"/>
                <w:szCs w:val="18"/>
              </w:rPr>
            </w:pPr>
            <w:r>
              <w:rPr>
                <w:sz w:val="18"/>
                <w:szCs w:val="18"/>
              </w:rPr>
              <w:t>470,000</w:t>
            </w:r>
          </w:p>
        </w:tc>
        <w:tc>
          <w:tcPr>
            <w:tcW w:w="192" w:type="dxa"/>
            <w:vMerge/>
            <w:tcBorders>
              <w:left w:val="single" w:sz="4" w:space="0" w:color="auto"/>
            </w:tcBorders>
            <w:shd w:val="clear" w:color="auto" w:fill="FFFFFF"/>
          </w:tcPr>
          <w:p w:rsidR="00BA6524" w:rsidRDefault="00BA6524"/>
        </w:tc>
        <w:tc>
          <w:tcPr>
            <w:tcW w:w="1099"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11,749,132</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ind w:firstLine="340"/>
              <w:rPr>
                <w:sz w:val="18"/>
                <w:szCs w:val="18"/>
              </w:rPr>
            </w:pPr>
            <w:r>
              <w:rPr>
                <w:sz w:val="18"/>
                <w:szCs w:val="18"/>
              </w:rPr>
              <w:t>6,760,983</w:t>
            </w:r>
          </w:p>
        </w:tc>
        <w:tc>
          <w:tcPr>
            <w:tcW w:w="1440" w:type="dxa"/>
            <w:tcBorders>
              <w:top w:val="single" w:sz="4" w:space="0" w:color="auto"/>
              <w:left w:val="single" w:sz="4" w:space="0" w:color="auto"/>
              <w:righ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18,510,115</w:t>
            </w:r>
          </w:p>
        </w:tc>
      </w:tr>
      <w:tr w:rsidR="00BA6524">
        <w:tblPrEx>
          <w:tblCellMar>
            <w:top w:w="0" w:type="dxa"/>
            <w:bottom w:w="0" w:type="dxa"/>
          </w:tblCellMar>
        </w:tblPrEx>
        <w:trPr>
          <w:trHeight w:hRule="exact" w:val="379"/>
          <w:jc w:val="center"/>
        </w:trPr>
        <w:tc>
          <w:tcPr>
            <w:tcW w:w="1862" w:type="dxa"/>
            <w:tcBorders>
              <w:top w:val="single" w:sz="4" w:space="0" w:color="auto"/>
              <w:left w:val="single" w:sz="4" w:space="0" w:color="auto"/>
            </w:tcBorders>
            <w:shd w:val="clear" w:color="auto" w:fill="FFFFFF"/>
            <w:vAlign w:val="bottom"/>
          </w:tcPr>
          <w:p w:rsidR="00BA6524" w:rsidRDefault="00BD4AFA">
            <w:pPr>
              <w:pStyle w:val="Other0"/>
              <w:spacing w:after="0"/>
              <w:rPr>
                <w:sz w:val="18"/>
                <w:szCs w:val="18"/>
              </w:rPr>
            </w:pPr>
            <w:r>
              <w:rPr>
                <w:sz w:val="18"/>
                <w:szCs w:val="18"/>
              </w:rPr>
              <w:t>AfCHR (The Court)</w:t>
            </w:r>
          </w:p>
        </w:tc>
        <w:tc>
          <w:tcPr>
            <w:tcW w:w="1277" w:type="dxa"/>
            <w:tcBorders>
              <w:top w:val="single" w:sz="4" w:space="0" w:color="auto"/>
              <w:left w:val="single" w:sz="4" w:space="0" w:color="auto"/>
            </w:tcBorders>
            <w:shd w:val="clear" w:color="auto" w:fill="FFFFFF"/>
            <w:vAlign w:val="bottom"/>
          </w:tcPr>
          <w:p w:rsidR="00BA6524" w:rsidRDefault="00BD4AFA">
            <w:pPr>
              <w:pStyle w:val="Other0"/>
              <w:spacing w:after="0"/>
              <w:ind w:firstLine="480"/>
              <w:jc w:val="both"/>
              <w:rPr>
                <w:sz w:val="18"/>
                <w:szCs w:val="18"/>
              </w:rPr>
            </w:pPr>
            <w:r>
              <w:rPr>
                <w:sz w:val="18"/>
                <w:szCs w:val="18"/>
              </w:rPr>
              <w:t>7,987,200</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ind w:firstLine="340"/>
              <w:rPr>
                <w:sz w:val="18"/>
                <w:szCs w:val="18"/>
              </w:rPr>
            </w:pPr>
            <w:r>
              <w:rPr>
                <w:sz w:val="18"/>
                <w:szCs w:val="18"/>
              </w:rPr>
              <w:t>5,058,246</w:t>
            </w:r>
          </w:p>
        </w:tc>
        <w:tc>
          <w:tcPr>
            <w:tcW w:w="1272" w:type="dxa"/>
            <w:tcBorders>
              <w:top w:val="single" w:sz="4" w:space="0" w:color="auto"/>
              <w:left w:val="single" w:sz="4" w:space="0" w:color="auto"/>
            </w:tcBorders>
            <w:shd w:val="clear" w:color="auto" w:fill="FFFFFF"/>
            <w:vAlign w:val="bottom"/>
          </w:tcPr>
          <w:p w:rsidR="00BA6524" w:rsidRDefault="00BD4AFA">
            <w:pPr>
              <w:pStyle w:val="Other0"/>
              <w:spacing w:after="0"/>
              <w:ind w:firstLine="380"/>
              <w:jc w:val="both"/>
              <w:rPr>
                <w:sz w:val="18"/>
                <w:szCs w:val="18"/>
              </w:rPr>
            </w:pPr>
            <w:r>
              <w:rPr>
                <w:sz w:val="18"/>
                <w:szCs w:val="18"/>
              </w:rPr>
              <w:t>13,045,446</w:t>
            </w:r>
          </w:p>
        </w:tc>
        <w:tc>
          <w:tcPr>
            <w:tcW w:w="192" w:type="dxa"/>
            <w:vMerge/>
            <w:tcBorders>
              <w:left w:val="single" w:sz="4" w:space="0" w:color="auto"/>
            </w:tcBorders>
            <w:shd w:val="clear" w:color="auto" w:fill="FFFFFF"/>
          </w:tcPr>
          <w:p w:rsidR="00BA6524" w:rsidRDefault="00BA6524"/>
        </w:tc>
        <w:tc>
          <w:tcPr>
            <w:tcW w:w="1104"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947,446</w:t>
            </w: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ind w:firstLine="460"/>
              <w:jc w:val="both"/>
              <w:rPr>
                <w:sz w:val="18"/>
                <w:szCs w:val="18"/>
              </w:rPr>
            </w:pPr>
            <w:r>
              <w:rPr>
                <w:sz w:val="18"/>
                <w:szCs w:val="18"/>
              </w:rPr>
              <w:t>947,446</w:t>
            </w:r>
          </w:p>
        </w:tc>
        <w:tc>
          <w:tcPr>
            <w:tcW w:w="192" w:type="dxa"/>
            <w:vMerge/>
            <w:tcBorders>
              <w:left w:val="single" w:sz="4" w:space="0" w:color="auto"/>
            </w:tcBorders>
            <w:shd w:val="clear" w:color="auto" w:fill="FFFFFF"/>
          </w:tcPr>
          <w:p w:rsidR="00BA6524" w:rsidRDefault="00BA6524"/>
        </w:tc>
        <w:tc>
          <w:tcPr>
            <w:tcW w:w="1099" w:type="dxa"/>
            <w:tcBorders>
              <w:top w:val="single" w:sz="4" w:space="0" w:color="auto"/>
              <w:left w:val="single" w:sz="4" w:space="0" w:color="auto"/>
            </w:tcBorders>
            <w:shd w:val="clear" w:color="auto" w:fill="FFFFFF"/>
            <w:vAlign w:val="bottom"/>
          </w:tcPr>
          <w:p w:rsidR="00BA6524" w:rsidRDefault="00BD4AFA">
            <w:pPr>
              <w:pStyle w:val="Other0"/>
              <w:spacing w:after="0"/>
              <w:ind w:firstLine="300"/>
              <w:jc w:val="both"/>
              <w:rPr>
                <w:sz w:val="18"/>
                <w:szCs w:val="18"/>
              </w:rPr>
            </w:pPr>
            <w:r>
              <w:rPr>
                <w:sz w:val="18"/>
                <w:szCs w:val="18"/>
              </w:rPr>
              <w:t>7,987,200</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ind w:firstLine="340"/>
              <w:rPr>
                <w:sz w:val="18"/>
                <w:szCs w:val="18"/>
              </w:rPr>
            </w:pPr>
            <w:r>
              <w:rPr>
                <w:sz w:val="18"/>
                <w:szCs w:val="18"/>
              </w:rPr>
              <w:t>6,005,691</w:t>
            </w:r>
          </w:p>
        </w:tc>
        <w:tc>
          <w:tcPr>
            <w:tcW w:w="1440" w:type="dxa"/>
            <w:tcBorders>
              <w:top w:val="single" w:sz="4" w:space="0" w:color="auto"/>
              <w:left w:val="single" w:sz="4" w:space="0" w:color="auto"/>
              <w:right w:val="single" w:sz="4" w:space="0" w:color="auto"/>
            </w:tcBorders>
            <w:shd w:val="clear" w:color="auto" w:fill="FFFFFF"/>
            <w:vAlign w:val="bottom"/>
          </w:tcPr>
          <w:p w:rsidR="00BA6524" w:rsidRDefault="00BD4AFA">
            <w:pPr>
              <w:pStyle w:val="Other0"/>
              <w:spacing w:after="0"/>
              <w:ind w:firstLine="500"/>
              <w:rPr>
                <w:sz w:val="18"/>
                <w:szCs w:val="18"/>
              </w:rPr>
            </w:pPr>
            <w:r>
              <w:rPr>
                <w:sz w:val="18"/>
                <w:szCs w:val="18"/>
              </w:rPr>
              <w:t>13,992,891</w:t>
            </w:r>
          </w:p>
        </w:tc>
      </w:tr>
      <w:tr w:rsidR="00BA6524">
        <w:tblPrEx>
          <w:tblCellMar>
            <w:top w:w="0" w:type="dxa"/>
            <w:bottom w:w="0" w:type="dxa"/>
          </w:tblCellMar>
        </w:tblPrEx>
        <w:trPr>
          <w:trHeight w:hRule="exact" w:val="374"/>
          <w:jc w:val="center"/>
        </w:trPr>
        <w:tc>
          <w:tcPr>
            <w:tcW w:w="1862" w:type="dxa"/>
            <w:tcBorders>
              <w:top w:val="single" w:sz="4" w:space="0" w:color="auto"/>
              <w:left w:val="single" w:sz="4" w:space="0" w:color="auto"/>
            </w:tcBorders>
            <w:shd w:val="clear" w:color="auto" w:fill="FFFFFF"/>
            <w:vAlign w:val="bottom"/>
          </w:tcPr>
          <w:p w:rsidR="00BA6524" w:rsidRDefault="00BD4AFA">
            <w:pPr>
              <w:pStyle w:val="Other0"/>
              <w:spacing w:after="0" w:line="211" w:lineRule="auto"/>
              <w:rPr>
                <w:sz w:val="18"/>
                <w:szCs w:val="18"/>
              </w:rPr>
            </w:pPr>
            <w:r>
              <w:rPr>
                <w:sz w:val="18"/>
                <w:szCs w:val="18"/>
              </w:rPr>
              <w:t>ACHPR (The Commission)</w:t>
            </w:r>
          </w:p>
        </w:tc>
        <w:tc>
          <w:tcPr>
            <w:tcW w:w="1277" w:type="dxa"/>
            <w:tcBorders>
              <w:top w:val="single" w:sz="4" w:space="0" w:color="auto"/>
              <w:left w:val="single" w:sz="4" w:space="0" w:color="auto"/>
            </w:tcBorders>
            <w:shd w:val="clear" w:color="auto" w:fill="FFFFFF"/>
            <w:vAlign w:val="bottom"/>
          </w:tcPr>
          <w:p w:rsidR="00BA6524" w:rsidRDefault="00BD4AFA">
            <w:pPr>
              <w:pStyle w:val="Other0"/>
              <w:spacing w:after="0"/>
              <w:ind w:firstLine="480"/>
              <w:jc w:val="both"/>
              <w:rPr>
                <w:sz w:val="18"/>
                <w:szCs w:val="18"/>
              </w:rPr>
            </w:pPr>
            <w:r>
              <w:rPr>
                <w:sz w:val="18"/>
                <w:szCs w:val="18"/>
              </w:rPr>
              <w:t>4,778,973</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ind w:firstLine="340"/>
              <w:rPr>
                <w:sz w:val="18"/>
                <w:szCs w:val="18"/>
              </w:rPr>
            </w:pPr>
            <w:r>
              <w:rPr>
                <w:sz w:val="18"/>
                <w:szCs w:val="18"/>
              </w:rPr>
              <w:t>1,539,000</w:t>
            </w:r>
          </w:p>
        </w:tc>
        <w:tc>
          <w:tcPr>
            <w:tcW w:w="1272" w:type="dxa"/>
            <w:tcBorders>
              <w:top w:val="single" w:sz="4" w:space="0" w:color="auto"/>
              <w:left w:val="single" w:sz="4" w:space="0" w:color="auto"/>
            </w:tcBorders>
            <w:shd w:val="clear" w:color="auto" w:fill="FFFFFF"/>
            <w:vAlign w:val="bottom"/>
          </w:tcPr>
          <w:p w:rsidR="00BA6524" w:rsidRDefault="00BD4AFA">
            <w:pPr>
              <w:pStyle w:val="Other0"/>
              <w:spacing w:after="0"/>
              <w:ind w:firstLine="480"/>
              <w:jc w:val="both"/>
              <w:rPr>
                <w:sz w:val="18"/>
                <w:szCs w:val="18"/>
              </w:rPr>
            </w:pPr>
            <w:r>
              <w:rPr>
                <w:sz w:val="18"/>
                <w:szCs w:val="18"/>
              </w:rPr>
              <w:t>6,317,973</w:t>
            </w:r>
          </w:p>
        </w:tc>
        <w:tc>
          <w:tcPr>
            <w:tcW w:w="192" w:type="dxa"/>
            <w:vMerge/>
            <w:tcBorders>
              <w:left w:val="single" w:sz="4" w:space="0" w:color="auto"/>
            </w:tcBorders>
            <w:shd w:val="clear" w:color="auto" w:fill="FFFFFF"/>
          </w:tcPr>
          <w:p w:rsidR="00BA6524" w:rsidRDefault="00BA6524"/>
        </w:tc>
        <w:tc>
          <w:tcPr>
            <w:tcW w:w="1104"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707,138</w:t>
            </w: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ind w:firstLine="460"/>
              <w:jc w:val="both"/>
              <w:rPr>
                <w:sz w:val="18"/>
                <w:szCs w:val="18"/>
              </w:rPr>
            </w:pPr>
            <w:r>
              <w:rPr>
                <w:sz w:val="18"/>
                <w:szCs w:val="18"/>
              </w:rPr>
              <w:t>707,138</w:t>
            </w:r>
          </w:p>
        </w:tc>
        <w:tc>
          <w:tcPr>
            <w:tcW w:w="192" w:type="dxa"/>
            <w:vMerge/>
            <w:tcBorders>
              <w:left w:val="single" w:sz="4" w:space="0" w:color="auto"/>
            </w:tcBorders>
            <w:shd w:val="clear" w:color="auto" w:fill="FFFFFF"/>
          </w:tcPr>
          <w:p w:rsidR="00BA6524" w:rsidRDefault="00BA6524"/>
        </w:tc>
        <w:tc>
          <w:tcPr>
            <w:tcW w:w="1099" w:type="dxa"/>
            <w:tcBorders>
              <w:top w:val="single" w:sz="4" w:space="0" w:color="auto"/>
              <w:left w:val="single" w:sz="4" w:space="0" w:color="auto"/>
            </w:tcBorders>
            <w:shd w:val="clear" w:color="auto" w:fill="FFFFFF"/>
            <w:vAlign w:val="bottom"/>
          </w:tcPr>
          <w:p w:rsidR="00BA6524" w:rsidRDefault="00BD4AFA">
            <w:pPr>
              <w:pStyle w:val="Other0"/>
              <w:spacing w:after="0"/>
              <w:ind w:firstLine="300"/>
              <w:jc w:val="both"/>
              <w:rPr>
                <w:sz w:val="18"/>
                <w:szCs w:val="18"/>
              </w:rPr>
            </w:pPr>
            <w:r>
              <w:rPr>
                <w:sz w:val="18"/>
                <w:szCs w:val="18"/>
              </w:rPr>
              <w:t>4,778,973</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ind w:firstLine="340"/>
              <w:rPr>
                <w:sz w:val="18"/>
                <w:szCs w:val="18"/>
              </w:rPr>
            </w:pPr>
            <w:r>
              <w:rPr>
                <w:sz w:val="18"/>
                <w:szCs w:val="18"/>
              </w:rPr>
              <w:t>2,246,138</w:t>
            </w:r>
          </w:p>
        </w:tc>
        <w:tc>
          <w:tcPr>
            <w:tcW w:w="1440" w:type="dxa"/>
            <w:tcBorders>
              <w:top w:val="single" w:sz="4" w:space="0" w:color="auto"/>
              <w:left w:val="single" w:sz="4" w:space="0" w:color="auto"/>
              <w:right w:val="single" w:sz="4" w:space="0" w:color="auto"/>
            </w:tcBorders>
            <w:shd w:val="clear" w:color="auto" w:fill="FFFFFF"/>
            <w:vAlign w:val="bottom"/>
          </w:tcPr>
          <w:p w:rsidR="00BA6524" w:rsidRDefault="00BD4AFA">
            <w:pPr>
              <w:pStyle w:val="Other0"/>
              <w:spacing w:after="0"/>
              <w:ind w:firstLine="620"/>
              <w:jc w:val="both"/>
              <w:rPr>
                <w:sz w:val="18"/>
                <w:szCs w:val="18"/>
              </w:rPr>
            </w:pPr>
            <w:r>
              <w:rPr>
                <w:sz w:val="18"/>
                <w:szCs w:val="18"/>
              </w:rPr>
              <w:t>7,025,111</w:t>
            </w:r>
          </w:p>
        </w:tc>
      </w:tr>
      <w:tr w:rsidR="00BA6524">
        <w:tblPrEx>
          <w:tblCellMar>
            <w:top w:w="0" w:type="dxa"/>
            <w:bottom w:w="0" w:type="dxa"/>
          </w:tblCellMar>
        </w:tblPrEx>
        <w:trPr>
          <w:trHeight w:hRule="exact" w:val="374"/>
          <w:jc w:val="center"/>
        </w:trPr>
        <w:tc>
          <w:tcPr>
            <w:tcW w:w="1862" w:type="dxa"/>
            <w:tcBorders>
              <w:top w:val="single" w:sz="4" w:space="0" w:color="auto"/>
              <w:left w:val="single" w:sz="4" w:space="0" w:color="auto"/>
            </w:tcBorders>
            <w:shd w:val="clear" w:color="auto" w:fill="FFFFFF"/>
            <w:vAlign w:val="bottom"/>
          </w:tcPr>
          <w:p w:rsidR="00BA6524" w:rsidRDefault="00BD4AFA">
            <w:pPr>
              <w:pStyle w:val="Other0"/>
              <w:spacing w:after="0"/>
              <w:rPr>
                <w:sz w:val="18"/>
                <w:szCs w:val="18"/>
              </w:rPr>
            </w:pPr>
            <w:r>
              <w:rPr>
                <w:sz w:val="18"/>
                <w:szCs w:val="18"/>
              </w:rPr>
              <w:t>ECOSOCC</w:t>
            </w:r>
          </w:p>
        </w:tc>
        <w:tc>
          <w:tcPr>
            <w:tcW w:w="1277" w:type="dxa"/>
            <w:tcBorders>
              <w:top w:val="single" w:sz="4" w:space="0" w:color="auto"/>
              <w:left w:val="single" w:sz="4" w:space="0" w:color="auto"/>
            </w:tcBorders>
            <w:shd w:val="clear" w:color="auto" w:fill="FFFFFF"/>
            <w:vAlign w:val="bottom"/>
          </w:tcPr>
          <w:p w:rsidR="00BA6524" w:rsidRDefault="00BD4AFA">
            <w:pPr>
              <w:pStyle w:val="Other0"/>
              <w:spacing w:after="0"/>
              <w:ind w:firstLine="480"/>
              <w:jc w:val="both"/>
              <w:rPr>
                <w:sz w:val="18"/>
                <w:szCs w:val="18"/>
              </w:rPr>
            </w:pPr>
            <w:r>
              <w:rPr>
                <w:sz w:val="18"/>
                <w:szCs w:val="18"/>
              </w:rPr>
              <w:t>2,246,004</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ind w:firstLine="340"/>
              <w:rPr>
                <w:sz w:val="18"/>
                <w:szCs w:val="18"/>
              </w:rPr>
            </w:pPr>
            <w:r>
              <w:rPr>
                <w:sz w:val="18"/>
                <w:szCs w:val="18"/>
              </w:rPr>
              <w:t>1,771,000</w:t>
            </w:r>
          </w:p>
        </w:tc>
        <w:tc>
          <w:tcPr>
            <w:tcW w:w="1272" w:type="dxa"/>
            <w:tcBorders>
              <w:top w:val="single" w:sz="4" w:space="0" w:color="auto"/>
              <w:left w:val="single" w:sz="4" w:space="0" w:color="auto"/>
            </w:tcBorders>
            <w:shd w:val="clear" w:color="auto" w:fill="FFFFFF"/>
            <w:vAlign w:val="bottom"/>
          </w:tcPr>
          <w:p w:rsidR="00BA6524" w:rsidRDefault="00BD4AFA">
            <w:pPr>
              <w:pStyle w:val="Other0"/>
              <w:spacing w:after="0"/>
              <w:ind w:firstLine="480"/>
              <w:jc w:val="both"/>
              <w:rPr>
                <w:sz w:val="18"/>
                <w:szCs w:val="18"/>
              </w:rPr>
            </w:pPr>
            <w:r>
              <w:rPr>
                <w:sz w:val="18"/>
                <w:szCs w:val="18"/>
              </w:rPr>
              <w:t>4,017,004</w:t>
            </w:r>
          </w:p>
        </w:tc>
        <w:tc>
          <w:tcPr>
            <w:tcW w:w="192" w:type="dxa"/>
            <w:vMerge/>
            <w:tcBorders>
              <w:left w:val="single" w:sz="4" w:space="0" w:color="auto"/>
            </w:tcBorders>
            <w:shd w:val="clear" w:color="auto" w:fill="FFFFFF"/>
          </w:tcPr>
          <w:p w:rsidR="00BA6524" w:rsidRDefault="00BA6524"/>
        </w:tc>
        <w:tc>
          <w:tcPr>
            <w:tcW w:w="1104"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w:t>
            </w: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w:t>
            </w:r>
          </w:p>
        </w:tc>
        <w:tc>
          <w:tcPr>
            <w:tcW w:w="192" w:type="dxa"/>
            <w:vMerge/>
            <w:tcBorders>
              <w:left w:val="single" w:sz="4" w:space="0" w:color="auto"/>
            </w:tcBorders>
            <w:shd w:val="clear" w:color="auto" w:fill="FFFFFF"/>
          </w:tcPr>
          <w:p w:rsidR="00BA6524" w:rsidRDefault="00BA6524"/>
        </w:tc>
        <w:tc>
          <w:tcPr>
            <w:tcW w:w="1099" w:type="dxa"/>
            <w:tcBorders>
              <w:top w:val="single" w:sz="4" w:space="0" w:color="auto"/>
              <w:left w:val="single" w:sz="4" w:space="0" w:color="auto"/>
            </w:tcBorders>
            <w:shd w:val="clear" w:color="auto" w:fill="FFFFFF"/>
            <w:vAlign w:val="bottom"/>
          </w:tcPr>
          <w:p w:rsidR="00BA6524" w:rsidRDefault="00BD4AFA">
            <w:pPr>
              <w:pStyle w:val="Other0"/>
              <w:spacing w:after="0"/>
              <w:ind w:firstLine="300"/>
              <w:jc w:val="both"/>
              <w:rPr>
                <w:sz w:val="18"/>
                <w:szCs w:val="18"/>
              </w:rPr>
            </w:pPr>
            <w:r>
              <w:rPr>
                <w:sz w:val="18"/>
                <w:szCs w:val="18"/>
              </w:rPr>
              <w:t>2,246,004</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ind w:firstLine="340"/>
              <w:rPr>
                <w:sz w:val="18"/>
                <w:szCs w:val="18"/>
              </w:rPr>
            </w:pPr>
            <w:r>
              <w:rPr>
                <w:sz w:val="18"/>
                <w:szCs w:val="18"/>
              </w:rPr>
              <w:t>1,771,000</w:t>
            </w:r>
          </w:p>
        </w:tc>
        <w:tc>
          <w:tcPr>
            <w:tcW w:w="1440" w:type="dxa"/>
            <w:tcBorders>
              <w:top w:val="single" w:sz="4" w:space="0" w:color="auto"/>
              <w:left w:val="single" w:sz="4" w:space="0" w:color="auto"/>
              <w:right w:val="single" w:sz="4" w:space="0" w:color="auto"/>
            </w:tcBorders>
            <w:shd w:val="clear" w:color="auto" w:fill="FFFFFF"/>
            <w:vAlign w:val="bottom"/>
          </w:tcPr>
          <w:p w:rsidR="00BA6524" w:rsidRDefault="00BD4AFA">
            <w:pPr>
              <w:pStyle w:val="Other0"/>
              <w:spacing w:after="0"/>
              <w:ind w:firstLine="620"/>
              <w:jc w:val="both"/>
              <w:rPr>
                <w:sz w:val="18"/>
                <w:szCs w:val="18"/>
              </w:rPr>
            </w:pPr>
            <w:r>
              <w:rPr>
                <w:sz w:val="18"/>
                <w:szCs w:val="18"/>
              </w:rPr>
              <w:t>4,017,004</w:t>
            </w:r>
          </w:p>
        </w:tc>
      </w:tr>
      <w:tr w:rsidR="00BA6524">
        <w:tblPrEx>
          <w:tblCellMar>
            <w:top w:w="0" w:type="dxa"/>
            <w:bottom w:w="0" w:type="dxa"/>
          </w:tblCellMar>
        </w:tblPrEx>
        <w:trPr>
          <w:trHeight w:hRule="exact" w:val="379"/>
          <w:jc w:val="center"/>
        </w:trPr>
        <w:tc>
          <w:tcPr>
            <w:tcW w:w="1862" w:type="dxa"/>
            <w:tcBorders>
              <w:top w:val="single" w:sz="4" w:space="0" w:color="auto"/>
              <w:left w:val="single" w:sz="4" w:space="0" w:color="auto"/>
            </w:tcBorders>
            <w:shd w:val="clear" w:color="auto" w:fill="FFFFFF"/>
            <w:vAlign w:val="bottom"/>
          </w:tcPr>
          <w:p w:rsidR="00BA6524" w:rsidRDefault="00BD4AFA">
            <w:pPr>
              <w:pStyle w:val="Other0"/>
              <w:spacing w:after="0"/>
              <w:rPr>
                <w:sz w:val="18"/>
                <w:szCs w:val="18"/>
              </w:rPr>
            </w:pPr>
            <w:r>
              <w:rPr>
                <w:sz w:val="18"/>
                <w:szCs w:val="18"/>
              </w:rPr>
              <w:t>NEPAD</w:t>
            </w:r>
          </w:p>
        </w:tc>
        <w:tc>
          <w:tcPr>
            <w:tcW w:w="1277" w:type="dxa"/>
            <w:tcBorders>
              <w:top w:val="single" w:sz="4" w:space="0" w:color="auto"/>
              <w:left w:val="single" w:sz="4" w:space="0" w:color="auto"/>
            </w:tcBorders>
            <w:shd w:val="clear" w:color="auto" w:fill="FFFFFF"/>
            <w:vAlign w:val="bottom"/>
          </w:tcPr>
          <w:p w:rsidR="00BA6524" w:rsidRDefault="00BD4AFA">
            <w:pPr>
              <w:pStyle w:val="Other0"/>
              <w:spacing w:after="0"/>
              <w:ind w:firstLine="400"/>
              <w:rPr>
                <w:sz w:val="18"/>
                <w:szCs w:val="18"/>
              </w:rPr>
            </w:pPr>
            <w:r>
              <w:rPr>
                <w:sz w:val="18"/>
                <w:szCs w:val="18"/>
              </w:rPr>
              <w:t>10,633,354</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ind w:firstLine="240"/>
              <w:rPr>
                <w:sz w:val="18"/>
                <w:szCs w:val="18"/>
              </w:rPr>
            </w:pPr>
            <w:r>
              <w:rPr>
                <w:sz w:val="18"/>
                <w:szCs w:val="18"/>
              </w:rPr>
              <w:t>17,590,000</w:t>
            </w:r>
          </w:p>
        </w:tc>
        <w:tc>
          <w:tcPr>
            <w:tcW w:w="1272" w:type="dxa"/>
            <w:tcBorders>
              <w:top w:val="single" w:sz="4" w:space="0" w:color="auto"/>
              <w:left w:val="single" w:sz="4" w:space="0" w:color="auto"/>
            </w:tcBorders>
            <w:shd w:val="clear" w:color="auto" w:fill="FFFFFF"/>
            <w:vAlign w:val="bottom"/>
          </w:tcPr>
          <w:p w:rsidR="00BA6524" w:rsidRDefault="00BD4AFA">
            <w:pPr>
              <w:pStyle w:val="Other0"/>
              <w:spacing w:after="0"/>
              <w:ind w:firstLine="380"/>
              <w:jc w:val="both"/>
              <w:rPr>
                <w:sz w:val="18"/>
                <w:szCs w:val="18"/>
              </w:rPr>
            </w:pPr>
            <w:r>
              <w:rPr>
                <w:sz w:val="18"/>
                <w:szCs w:val="18"/>
              </w:rPr>
              <w:t>28,223,354</w:t>
            </w:r>
          </w:p>
        </w:tc>
        <w:tc>
          <w:tcPr>
            <w:tcW w:w="192" w:type="dxa"/>
            <w:vMerge/>
            <w:tcBorders>
              <w:left w:val="single" w:sz="4" w:space="0" w:color="auto"/>
            </w:tcBorders>
            <w:shd w:val="clear" w:color="auto" w:fill="FFFFFF"/>
          </w:tcPr>
          <w:p w:rsidR="00BA6524" w:rsidRDefault="00BA6524"/>
        </w:tc>
        <w:tc>
          <w:tcPr>
            <w:tcW w:w="1104"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7,310,000</w:t>
            </w: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ind w:firstLine="340"/>
              <w:jc w:val="both"/>
              <w:rPr>
                <w:sz w:val="18"/>
                <w:szCs w:val="18"/>
              </w:rPr>
            </w:pPr>
            <w:r>
              <w:rPr>
                <w:sz w:val="18"/>
                <w:szCs w:val="18"/>
              </w:rPr>
              <w:t>7,310,000</w:t>
            </w:r>
          </w:p>
        </w:tc>
        <w:tc>
          <w:tcPr>
            <w:tcW w:w="192" w:type="dxa"/>
            <w:vMerge/>
            <w:tcBorders>
              <w:left w:val="single" w:sz="4" w:space="0" w:color="auto"/>
            </w:tcBorders>
            <w:shd w:val="clear" w:color="auto" w:fill="FFFFFF"/>
          </w:tcPr>
          <w:p w:rsidR="00BA6524" w:rsidRDefault="00BA6524"/>
        </w:tc>
        <w:tc>
          <w:tcPr>
            <w:tcW w:w="1099"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10,633,354</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24,900,000</w:t>
            </w:r>
          </w:p>
        </w:tc>
        <w:tc>
          <w:tcPr>
            <w:tcW w:w="1440" w:type="dxa"/>
            <w:tcBorders>
              <w:top w:val="single" w:sz="4" w:space="0" w:color="auto"/>
              <w:left w:val="single" w:sz="4" w:space="0" w:color="auto"/>
              <w:righ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35,533,354</w:t>
            </w:r>
          </w:p>
        </w:tc>
      </w:tr>
      <w:tr w:rsidR="00BA6524">
        <w:tblPrEx>
          <w:tblCellMar>
            <w:top w:w="0" w:type="dxa"/>
            <w:bottom w:w="0" w:type="dxa"/>
          </w:tblCellMar>
        </w:tblPrEx>
        <w:trPr>
          <w:trHeight w:hRule="exact" w:val="374"/>
          <w:jc w:val="center"/>
        </w:trPr>
        <w:tc>
          <w:tcPr>
            <w:tcW w:w="1862" w:type="dxa"/>
            <w:tcBorders>
              <w:top w:val="single" w:sz="4" w:space="0" w:color="auto"/>
              <w:left w:val="single" w:sz="4" w:space="0" w:color="auto"/>
            </w:tcBorders>
            <w:shd w:val="clear" w:color="auto" w:fill="FFFFFF"/>
            <w:vAlign w:val="bottom"/>
          </w:tcPr>
          <w:p w:rsidR="00BA6524" w:rsidRDefault="00BD4AFA">
            <w:pPr>
              <w:pStyle w:val="Other0"/>
              <w:spacing w:after="0"/>
              <w:rPr>
                <w:sz w:val="18"/>
                <w:szCs w:val="18"/>
              </w:rPr>
            </w:pPr>
            <w:r>
              <w:rPr>
                <w:sz w:val="18"/>
                <w:szCs w:val="18"/>
              </w:rPr>
              <w:t>AUCIL</w:t>
            </w:r>
          </w:p>
        </w:tc>
        <w:tc>
          <w:tcPr>
            <w:tcW w:w="1277" w:type="dxa"/>
            <w:tcBorders>
              <w:top w:val="single" w:sz="4" w:space="0" w:color="auto"/>
              <w:left w:val="single" w:sz="4" w:space="0" w:color="auto"/>
            </w:tcBorders>
            <w:shd w:val="clear" w:color="auto" w:fill="FFFFFF"/>
            <w:vAlign w:val="bottom"/>
          </w:tcPr>
          <w:p w:rsidR="00BA6524" w:rsidRDefault="00BD4AFA">
            <w:pPr>
              <w:pStyle w:val="Other0"/>
              <w:spacing w:after="0"/>
              <w:ind w:firstLine="620"/>
              <w:jc w:val="both"/>
              <w:rPr>
                <w:sz w:val="18"/>
                <w:szCs w:val="18"/>
              </w:rPr>
            </w:pPr>
            <w:r>
              <w:rPr>
                <w:sz w:val="18"/>
                <w:szCs w:val="18"/>
              </w:rPr>
              <w:t>465,149</w:t>
            </w:r>
          </w:p>
        </w:tc>
        <w:tc>
          <w:tcPr>
            <w:tcW w:w="1138" w:type="dxa"/>
            <w:tcBorders>
              <w:top w:val="single" w:sz="4" w:space="0" w:color="auto"/>
              <w:left w:val="single" w:sz="4" w:space="0" w:color="auto"/>
            </w:tcBorders>
            <w:shd w:val="clear" w:color="auto" w:fill="FFFFFF"/>
          </w:tcPr>
          <w:p w:rsidR="00BA6524" w:rsidRDefault="00BA6524">
            <w:pPr>
              <w:rPr>
                <w:sz w:val="10"/>
                <w:szCs w:val="10"/>
              </w:rPr>
            </w:pPr>
          </w:p>
        </w:tc>
        <w:tc>
          <w:tcPr>
            <w:tcW w:w="1272" w:type="dxa"/>
            <w:tcBorders>
              <w:top w:val="single" w:sz="4" w:space="0" w:color="auto"/>
              <w:left w:val="single" w:sz="4" w:space="0" w:color="auto"/>
            </w:tcBorders>
            <w:shd w:val="clear" w:color="auto" w:fill="FFFFFF"/>
            <w:vAlign w:val="bottom"/>
          </w:tcPr>
          <w:p w:rsidR="00BA6524" w:rsidRDefault="00BD4AFA">
            <w:pPr>
              <w:pStyle w:val="Other0"/>
              <w:spacing w:after="0"/>
              <w:ind w:firstLine="600"/>
              <w:jc w:val="both"/>
              <w:rPr>
                <w:sz w:val="18"/>
                <w:szCs w:val="18"/>
              </w:rPr>
            </w:pPr>
            <w:r>
              <w:rPr>
                <w:sz w:val="18"/>
                <w:szCs w:val="18"/>
              </w:rPr>
              <w:t>465,149</w:t>
            </w:r>
          </w:p>
        </w:tc>
        <w:tc>
          <w:tcPr>
            <w:tcW w:w="192" w:type="dxa"/>
            <w:vMerge/>
            <w:tcBorders>
              <w:left w:val="single" w:sz="4" w:space="0" w:color="auto"/>
            </w:tcBorders>
            <w:shd w:val="clear" w:color="auto" w:fill="FFFFFF"/>
          </w:tcPr>
          <w:p w:rsidR="00BA6524" w:rsidRDefault="00BA6524"/>
        </w:tc>
        <w:tc>
          <w:tcPr>
            <w:tcW w:w="1104"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341,731</w:t>
            </w: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ind w:firstLine="460"/>
              <w:jc w:val="both"/>
              <w:rPr>
                <w:sz w:val="18"/>
                <w:szCs w:val="18"/>
              </w:rPr>
            </w:pPr>
            <w:r>
              <w:rPr>
                <w:sz w:val="18"/>
                <w:szCs w:val="18"/>
              </w:rPr>
              <w:t>341,731</w:t>
            </w:r>
          </w:p>
        </w:tc>
        <w:tc>
          <w:tcPr>
            <w:tcW w:w="192" w:type="dxa"/>
            <w:vMerge/>
            <w:tcBorders>
              <w:left w:val="single" w:sz="4" w:space="0" w:color="auto"/>
            </w:tcBorders>
            <w:shd w:val="clear" w:color="auto" w:fill="FFFFFF"/>
          </w:tcPr>
          <w:p w:rsidR="00BA6524" w:rsidRDefault="00BA6524"/>
        </w:tc>
        <w:tc>
          <w:tcPr>
            <w:tcW w:w="1099" w:type="dxa"/>
            <w:tcBorders>
              <w:top w:val="single" w:sz="4" w:space="0" w:color="auto"/>
              <w:left w:val="single" w:sz="4" w:space="0" w:color="auto"/>
            </w:tcBorders>
            <w:shd w:val="clear" w:color="auto" w:fill="FFFFFF"/>
            <w:vAlign w:val="bottom"/>
          </w:tcPr>
          <w:p w:rsidR="00BA6524" w:rsidRDefault="00BD4AFA">
            <w:pPr>
              <w:pStyle w:val="Other0"/>
              <w:spacing w:after="0"/>
              <w:ind w:firstLine="440"/>
              <w:rPr>
                <w:sz w:val="18"/>
                <w:szCs w:val="18"/>
              </w:rPr>
            </w:pPr>
            <w:r>
              <w:rPr>
                <w:sz w:val="18"/>
                <w:szCs w:val="18"/>
              </w:rPr>
              <w:t>465,149</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341,731</w:t>
            </w:r>
          </w:p>
        </w:tc>
        <w:tc>
          <w:tcPr>
            <w:tcW w:w="1440" w:type="dxa"/>
            <w:tcBorders>
              <w:top w:val="single" w:sz="4" w:space="0" w:color="auto"/>
              <w:left w:val="single" w:sz="4" w:space="0" w:color="auto"/>
              <w:righ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806,880</w:t>
            </w:r>
          </w:p>
        </w:tc>
      </w:tr>
      <w:tr w:rsidR="00BA6524">
        <w:tblPrEx>
          <w:tblCellMar>
            <w:top w:w="0" w:type="dxa"/>
            <w:bottom w:w="0" w:type="dxa"/>
          </w:tblCellMar>
        </w:tblPrEx>
        <w:trPr>
          <w:trHeight w:hRule="exact" w:val="374"/>
          <w:jc w:val="center"/>
        </w:trPr>
        <w:tc>
          <w:tcPr>
            <w:tcW w:w="1862" w:type="dxa"/>
            <w:tcBorders>
              <w:top w:val="single" w:sz="4" w:space="0" w:color="auto"/>
              <w:left w:val="single" w:sz="4" w:space="0" w:color="auto"/>
            </w:tcBorders>
            <w:shd w:val="clear" w:color="auto" w:fill="FFFFFF"/>
            <w:vAlign w:val="bottom"/>
          </w:tcPr>
          <w:p w:rsidR="00BA6524" w:rsidRDefault="00BD4AFA">
            <w:pPr>
              <w:pStyle w:val="Other0"/>
              <w:spacing w:after="0" w:line="211" w:lineRule="auto"/>
              <w:rPr>
                <w:sz w:val="18"/>
                <w:szCs w:val="18"/>
              </w:rPr>
            </w:pPr>
            <w:r>
              <w:rPr>
                <w:sz w:val="18"/>
                <w:szCs w:val="18"/>
              </w:rPr>
              <w:t>Advisory Board on Corruption</w:t>
            </w:r>
          </w:p>
        </w:tc>
        <w:tc>
          <w:tcPr>
            <w:tcW w:w="1277" w:type="dxa"/>
            <w:tcBorders>
              <w:top w:val="single" w:sz="4" w:space="0" w:color="auto"/>
              <w:left w:val="single" w:sz="4" w:space="0" w:color="auto"/>
            </w:tcBorders>
            <w:shd w:val="clear" w:color="auto" w:fill="FFFFFF"/>
            <w:vAlign w:val="bottom"/>
          </w:tcPr>
          <w:p w:rsidR="00BA6524" w:rsidRDefault="00BD4AFA">
            <w:pPr>
              <w:pStyle w:val="Other0"/>
              <w:spacing w:after="0"/>
              <w:ind w:firstLine="480"/>
              <w:jc w:val="both"/>
              <w:rPr>
                <w:sz w:val="18"/>
                <w:szCs w:val="18"/>
              </w:rPr>
            </w:pPr>
            <w:r>
              <w:rPr>
                <w:sz w:val="18"/>
                <w:szCs w:val="18"/>
              </w:rPr>
              <w:t>1,627,858</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ind w:firstLine="340"/>
              <w:rPr>
                <w:sz w:val="18"/>
                <w:szCs w:val="18"/>
              </w:rPr>
            </w:pPr>
            <w:r>
              <w:rPr>
                <w:sz w:val="18"/>
                <w:szCs w:val="18"/>
              </w:rPr>
              <w:t>1,433,797</w:t>
            </w:r>
          </w:p>
        </w:tc>
        <w:tc>
          <w:tcPr>
            <w:tcW w:w="1272" w:type="dxa"/>
            <w:tcBorders>
              <w:top w:val="single" w:sz="4" w:space="0" w:color="auto"/>
              <w:left w:val="single" w:sz="4" w:space="0" w:color="auto"/>
            </w:tcBorders>
            <w:shd w:val="clear" w:color="auto" w:fill="FFFFFF"/>
            <w:vAlign w:val="bottom"/>
          </w:tcPr>
          <w:p w:rsidR="00BA6524" w:rsidRDefault="00BD4AFA">
            <w:pPr>
              <w:pStyle w:val="Other0"/>
              <w:spacing w:after="0"/>
              <w:ind w:firstLine="480"/>
              <w:jc w:val="both"/>
              <w:rPr>
                <w:sz w:val="18"/>
                <w:szCs w:val="18"/>
              </w:rPr>
            </w:pPr>
            <w:r>
              <w:rPr>
                <w:sz w:val="18"/>
                <w:szCs w:val="18"/>
              </w:rPr>
              <w:t>3,061,655</w:t>
            </w:r>
          </w:p>
        </w:tc>
        <w:tc>
          <w:tcPr>
            <w:tcW w:w="192" w:type="dxa"/>
            <w:vMerge/>
            <w:tcBorders>
              <w:left w:val="single" w:sz="4" w:space="0" w:color="auto"/>
            </w:tcBorders>
            <w:shd w:val="clear" w:color="auto" w:fill="FFFFFF"/>
          </w:tcPr>
          <w:p w:rsidR="00BA6524" w:rsidRDefault="00BA6524"/>
        </w:tc>
        <w:tc>
          <w:tcPr>
            <w:tcW w:w="1104"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w:t>
            </w: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w:t>
            </w:r>
          </w:p>
        </w:tc>
        <w:tc>
          <w:tcPr>
            <w:tcW w:w="192" w:type="dxa"/>
            <w:vMerge/>
            <w:tcBorders>
              <w:left w:val="single" w:sz="4" w:space="0" w:color="auto"/>
            </w:tcBorders>
            <w:shd w:val="clear" w:color="auto" w:fill="FFFFFF"/>
          </w:tcPr>
          <w:p w:rsidR="00BA6524" w:rsidRDefault="00BA6524"/>
        </w:tc>
        <w:tc>
          <w:tcPr>
            <w:tcW w:w="1099" w:type="dxa"/>
            <w:tcBorders>
              <w:top w:val="single" w:sz="4" w:space="0" w:color="auto"/>
              <w:left w:val="single" w:sz="4" w:space="0" w:color="auto"/>
            </w:tcBorders>
            <w:shd w:val="clear" w:color="auto" w:fill="FFFFFF"/>
            <w:vAlign w:val="bottom"/>
          </w:tcPr>
          <w:p w:rsidR="00BA6524" w:rsidRDefault="00BD4AFA">
            <w:pPr>
              <w:pStyle w:val="Other0"/>
              <w:spacing w:after="0"/>
              <w:ind w:firstLine="300"/>
              <w:jc w:val="both"/>
              <w:rPr>
                <w:sz w:val="18"/>
                <w:szCs w:val="18"/>
              </w:rPr>
            </w:pPr>
            <w:r>
              <w:rPr>
                <w:sz w:val="18"/>
                <w:szCs w:val="18"/>
              </w:rPr>
              <w:t>1,627,858</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ind w:firstLine="340"/>
              <w:rPr>
                <w:sz w:val="18"/>
                <w:szCs w:val="18"/>
              </w:rPr>
            </w:pPr>
            <w:r>
              <w:rPr>
                <w:sz w:val="18"/>
                <w:szCs w:val="18"/>
              </w:rPr>
              <w:t>1,433,797</w:t>
            </w:r>
          </w:p>
        </w:tc>
        <w:tc>
          <w:tcPr>
            <w:tcW w:w="1440" w:type="dxa"/>
            <w:tcBorders>
              <w:top w:val="single" w:sz="4" w:space="0" w:color="auto"/>
              <w:left w:val="single" w:sz="4" w:space="0" w:color="auto"/>
              <w:right w:val="single" w:sz="4" w:space="0" w:color="auto"/>
            </w:tcBorders>
            <w:shd w:val="clear" w:color="auto" w:fill="FFFFFF"/>
            <w:vAlign w:val="bottom"/>
          </w:tcPr>
          <w:p w:rsidR="00BA6524" w:rsidRDefault="00BD4AFA">
            <w:pPr>
              <w:pStyle w:val="Other0"/>
              <w:spacing w:after="0"/>
              <w:ind w:firstLine="620"/>
              <w:jc w:val="both"/>
              <w:rPr>
                <w:sz w:val="18"/>
                <w:szCs w:val="18"/>
              </w:rPr>
            </w:pPr>
            <w:r>
              <w:rPr>
                <w:sz w:val="18"/>
                <w:szCs w:val="18"/>
              </w:rPr>
              <w:t>3,061,655</w:t>
            </w:r>
          </w:p>
        </w:tc>
      </w:tr>
      <w:tr w:rsidR="00BA6524">
        <w:tblPrEx>
          <w:tblCellMar>
            <w:top w:w="0" w:type="dxa"/>
            <w:bottom w:w="0" w:type="dxa"/>
          </w:tblCellMar>
        </w:tblPrEx>
        <w:trPr>
          <w:trHeight w:hRule="exact" w:val="379"/>
          <w:jc w:val="center"/>
        </w:trPr>
        <w:tc>
          <w:tcPr>
            <w:tcW w:w="1862" w:type="dxa"/>
            <w:tcBorders>
              <w:top w:val="single" w:sz="4" w:space="0" w:color="auto"/>
              <w:left w:val="single" w:sz="4" w:space="0" w:color="auto"/>
            </w:tcBorders>
            <w:shd w:val="clear" w:color="auto" w:fill="FFFFFF"/>
            <w:vAlign w:val="bottom"/>
          </w:tcPr>
          <w:p w:rsidR="00BA6524" w:rsidRDefault="00BD4AFA">
            <w:pPr>
              <w:pStyle w:val="Other0"/>
              <w:spacing w:after="0" w:line="211" w:lineRule="auto"/>
              <w:rPr>
                <w:sz w:val="18"/>
                <w:szCs w:val="18"/>
              </w:rPr>
            </w:pPr>
            <w:r>
              <w:rPr>
                <w:sz w:val="18"/>
                <w:szCs w:val="18"/>
              </w:rPr>
              <w:t xml:space="preserve">Peace &amp; </w:t>
            </w:r>
            <w:r>
              <w:rPr>
                <w:sz w:val="18"/>
                <w:szCs w:val="18"/>
              </w:rPr>
              <w:t>Security Council</w:t>
            </w:r>
          </w:p>
        </w:tc>
        <w:tc>
          <w:tcPr>
            <w:tcW w:w="1277" w:type="dxa"/>
            <w:tcBorders>
              <w:top w:val="single" w:sz="4" w:space="0" w:color="auto"/>
              <w:left w:val="single" w:sz="4" w:space="0" w:color="auto"/>
            </w:tcBorders>
            <w:shd w:val="clear" w:color="auto" w:fill="FFFFFF"/>
          </w:tcPr>
          <w:p w:rsidR="00BA6524" w:rsidRDefault="00BA6524">
            <w:pPr>
              <w:rPr>
                <w:sz w:val="10"/>
                <w:szCs w:val="10"/>
              </w:rPr>
            </w:pP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ind w:firstLine="340"/>
              <w:rPr>
                <w:sz w:val="18"/>
                <w:szCs w:val="18"/>
              </w:rPr>
            </w:pPr>
            <w:r>
              <w:rPr>
                <w:sz w:val="18"/>
                <w:szCs w:val="18"/>
              </w:rPr>
              <w:t>1,421,594</w:t>
            </w:r>
          </w:p>
        </w:tc>
        <w:tc>
          <w:tcPr>
            <w:tcW w:w="1272" w:type="dxa"/>
            <w:tcBorders>
              <w:top w:val="single" w:sz="4" w:space="0" w:color="auto"/>
              <w:left w:val="single" w:sz="4" w:space="0" w:color="auto"/>
            </w:tcBorders>
            <w:shd w:val="clear" w:color="auto" w:fill="FFFFFF"/>
            <w:vAlign w:val="bottom"/>
          </w:tcPr>
          <w:p w:rsidR="00BA6524" w:rsidRDefault="00BD4AFA">
            <w:pPr>
              <w:pStyle w:val="Other0"/>
              <w:spacing w:after="0"/>
              <w:ind w:firstLine="480"/>
              <w:jc w:val="both"/>
              <w:rPr>
                <w:sz w:val="18"/>
                <w:szCs w:val="18"/>
              </w:rPr>
            </w:pPr>
            <w:r>
              <w:rPr>
                <w:sz w:val="18"/>
                <w:szCs w:val="18"/>
              </w:rPr>
              <w:t>1,421,594</w:t>
            </w:r>
          </w:p>
        </w:tc>
        <w:tc>
          <w:tcPr>
            <w:tcW w:w="192" w:type="dxa"/>
            <w:vMerge/>
            <w:tcBorders>
              <w:left w:val="single" w:sz="4" w:space="0" w:color="auto"/>
            </w:tcBorders>
            <w:shd w:val="clear" w:color="auto" w:fill="FFFFFF"/>
          </w:tcPr>
          <w:p w:rsidR="00BA6524" w:rsidRDefault="00BA6524"/>
        </w:tc>
        <w:tc>
          <w:tcPr>
            <w:tcW w:w="1104"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w:t>
            </w: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w:t>
            </w:r>
          </w:p>
        </w:tc>
        <w:tc>
          <w:tcPr>
            <w:tcW w:w="192" w:type="dxa"/>
            <w:vMerge/>
            <w:tcBorders>
              <w:left w:val="single" w:sz="4" w:space="0" w:color="auto"/>
            </w:tcBorders>
            <w:shd w:val="clear" w:color="auto" w:fill="FFFFFF"/>
          </w:tcPr>
          <w:p w:rsidR="00BA6524" w:rsidRDefault="00BA6524"/>
        </w:tc>
        <w:tc>
          <w:tcPr>
            <w:tcW w:w="1099"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ind w:firstLine="340"/>
              <w:rPr>
                <w:sz w:val="18"/>
                <w:szCs w:val="18"/>
              </w:rPr>
            </w:pPr>
            <w:r>
              <w:rPr>
                <w:sz w:val="18"/>
                <w:szCs w:val="18"/>
              </w:rPr>
              <w:t>1,421,594</w:t>
            </w:r>
          </w:p>
        </w:tc>
        <w:tc>
          <w:tcPr>
            <w:tcW w:w="1440" w:type="dxa"/>
            <w:tcBorders>
              <w:top w:val="single" w:sz="4" w:space="0" w:color="auto"/>
              <w:left w:val="single" w:sz="4" w:space="0" w:color="auto"/>
              <w:right w:val="single" w:sz="4" w:space="0" w:color="auto"/>
            </w:tcBorders>
            <w:shd w:val="clear" w:color="auto" w:fill="FFFFFF"/>
            <w:vAlign w:val="bottom"/>
          </w:tcPr>
          <w:p w:rsidR="00BA6524" w:rsidRDefault="00BD4AFA">
            <w:pPr>
              <w:pStyle w:val="Other0"/>
              <w:spacing w:after="0"/>
              <w:ind w:firstLine="620"/>
              <w:jc w:val="both"/>
              <w:rPr>
                <w:sz w:val="18"/>
                <w:szCs w:val="18"/>
              </w:rPr>
            </w:pPr>
            <w:r>
              <w:rPr>
                <w:sz w:val="18"/>
                <w:szCs w:val="18"/>
              </w:rPr>
              <w:t>1,421,594</w:t>
            </w:r>
          </w:p>
        </w:tc>
      </w:tr>
      <w:tr w:rsidR="00BA6524">
        <w:tblPrEx>
          <w:tblCellMar>
            <w:top w:w="0" w:type="dxa"/>
            <w:bottom w:w="0" w:type="dxa"/>
          </w:tblCellMar>
        </w:tblPrEx>
        <w:trPr>
          <w:trHeight w:hRule="exact" w:val="374"/>
          <w:jc w:val="center"/>
        </w:trPr>
        <w:tc>
          <w:tcPr>
            <w:tcW w:w="1862" w:type="dxa"/>
            <w:tcBorders>
              <w:top w:val="single" w:sz="4" w:space="0" w:color="auto"/>
              <w:left w:val="single" w:sz="4" w:space="0" w:color="auto"/>
            </w:tcBorders>
            <w:shd w:val="clear" w:color="auto" w:fill="FFFFFF"/>
            <w:vAlign w:val="bottom"/>
          </w:tcPr>
          <w:p w:rsidR="00BA6524" w:rsidRDefault="00BD4AFA">
            <w:pPr>
              <w:pStyle w:val="Other0"/>
              <w:spacing w:after="0"/>
              <w:rPr>
                <w:sz w:val="18"/>
                <w:szCs w:val="18"/>
              </w:rPr>
            </w:pPr>
            <w:r>
              <w:rPr>
                <w:sz w:val="18"/>
                <w:szCs w:val="18"/>
              </w:rPr>
              <w:t>ACERWC</w:t>
            </w:r>
          </w:p>
        </w:tc>
        <w:tc>
          <w:tcPr>
            <w:tcW w:w="1277" w:type="dxa"/>
            <w:tcBorders>
              <w:top w:val="single" w:sz="4" w:space="0" w:color="auto"/>
              <w:left w:val="single" w:sz="4" w:space="0" w:color="auto"/>
            </w:tcBorders>
            <w:shd w:val="clear" w:color="auto" w:fill="FFFFFF"/>
            <w:vAlign w:val="bottom"/>
          </w:tcPr>
          <w:p w:rsidR="00BA6524" w:rsidRDefault="00BD4AFA">
            <w:pPr>
              <w:pStyle w:val="Other0"/>
              <w:spacing w:after="0"/>
              <w:ind w:firstLine="620"/>
              <w:jc w:val="both"/>
              <w:rPr>
                <w:sz w:val="18"/>
                <w:szCs w:val="18"/>
              </w:rPr>
            </w:pPr>
            <w:r>
              <w:rPr>
                <w:sz w:val="18"/>
                <w:szCs w:val="18"/>
              </w:rPr>
              <w:t>291,821</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ind w:firstLine="560"/>
              <w:rPr>
                <w:sz w:val="18"/>
                <w:szCs w:val="18"/>
              </w:rPr>
            </w:pPr>
            <w:r>
              <w:rPr>
                <w:sz w:val="18"/>
                <w:szCs w:val="18"/>
              </w:rPr>
              <w:t>86,494</w:t>
            </w:r>
          </w:p>
        </w:tc>
        <w:tc>
          <w:tcPr>
            <w:tcW w:w="1272" w:type="dxa"/>
            <w:tcBorders>
              <w:top w:val="single" w:sz="4" w:space="0" w:color="auto"/>
              <w:left w:val="single" w:sz="4" w:space="0" w:color="auto"/>
            </w:tcBorders>
            <w:shd w:val="clear" w:color="auto" w:fill="FFFFFF"/>
            <w:vAlign w:val="bottom"/>
          </w:tcPr>
          <w:p w:rsidR="00BA6524" w:rsidRDefault="00BD4AFA">
            <w:pPr>
              <w:pStyle w:val="Other0"/>
              <w:spacing w:after="0"/>
              <w:ind w:firstLine="600"/>
              <w:jc w:val="both"/>
              <w:rPr>
                <w:sz w:val="18"/>
                <w:szCs w:val="18"/>
              </w:rPr>
            </w:pPr>
            <w:r>
              <w:rPr>
                <w:sz w:val="18"/>
                <w:szCs w:val="18"/>
              </w:rPr>
              <w:t>378,315</w:t>
            </w:r>
          </w:p>
        </w:tc>
        <w:tc>
          <w:tcPr>
            <w:tcW w:w="192" w:type="dxa"/>
            <w:vMerge/>
            <w:tcBorders>
              <w:left w:val="single" w:sz="4" w:space="0" w:color="auto"/>
            </w:tcBorders>
            <w:shd w:val="clear" w:color="auto" w:fill="FFFFFF"/>
          </w:tcPr>
          <w:p w:rsidR="00BA6524" w:rsidRDefault="00BA6524"/>
        </w:tc>
        <w:tc>
          <w:tcPr>
            <w:tcW w:w="1104"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502,787</w:t>
            </w: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ind w:firstLine="460"/>
              <w:jc w:val="both"/>
              <w:rPr>
                <w:sz w:val="18"/>
                <w:szCs w:val="18"/>
              </w:rPr>
            </w:pPr>
            <w:r>
              <w:rPr>
                <w:sz w:val="18"/>
                <w:szCs w:val="18"/>
              </w:rPr>
              <w:t>502,787</w:t>
            </w:r>
          </w:p>
        </w:tc>
        <w:tc>
          <w:tcPr>
            <w:tcW w:w="192" w:type="dxa"/>
            <w:vMerge/>
            <w:tcBorders>
              <w:left w:val="single" w:sz="4" w:space="0" w:color="auto"/>
            </w:tcBorders>
            <w:shd w:val="clear" w:color="auto" w:fill="FFFFFF"/>
          </w:tcPr>
          <w:p w:rsidR="00BA6524" w:rsidRDefault="00BA6524"/>
        </w:tc>
        <w:tc>
          <w:tcPr>
            <w:tcW w:w="1099" w:type="dxa"/>
            <w:tcBorders>
              <w:top w:val="single" w:sz="4" w:space="0" w:color="auto"/>
              <w:left w:val="single" w:sz="4" w:space="0" w:color="auto"/>
            </w:tcBorders>
            <w:shd w:val="clear" w:color="auto" w:fill="FFFFFF"/>
            <w:vAlign w:val="bottom"/>
          </w:tcPr>
          <w:p w:rsidR="00BA6524" w:rsidRDefault="00BD4AFA">
            <w:pPr>
              <w:pStyle w:val="Other0"/>
              <w:spacing w:after="0"/>
              <w:ind w:firstLine="440"/>
              <w:rPr>
                <w:sz w:val="18"/>
                <w:szCs w:val="18"/>
              </w:rPr>
            </w:pPr>
            <w:r>
              <w:rPr>
                <w:sz w:val="18"/>
                <w:szCs w:val="18"/>
              </w:rPr>
              <w:t>291,821</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589,281</w:t>
            </w:r>
          </w:p>
        </w:tc>
        <w:tc>
          <w:tcPr>
            <w:tcW w:w="1440" w:type="dxa"/>
            <w:tcBorders>
              <w:top w:val="single" w:sz="4" w:space="0" w:color="auto"/>
              <w:left w:val="single" w:sz="4" w:space="0" w:color="auto"/>
              <w:righ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881,102</w:t>
            </w:r>
          </w:p>
        </w:tc>
      </w:tr>
      <w:tr w:rsidR="00BA6524">
        <w:tblPrEx>
          <w:tblCellMar>
            <w:top w:w="0" w:type="dxa"/>
            <w:bottom w:w="0" w:type="dxa"/>
          </w:tblCellMar>
        </w:tblPrEx>
        <w:trPr>
          <w:trHeight w:hRule="exact" w:val="374"/>
          <w:jc w:val="center"/>
        </w:trPr>
        <w:tc>
          <w:tcPr>
            <w:tcW w:w="5549" w:type="dxa"/>
            <w:gridSpan w:val="4"/>
            <w:tcBorders>
              <w:top w:val="single" w:sz="4" w:space="0" w:color="auto"/>
              <w:left w:val="single" w:sz="4" w:space="0" w:color="auto"/>
            </w:tcBorders>
            <w:shd w:val="clear" w:color="auto" w:fill="D9D9D9"/>
            <w:vAlign w:val="bottom"/>
          </w:tcPr>
          <w:p w:rsidR="00BA6524" w:rsidRDefault="00BD4AFA">
            <w:pPr>
              <w:pStyle w:val="Other0"/>
              <w:spacing w:after="0"/>
              <w:jc w:val="center"/>
              <w:rPr>
                <w:sz w:val="16"/>
                <w:szCs w:val="16"/>
              </w:rPr>
            </w:pPr>
            <w:r>
              <w:rPr>
                <w:b/>
                <w:bCs/>
                <w:sz w:val="16"/>
                <w:szCs w:val="16"/>
              </w:rPr>
              <w:t>SPECIALIZED OFFICES</w:t>
            </w:r>
          </w:p>
        </w:tc>
        <w:tc>
          <w:tcPr>
            <w:tcW w:w="192" w:type="dxa"/>
            <w:vMerge/>
            <w:tcBorders>
              <w:left w:val="single" w:sz="4" w:space="0" w:color="auto"/>
            </w:tcBorders>
            <w:shd w:val="clear" w:color="auto" w:fill="FFFFFF"/>
          </w:tcPr>
          <w:p w:rsidR="00BA6524" w:rsidRDefault="00BA6524"/>
        </w:tc>
        <w:tc>
          <w:tcPr>
            <w:tcW w:w="1104" w:type="dxa"/>
            <w:tcBorders>
              <w:top w:val="single" w:sz="4" w:space="0" w:color="auto"/>
              <w:left w:val="single" w:sz="4" w:space="0" w:color="auto"/>
            </w:tcBorders>
            <w:shd w:val="clear" w:color="auto" w:fill="D9D9D9"/>
          </w:tcPr>
          <w:p w:rsidR="00BA6524" w:rsidRDefault="00BA6524">
            <w:pPr>
              <w:rPr>
                <w:sz w:val="10"/>
                <w:szCs w:val="10"/>
              </w:rPr>
            </w:pPr>
          </w:p>
        </w:tc>
        <w:tc>
          <w:tcPr>
            <w:tcW w:w="1133" w:type="dxa"/>
            <w:tcBorders>
              <w:top w:val="single" w:sz="4" w:space="0" w:color="auto"/>
              <w:left w:val="single" w:sz="4" w:space="0" w:color="auto"/>
            </w:tcBorders>
            <w:shd w:val="clear" w:color="auto" w:fill="D9D9D9"/>
          </w:tcPr>
          <w:p w:rsidR="00BA6524" w:rsidRDefault="00BA6524">
            <w:pPr>
              <w:rPr>
                <w:sz w:val="10"/>
                <w:szCs w:val="10"/>
              </w:rPr>
            </w:pPr>
          </w:p>
        </w:tc>
        <w:tc>
          <w:tcPr>
            <w:tcW w:w="1133" w:type="dxa"/>
            <w:tcBorders>
              <w:top w:val="single" w:sz="4" w:space="0" w:color="auto"/>
              <w:left w:val="single" w:sz="4" w:space="0" w:color="auto"/>
            </w:tcBorders>
            <w:shd w:val="clear" w:color="auto" w:fill="D9D9D9"/>
            <w:vAlign w:val="bottom"/>
          </w:tcPr>
          <w:p w:rsidR="00BA6524" w:rsidRDefault="00BD4AFA">
            <w:pPr>
              <w:pStyle w:val="Other0"/>
              <w:spacing w:after="0"/>
              <w:rPr>
                <w:sz w:val="18"/>
                <w:szCs w:val="18"/>
              </w:rPr>
            </w:pPr>
            <w:r>
              <w:rPr>
                <w:sz w:val="18"/>
                <w:szCs w:val="18"/>
              </w:rPr>
              <w:t>-</w:t>
            </w:r>
          </w:p>
        </w:tc>
        <w:tc>
          <w:tcPr>
            <w:tcW w:w="192" w:type="dxa"/>
            <w:vMerge/>
            <w:tcBorders>
              <w:left w:val="single" w:sz="4" w:space="0" w:color="auto"/>
            </w:tcBorders>
            <w:shd w:val="clear" w:color="auto" w:fill="FFFFFF"/>
          </w:tcPr>
          <w:p w:rsidR="00BA6524" w:rsidRDefault="00BA6524"/>
        </w:tc>
        <w:tc>
          <w:tcPr>
            <w:tcW w:w="1099" w:type="dxa"/>
            <w:tcBorders>
              <w:top w:val="single" w:sz="4" w:space="0" w:color="auto"/>
              <w:left w:val="single" w:sz="4" w:space="0" w:color="auto"/>
            </w:tcBorders>
            <w:shd w:val="clear" w:color="auto" w:fill="D9D9D9"/>
          </w:tcPr>
          <w:p w:rsidR="00BA6524" w:rsidRDefault="00BA6524">
            <w:pPr>
              <w:rPr>
                <w:sz w:val="10"/>
                <w:szCs w:val="10"/>
              </w:rPr>
            </w:pPr>
          </w:p>
        </w:tc>
        <w:tc>
          <w:tcPr>
            <w:tcW w:w="1138" w:type="dxa"/>
            <w:tcBorders>
              <w:top w:val="single" w:sz="4" w:space="0" w:color="auto"/>
              <w:left w:val="single" w:sz="4" w:space="0" w:color="auto"/>
            </w:tcBorders>
            <w:shd w:val="clear" w:color="auto" w:fill="D9D9D9"/>
            <w:vAlign w:val="bottom"/>
          </w:tcPr>
          <w:p w:rsidR="00BA6524" w:rsidRDefault="00BD4AFA">
            <w:pPr>
              <w:pStyle w:val="Other0"/>
              <w:spacing w:after="0"/>
              <w:rPr>
                <w:sz w:val="18"/>
                <w:szCs w:val="18"/>
              </w:rPr>
            </w:pPr>
            <w:r>
              <w:rPr>
                <w:sz w:val="18"/>
                <w:szCs w:val="18"/>
              </w:rPr>
              <w:t>-</w:t>
            </w:r>
          </w:p>
        </w:tc>
        <w:tc>
          <w:tcPr>
            <w:tcW w:w="1440" w:type="dxa"/>
            <w:tcBorders>
              <w:top w:val="single" w:sz="4" w:space="0" w:color="auto"/>
              <w:left w:val="single" w:sz="4" w:space="0" w:color="auto"/>
              <w:right w:val="single" w:sz="4" w:space="0" w:color="auto"/>
            </w:tcBorders>
            <w:shd w:val="clear" w:color="auto" w:fill="D9D9D9"/>
            <w:vAlign w:val="bottom"/>
          </w:tcPr>
          <w:p w:rsidR="00BA6524" w:rsidRDefault="00BD4AFA">
            <w:pPr>
              <w:pStyle w:val="Other0"/>
              <w:spacing w:after="0"/>
              <w:ind w:right="320"/>
              <w:jc w:val="right"/>
              <w:rPr>
                <w:sz w:val="18"/>
                <w:szCs w:val="18"/>
              </w:rPr>
            </w:pPr>
            <w:r>
              <w:rPr>
                <w:sz w:val="18"/>
                <w:szCs w:val="18"/>
              </w:rPr>
              <w:t>-</w:t>
            </w:r>
          </w:p>
        </w:tc>
      </w:tr>
      <w:tr w:rsidR="00BA6524">
        <w:tblPrEx>
          <w:tblCellMar>
            <w:top w:w="0" w:type="dxa"/>
            <w:bottom w:w="0" w:type="dxa"/>
          </w:tblCellMar>
        </w:tblPrEx>
        <w:trPr>
          <w:trHeight w:hRule="exact" w:val="374"/>
          <w:jc w:val="center"/>
        </w:trPr>
        <w:tc>
          <w:tcPr>
            <w:tcW w:w="1862" w:type="dxa"/>
            <w:tcBorders>
              <w:top w:val="single" w:sz="4" w:space="0" w:color="auto"/>
              <w:left w:val="single" w:sz="4" w:space="0" w:color="auto"/>
            </w:tcBorders>
            <w:shd w:val="clear" w:color="auto" w:fill="FFFFFF"/>
            <w:vAlign w:val="bottom"/>
          </w:tcPr>
          <w:p w:rsidR="00BA6524" w:rsidRDefault="00BD4AFA">
            <w:pPr>
              <w:pStyle w:val="Other0"/>
              <w:spacing w:after="0"/>
              <w:rPr>
                <w:sz w:val="18"/>
                <w:szCs w:val="18"/>
              </w:rPr>
            </w:pPr>
            <w:r>
              <w:rPr>
                <w:sz w:val="18"/>
                <w:szCs w:val="18"/>
              </w:rPr>
              <w:t>AFREC</w:t>
            </w:r>
          </w:p>
        </w:tc>
        <w:tc>
          <w:tcPr>
            <w:tcW w:w="1277" w:type="dxa"/>
            <w:tcBorders>
              <w:top w:val="single" w:sz="4" w:space="0" w:color="auto"/>
              <w:left w:val="single" w:sz="4" w:space="0" w:color="auto"/>
            </w:tcBorders>
            <w:shd w:val="clear" w:color="auto" w:fill="FFFFFF"/>
            <w:vAlign w:val="bottom"/>
          </w:tcPr>
          <w:p w:rsidR="00BA6524" w:rsidRDefault="00BD4AFA">
            <w:pPr>
              <w:pStyle w:val="Other0"/>
              <w:spacing w:after="0"/>
              <w:ind w:firstLine="480"/>
              <w:jc w:val="both"/>
              <w:rPr>
                <w:sz w:val="18"/>
                <w:szCs w:val="18"/>
              </w:rPr>
            </w:pPr>
            <w:r>
              <w:rPr>
                <w:sz w:val="18"/>
                <w:szCs w:val="18"/>
              </w:rPr>
              <w:t>1,275,699</w:t>
            </w:r>
          </w:p>
        </w:tc>
        <w:tc>
          <w:tcPr>
            <w:tcW w:w="1138" w:type="dxa"/>
            <w:tcBorders>
              <w:top w:val="single" w:sz="4" w:space="0" w:color="auto"/>
              <w:left w:val="single" w:sz="4" w:space="0" w:color="auto"/>
            </w:tcBorders>
            <w:shd w:val="clear" w:color="auto" w:fill="FFFFFF"/>
          </w:tcPr>
          <w:p w:rsidR="00BA6524" w:rsidRDefault="00BA6524">
            <w:pPr>
              <w:rPr>
                <w:sz w:val="10"/>
                <w:szCs w:val="10"/>
              </w:rPr>
            </w:pPr>
          </w:p>
        </w:tc>
        <w:tc>
          <w:tcPr>
            <w:tcW w:w="1272" w:type="dxa"/>
            <w:tcBorders>
              <w:top w:val="single" w:sz="4" w:space="0" w:color="auto"/>
              <w:left w:val="single" w:sz="4" w:space="0" w:color="auto"/>
            </w:tcBorders>
            <w:shd w:val="clear" w:color="auto" w:fill="FFFFFF"/>
            <w:vAlign w:val="bottom"/>
          </w:tcPr>
          <w:p w:rsidR="00BA6524" w:rsidRDefault="00BD4AFA">
            <w:pPr>
              <w:pStyle w:val="Other0"/>
              <w:spacing w:after="0"/>
              <w:ind w:firstLine="480"/>
              <w:jc w:val="both"/>
              <w:rPr>
                <w:sz w:val="18"/>
                <w:szCs w:val="18"/>
              </w:rPr>
            </w:pPr>
            <w:r>
              <w:rPr>
                <w:sz w:val="18"/>
                <w:szCs w:val="18"/>
              </w:rPr>
              <w:t>1,275,699</w:t>
            </w:r>
          </w:p>
        </w:tc>
        <w:tc>
          <w:tcPr>
            <w:tcW w:w="192" w:type="dxa"/>
            <w:vMerge w:val="restart"/>
            <w:tcBorders>
              <w:top w:val="single" w:sz="4" w:space="0" w:color="auto"/>
            </w:tcBorders>
            <w:shd w:val="clear" w:color="auto" w:fill="FFFFFF"/>
          </w:tcPr>
          <w:p w:rsidR="00BA6524" w:rsidRDefault="00BA6524">
            <w:pPr>
              <w:rPr>
                <w:sz w:val="10"/>
                <w:szCs w:val="10"/>
              </w:rPr>
            </w:pPr>
          </w:p>
        </w:tc>
        <w:tc>
          <w:tcPr>
            <w:tcW w:w="1104"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w:t>
            </w: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w:t>
            </w:r>
          </w:p>
        </w:tc>
        <w:tc>
          <w:tcPr>
            <w:tcW w:w="192" w:type="dxa"/>
            <w:vMerge w:val="restart"/>
            <w:tcBorders>
              <w:top w:val="single" w:sz="4" w:space="0" w:color="auto"/>
            </w:tcBorders>
            <w:shd w:val="clear" w:color="auto" w:fill="FFFFFF"/>
          </w:tcPr>
          <w:p w:rsidR="00BA6524" w:rsidRDefault="00BA6524">
            <w:pPr>
              <w:rPr>
                <w:sz w:val="10"/>
                <w:szCs w:val="10"/>
              </w:rPr>
            </w:pPr>
          </w:p>
        </w:tc>
        <w:tc>
          <w:tcPr>
            <w:tcW w:w="1099" w:type="dxa"/>
            <w:tcBorders>
              <w:top w:val="single" w:sz="4" w:space="0" w:color="auto"/>
              <w:left w:val="single" w:sz="4" w:space="0" w:color="auto"/>
            </w:tcBorders>
            <w:shd w:val="clear" w:color="auto" w:fill="FFFFFF"/>
            <w:vAlign w:val="bottom"/>
          </w:tcPr>
          <w:p w:rsidR="00BA6524" w:rsidRDefault="00BD4AFA">
            <w:pPr>
              <w:pStyle w:val="Other0"/>
              <w:spacing w:after="0"/>
              <w:ind w:firstLine="300"/>
              <w:jc w:val="both"/>
              <w:rPr>
                <w:sz w:val="18"/>
                <w:szCs w:val="18"/>
              </w:rPr>
            </w:pPr>
            <w:r>
              <w:rPr>
                <w:sz w:val="18"/>
                <w:szCs w:val="18"/>
              </w:rPr>
              <w:t>1,275,699</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w:t>
            </w:r>
          </w:p>
        </w:tc>
        <w:tc>
          <w:tcPr>
            <w:tcW w:w="1440" w:type="dxa"/>
            <w:tcBorders>
              <w:top w:val="single" w:sz="4" w:space="0" w:color="auto"/>
              <w:left w:val="single" w:sz="4" w:space="0" w:color="auto"/>
              <w:right w:val="single" w:sz="4" w:space="0" w:color="auto"/>
            </w:tcBorders>
            <w:shd w:val="clear" w:color="auto" w:fill="FFFFFF"/>
            <w:vAlign w:val="bottom"/>
          </w:tcPr>
          <w:p w:rsidR="00BA6524" w:rsidRDefault="00BD4AFA">
            <w:pPr>
              <w:pStyle w:val="Other0"/>
              <w:spacing w:after="0"/>
              <w:ind w:firstLine="620"/>
              <w:jc w:val="both"/>
              <w:rPr>
                <w:sz w:val="18"/>
                <w:szCs w:val="18"/>
              </w:rPr>
            </w:pPr>
            <w:r>
              <w:rPr>
                <w:sz w:val="18"/>
                <w:szCs w:val="18"/>
              </w:rPr>
              <w:t>1,275,699</w:t>
            </w:r>
          </w:p>
        </w:tc>
      </w:tr>
      <w:tr w:rsidR="00BA6524">
        <w:tblPrEx>
          <w:tblCellMar>
            <w:top w:w="0" w:type="dxa"/>
            <w:bottom w:w="0" w:type="dxa"/>
          </w:tblCellMar>
        </w:tblPrEx>
        <w:trPr>
          <w:trHeight w:hRule="exact" w:val="379"/>
          <w:jc w:val="center"/>
        </w:trPr>
        <w:tc>
          <w:tcPr>
            <w:tcW w:w="1862" w:type="dxa"/>
            <w:tcBorders>
              <w:top w:val="single" w:sz="4" w:space="0" w:color="auto"/>
              <w:left w:val="single" w:sz="4" w:space="0" w:color="auto"/>
            </w:tcBorders>
            <w:shd w:val="clear" w:color="auto" w:fill="FFFFFF"/>
            <w:vAlign w:val="bottom"/>
          </w:tcPr>
          <w:p w:rsidR="00BA6524" w:rsidRDefault="00BD4AFA">
            <w:pPr>
              <w:pStyle w:val="Other0"/>
              <w:spacing w:after="0"/>
              <w:rPr>
                <w:sz w:val="18"/>
                <w:szCs w:val="18"/>
              </w:rPr>
            </w:pPr>
            <w:r>
              <w:rPr>
                <w:sz w:val="18"/>
                <w:szCs w:val="18"/>
              </w:rPr>
              <w:t>IPED</w:t>
            </w:r>
          </w:p>
        </w:tc>
        <w:tc>
          <w:tcPr>
            <w:tcW w:w="1277" w:type="dxa"/>
            <w:tcBorders>
              <w:top w:val="single" w:sz="4" w:space="0" w:color="auto"/>
              <w:left w:val="single" w:sz="4" w:space="0" w:color="auto"/>
            </w:tcBorders>
            <w:shd w:val="clear" w:color="auto" w:fill="FFFFFF"/>
            <w:vAlign w:val="bottom"/>
          </w:tcPr>
          <w:p w:rsidR="00BA6524" w:rsidRDefault="00BD4AFA">
            <w:pPr>
              <w:pStyle w:val="Other0"/>
              <w:spacing w:after="0"/>
              <w:ind w:firstLine="620"/>
              <w:jc w:val="both"/>
              <w:rPr>
                <w:sz w:val="18"/>
                <w:szCs w:val="18"/>
              </w:rPr>
            </w:pPr>
            <w:r>
              <w:rPr>
                <w:sz w:val="18"/>
                <w:szCs w:val="18"/>
              </w:rPr>
              <w:t>681,891</w:t>
            </w:r>
          </w:p>
        </w:tc>
        <w:tc>
          <w:tcPr>
            <w:tcW w:w="1138" w:type="dxa"/>
            <w:tcBorders>
              <w:top w:val="single" w:sz="4" w:space="0" w:color="auto"/>
              <w:left w:val="single" w:sz="4" w:space="0" w:color="auto"/>
            </w:tcBorders>
            <w:shd w:val="clear" w:color="auto" w:fill="FFFFFF"/>
          </w:tcPr>
          <w:p w:rsidR="00BA6524" w:rsidRDefault="00BA6524">
            <w:pPr>
              <w:rPr>
                <w:sz w:val="10"/>
                <w:szCs w:val="10"/>
              </w:rPr>
            </w:pPr>
          </w:p>
        </w:tc>
        <w:tc>
          <w:tcPr>
            <w:tcW w:w="1272" w:type="dxa"/>
            <w:tcBorders>
              <w:top w:val="single" w:sz="4" w:space="0" w:color="auto"/>
              <w:left w:val="single" w:sz="4" w:space="0" w:color="auto"/>
            </w:tcBorders>
            <w:shd w:val="clear" w:color="auto" w:fill="FFFFFF"/>
            <w:vAlign w:val="bottom"/>
          </w:tcPr>
          <w:p w:rsidR="00BA6524" w:rsidRDefault="00BD4AFA">
            <w:pPr>
              <w:pStyle w:val="Other0"/>
              <w:spacing w:after="0"/>
              <w:ind w:firstLine="600"/>
              <w:jc w:val="both"/>
              <w:rPr>
                <w:sz w:val="18"/>
                <w:szCs w:val="18"/>
              </w:rPr>
            </w:pPr>
            <w:r>
              <w:rPr>
                <w:sz w:val="18"/>
                <w:szCs w:val="18"/>
              </w:rPr>
              <w:t>681,891</w:t>
            </w:r>
          </w:p>
        </w:tc>
        <w:tc>
          <w:tcPr>
            <w:tcW w:w="192" w:type="dxa"/>
            <w:vMerge/>
            <w:shd w:val="clear" w:color="auto" w:fill="FFFFFF"/>
          </w:tcPr>
          <w:p w:rsidR="00BA6524" w:rsidRDefault="00BA6524"/>
        </w:tc>
        <w:tc>
          <w:tcPr>
            <w:tcW w:w="1104"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color w:val="FC0000"/>
                <w:sz w:val="18"/>
                <w:szCs w:val="18"/>
              </w:rPr>
              <w:t>-</w:t>
            </w: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w:t>
            </w:r>
          </w:p>
        </w:tc>
        <w:tc>
          <w:tcPr>
            <w:tcW w:w="192" w:type="dxa"/>
            <w:vMerge/>
            <w:shd w:val="clear" w:color="auto" w:fill="FFFFFF"/>
          </w:tcPr>
          <w:p w:rsidR="00BA6524" w:rsidRDefault="00BA6524"/>
        </w:tc>
        <w:tc>
          <w:tcPr>
            <w:tcW w:w="1099" w:type="dxa"/>
            <w:tcBorders>
              <w:top w:val="single" w:sz="4" w:space="0" w:color="auto"/>
              <w:left w:val="single" w:sz="4" w:space="0" w:color="auto"/>
            </w:tcBorders>
            <w:shd w:val="clear" w:color="auto" w:fill="FFFFFF"/>
            <w:vAlign w:val="bottom"/>
          </w:tcPr>
          <w:p w:rsidR="00BA6524" w:rsidRDefault="00BD4AFA">
            <w:pPr>
              <w:pStyle w:val="Other0"/>
              <w:spacing w:after="0"/>
              <w:ind w:firstLine="440"/>
              <w:rPr>
                <w:sz w:val="18"/>
                <w:szCs w:val="18"/>
              </w:rPr>
            </w:pPr>
            <w:r>
              <w:rPr>
                <w:sz w:val="18"/>
                <w:szCs w:val="18"/>
              </w:rPr>
              <w:t>681,891</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w:t>
            </w:r>
          </w:p>
        </w:tc>
        <w:tc>
          <w:tcPr>
            <w:tcW w:w="1440" w:type="dxa"/>
            <w:tcBorders>
              <w:top w:val="single" w:sz="4" w:space="0" w:color="auto"/>
              <w:left w:val="single" w:sz="4" w:space="0" w:color="auto"/>
              <w:right w:val="single" w:sz="4" w:space="0" w:color="auto"/>
            </w:tcBorders>
            <w:shd w:val="clear" w:color="auto" w:fill="FFFFFF"/>
            <w:vAlign w:val="bottom"/>
          </w:tcPr>
          <w:p w:rsidR="00BA6524" w:rsidRDefault="00BD4AFA">
            <w:pPr>
              <w:pStyle w:val="Other0"/>
              <w:spacing w:after="0"/>
              <w:ind w:firstLine="760"/>
              <w:rPr>
                <w:sz w:val="18"/>
                <w:szCs w:val="18"/>
              </w:rPr>
            </w:pPr>
            <w:r>
              <w:rPr>
                <w:sz w:val="18"/>
                <w:szCs w:val="18"/>
              </w:rPr>
              <w:t>681,891</w:t>
            </w:r>
          </w:p>
        </w:tc>
      </w:tr>
      <w:tr w:rsidR="00BA6524">
        <w:tblPrEx>
          <w:tblCellMar>
            <w:top w:w="0" w:type="dxa"/>
            <w:bottom w:w="0" w:type="dxa"/>
          </w:tblCellMar>
        </w:tblPrEx>
        <w:trPr>
          <w:trHeight w:hRule="exact" w:val="374"/>
          <w:jc w:val="center"/>
        </w:trPr>
        <w:tc>
          <w:tcPr>
            <w:tcW w:w="1862" w:type="dxa"/>
            <w:tcBorders>
              <w:top w:val="single" w:sz="4" w:space="0" w:color="auto"/>
              <w:left w:val="single" w:sz="4" w:space="0" w:color="auto"/>
            </w:tcBorders>
            <w:shd w:val="clear" w:color="auto" w:fill="FFFFFF"/>
            <w:vAlign w:val="bottom"/>
          </w:tcPr>
          <w:p w:rsidR="00BA6524" w:rsidRDefault="00BD4AFA">
            <w:pPr>
              <w:pStyle w:val="Other0"/>
              <w:spacing w:after="0"/>
              <w:rPr>
                <w:sz w:val="18"/>
                <w:szCs w:val="18"/>
              </w:rPr>
            </w:pPr>
            <w:r>
              <w:rPr>
                <w:sz w:val="18"/>
                <w:szCs w:val="18"/>
              </w:rPr>
              <w:t>CIEFFA</w:t>
            </w:r>
          </w:p>
        </w:tc>
        <w:tc>
          <w:tcPr>
            <w:tcW w:w="1277" w:type="dxa"/>
            <w:tcBorders>
              <w:top w:val="single" w:sz="4" w:space="0" w:color="auto"/>
              <w:left w:val="single" w:sz="4" w:space="0" w:color="auto"/>
            </w:tcBorders>
            <w:shd w:val="clear" w:color="auto" w:fill="FFFFFF"/>
            <w:vAlign w:val="bottom"/>
          </w:tcPr>
          <w:p w:rsidR="00BA6524" w:rsidRDefault="00BD4AFA">
            <w:pPr>
              <w:pStyle w:val="Other0"/>
              <w:spacing w:after="0"/>
              <w:ind w:firstLine="620"/>
              <w:jc w:val="both"/>
              <w:rPr>
                <w:sz w:val="18"/>
                <w:szCs w:val="18"/>
              </w:rPr>
            </w:pPr>
            <w:r>
              <w:rPr>
                <w:sz w:val="18"/>
                <w:szCs w:val="18"/>
              </w:rPr>
              <w:t>716,656</w:t>
            </w:r>
          </w:p>
        </w:tc>
        <w:tc>
          <w:tcPr>
            <w:tcW w:w="1138" w:type="dxa"/>
            <w:tcBorders>
              <w:top w:val="single" w:sz="4" w:space="0" w:color="auto"/>
              <w:left w:val="single" w:sz="4" w:space="0" w:color="auto"/>
            </w:tcBorders>
            <w:shd w:val="clear" w:color="auto" w:fill="FFFFFF"/>
          </w:tcPr>
          <w:p w:rsidR="00BA6524" w:rsidRDefault="00BA6524">
            <w:pPr>
              <w:rPr>
                <w:sz w:val="10"/>
                <w:szCs w:val="10"/>
              </w:rPr>
            </w:pPr>
          </w:p>
        </w:tc>
        <w:tc>
          <w:tcPr>
            <w:tcW w:w="1272" w:type="dxa"/>
            <w:tcBorders>
              <w:top w:val="single" w:sz="4" w:space="0" w:color="auto"/>
              <w:left w:val="single" w:sz="4" w:space="0" w:color="auto"/>
            </w:tcBorders>
            <w:shd w:val="clear" w:color="auto" w:fill="FFFFFF"/>
            <w:vAlign w:val="bottom"/>
          </w:tcPr>
          <w:p w:rsidR="00BA6524" w:rsidRDefault="00BD4AFA">
            <w:pPr>
              <w:pStyle w:val="Other0"/>
              <w:spacing w:after="0"/>
              <w:ind w:firstLine="600"/>
              <w:jc w:val="both"/>
              <w:rPr>
                <w:sz w:val="18"/>
                <w:szCs w:val="18"/>
              </w:rPr>
            </w:pPr>
            <w:r>
              <w:rPr>
                <w:sz w:val="18"/>
                <w:szCs w:val="18"/>
              </w:rPr>
              <w:t>716,656</w:t>
            </w:r>
          </w:p>
        </w:tc>
        <w:tc>
          <w:tcPr>
            <w:tcW w:w="192" w:type="dxa"/>
            <w:vMerge/>
            <w:shd w:val="clear" w:color="auto" w:fill="FFFFFF"/>
          </w:tcPr>
          <w:p w:rsidR="00BA6524" w:rsidRDefault="00BA6524"/>
        </w:tc>
        <w:tc>
          <w:tcPr>
            <w:tcW w:w="1104"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w:t>
            </w:r>
          </w:p>
        </w:tc>
        <w:tc>
          <w:tcPr>
            <w:tcW w:w="192" w:type="dxa"/>
            <w:vMerge/>
            <w:shd w:val="clear" w:color="auto" w:fill="FFFFFF"/>
          </w:tcPr>
          <w:p w:rsidR="00BA6524" w:rsidRDefault="00BA6524"/>
        </w:tc>
        <w:tc>
          <w:tcPr>
            <w:tcW w:w="1099" w:type="dxa"/>
            <w:tcBorders>
              <w:top w:val="single" w:sz="4" w:space="0" w:color="auto"/>
              <w:left w:val="single" w:sz="4" w:space="0" w:color="auto"/>
            </w:tcBorders>
            <w:shd w:val="clear" w:color="auto" w:fill="FFFFFF"/>
            <w:vAlign w:val="bottom"/>
          </w:tcPr>
          <w:p w:rsidR="00BA6524" w:rsidRDefault="00BD4AFA">
            <w:pPr>
              <w:pStyle w:val="Other0"/>
              <w:spacing w:after="0"/>
              <w:ind w:firstLine="440"/>
              <w:rPr>
                <w:sz w:val="18"/>
                <w:szCs w:val="18"/>
              </w:rPr>
            </w:pPr>
            <w:r>
              <w:rPr>
                <w:sz w:val="18"/>
                <w:szCs w:val="18"/>
              </w:rPr>
              <w:t>716,656</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w:t>
            </w:r>
          </w:p>
        </w:tc>
        <w:tc>
          <w:tcPr>
            <w:tcW w:w="1440" w:type="dxa"/>
            <w:tcBorders>
              <w:top w:val="single" w:sz="4" w:space="0" w:color="auto"/>
              <w:left w:val="single" w:sz="4" w:space="0" w:color="auto"/>
              <w:righ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716,656</w:t>
            </w:r>
          </w:p>
        </w:tc>
      </w:tr>
      <w:tr w:rsidR="00BA6524">
        <w:tblPrEx>
          <w:tblCellMar>
            <w:top w:w="0" w:type="dxa"/>
            <w:bottom w:w="0" w:type="dxa"/>
          </w:tblCellMar>
        </w:tblPrEx>
        <w:trPr>
          <w:trHeight w:hRule="exact" w:val="379"/>
          <w:jc w:val="center"/>
        </w:trPr>
        <w:tc>
          <w:tcPr>
            <w:tcW w:w="1862" w:type="dxa"/>
            <w:tcBorders>
              <w:top w:val="single" w:sz="4" w:space="0" w:color="auto"/>
              <w:left w:val="single" w:sz="4" w:space="0" w:color="auto"/>
            </w:tcBorders>
            <w:shd w:val="clear" w:color="auto" w:fill="FFFFFF"/>
            <w:vAlign w:val="bottom"/>
          </w:tcPr>
          <w:p w:rsidR="00BA6524" w:rsidRDefault="00BD4AFA">
            <w:pPr>
              <w:pStyle w:val="Other0"/>
              <w:spacing w:after="0"/>
              <w:rPr>
                <w:sz w:val="18"/>
                <w:szCs w:val="18"/>
              </w:rPr>
            </w:pPr>
            <w:r>
              <w:rPr>
                <w:sz w:val="18"/>
                <w:szCs w:val="18"/>
              </w:rPr>
              <w:t>PAU</w:t>
            </w:r>
          </w:p>
        </w:tc>
        <w:tc>
          <w:tcPr>
            <w:tcW w:w="1277" w:type="dxa"/>
            <w:tcBorders>
              <w:top w:val="single" w:sz="4" w:space="0" w:color="auto"/>
              <w:left w:val="single" w:sz="4" w:space="0" w:color="auto"/>
            </w:tcBorders>
            <w:shd w:val="clear" w:color="auto" w:fill="FFFFFF"/>
            <w:vAlign w:val="bottom"/>
          </w:tcPr>
          <w:p w:rsidR="00BA6524" w:rsidRDefault="00BD4AFA">
            <w:pPr>
              <w:pStyle w:val="Other0"/>
              <w:spacing w:after="0"/>
              <w:ind w:firstLine="480"/>
              <w:jc w:val="both"/>
              <w:rPr>
                <w:sz w:val="18"/>
                <w:szCs w:val="18"/>
              </w:rPr>
            </w:pPr>
            <w:r>
              <w:rPr>
                <w:sz w:val="18"/>
                <w:szCs w:val="18"/>
              </w:rPr>
              <w:t>2,821,977</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ind w:firstLine="240"/>
              <w:rPr>
                <w:sz w:val="18"/>
                <w:szCs w:val="18"/>
              </w:rPr>
            </w:pPr>
            <w:r>
              <w:rPr>
                <w:sz w:val="18"/>
                <w:szCs w:val="18"/>
              </w:rPr>
              <w:t>12,380,180</w:t>
            </w:r>
          </w:p>
        </w:tc>
        <w:tc>
          <w:tcPr>
            <w:tcW w:w="1272" w:type="dxa"/>
            <w:tcBorders>
              <w:top w:val="single" w:sz="4" w:space="0" w:color="auto"/>
              <w:left w:val="single" w:sz="4" w:space="0" w:color="auto"/>
            </w:tcBorders>
            <w:shd w:val="clear" w:color="auto" w:fill="FFFFFF"/>
            <w:vAlign w:val="bottom"/>
          </w:tcPr>
          <w:p w:rsidR="00BA6524" w:rsidRDefault="00BD4AFA">
            <w:pPr>
              <w:pStyle w:val="Other0"/>
              <w:spacing w:after="0"/>
              <w:ind w:firstLine="380"/>
              <w:jc w:val="both"/>
              <w:rPr>
                <w:sz w:val="18"/>
                <w:szCs w:val="18"/>
              </w:rPr>
            </w:pPr>
            <w:r>
              <w:rPr>
                <w:sz w:val="18"/>
                <w:szCs w:val="18"/>
              </w:rPr>
              <w:t>15,202,157</w:t>
            </w:r>
          </w:p>
        </w:tc>
        <w:tc>
          <w:tcPr>
            <w:tcW w:w="192" w:type="dxa"/>
            <w:vMerge/>
            <w:shd w:val="clear" w:color="auto" w:fill="FFFFFF"/>
          </w:tcPr>
          <w:p w:rsidR="00BA6524" w:rsidRDefault="00BA6524"/>
        </w:tc>
        <w:tc>
          <w:tcPr>
            <w:tcW w:w="1104"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6"/>
                <w:szCs w:val="16"/>
              </w:rPr>
            </w:pPr>
            <w:r>
              <w:rPr>
                <w:b/>
                <w:bCs/>
                <w:color w:val="FC0000"/>
                <w:sz w:val="16"/>
                <w:szCs w:val="16"/>
              </w:rPr>
              <w:t>-</w:t>
            </w: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1,007,000</w:t>
            </w: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ind w:firstLine="340"/>
              <w:jc w:val="both"/>
              <w:rPr>
                <w:sz w:val="18"/>
                <w:szCs w:val="18"/>
              </w:rPr>
            </w:pPr>
            <w:r>
              <w:rPr>
                <w:sz w:val="18"/>
                <w:szCs w:val="18"/>
              </w:rPr>
              <w:t>1,007,000</w:t>
            </w:r>
          </w:p>
        </w:tc>
        <w:tc>
          <w:tcPr>
            <w:tcW w:w="192" w:type="dxa"/>
            <w:vMerge/>
            <w:shd w:val="clear" w:color="auto" w:fill="FFFFFF"/>
          </w:tcPr>
          <w:p w:rsidR="00BA6524" w:rsidRDefault="00BA6524"/>
        </w:tc>
        <w:tc>
          <w:tcPr>
            <w:tcW w:w="1099" w:type="dxa"/>
            <w:tcBorders>
              <w:top w:val="single" w:sz="4" w:space="0" w:color="auto"/>
              <w:left w:val="single" w:sz="4" w:space="0" w:color="auto"/>
            </w:tcBorders>
            <w:shd w:val="clear" w:color="auto" w:fill="FFFFFF"/>
            <w:vAlign w:val="bottom"/>
          </w:tcPr>
          <w:p w:rsidR="00BA6524" w:rsidRDefault="00BD4AFA">
            <w:pPr>
              <w:pStyle w:val="Other0"/>
              <w:spacing w:after="0"/>
              <w:ind w:firstLine="300"/>
              <w:jc w:val="both"/>
              <w:rPr>
                <w:sz w:val="18"/>
                <w:szCs w:val="18"/>
              </w:rPr>
            </w:pPr>
            <w:r>
              <w:rPr>
                <w:sz w:val="18"/>
                <w:szCs w:val="18"/>
              </w:rPr>
              <w:t>2,821,977</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13,387,180</w:t>
            </w:r>
          </w:p>
        </w:tc>
        <w:tc>
          <w:tcPr>
            <w:tcW w:w="1440" w:type="dxa"/>
            <w:tcBorders>
              <w:top w:val="single" w:sz="4" w:space="0" w:color="auto"/>
              <w:left w:val="single" w:sz="4" w:space="0" w:color="auto"/>
              <w:righ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16,209,157</w:t>
            </w:r>
          </w:p>
        </w:tc>
      </w:tr>
      <w:tr w:rsidR="00BA6524">
        <w:tblPrEx>
          <w:tblCellMar>
            <w:top w:w="0" w:type="dxa"/>
            <w:bottom w:w="0" w:type="dxa"/>
          </w:tblCellMar>
        </w:tblPrEx>
        <w:trPr>
          <w:trHeight w:hRule="exact" w:val="374"/>
          <w:jc w:val="center"/>
        </w:trPr>
        <w:tc>
          <w:tcPr>
            <w:tcW w:w="1862" w:type="dxa"/>
            <w:tcBorders>
              <w:top w:val="single" w:sz="4" w:space="0" w:color="auto"/>
              <w:left w:val="single" w:sz="4" w:space="0" w:color="auto"/>
            </w:tcBorders>
            <w:shd w:val="clear" w:color="auto" w:fill="FFFFFF"/>
            <w:vAlign w:val="bottom"/>
          </w:tcPr>
          <w:p w:rsidR="00BA6524" w:rsidRDefault="00BD4AFA">
            <w:pPr>
              <w:pStyle w:val="Other0"/>
              <w:spacing w:after="0"/>
              <w:rPr>
                <w:sz w:val="18"/>
                <w:szCs w:val="18"/>
              </w:rPr>
            </w:pPr>
            <w:r>
              <w:rPr>
                <w:sz w:val="18"/>
                <w:szCs w:val="18"/>
              </w:rPr>
              <w:t>AIR</w:t>
            </w:r>
          </w:p>
        </w:tc>
        <w:tc>
          <w:tcPr>
            <w:tcW w:w="1277" w:type="dxa"/>
            <w:tcBorders>
              <w:top w:val="single" w:sz="4" w:space="0" w:color="auto"/>
              <w:left w:val="single" w:sz="4" w:space="0" w:color="auto"/>
            </w:tcBorders>
            <w:shd w:val="clear" w:color="auto" w:fill="FFFFFF"/>
            <w:vAlign w:val="bottom"/>
          </w:tcPr>
          <w:p w:rsidR="00BA6524" w:rsidRDefault="00BD4AFA">
            <w:pPr>
              <w:pStyle w:val="Other0"/>
              <w:spacing w:after="0"/>
              <w:ind w:firstLine="620"/>
              <w:jc w:val="both"/>
              <w:rPr>
                <w:sz w:val="18"/>
                <w:szCs w:val="18"/>
              </w:rPr>
            </w:pPr>
            <w:r>
              <w:rPr>
                <w:sz w:val="18"/>
                <w:szCs w:val="18"/>
              </w:rPr>
              <w:t>874,978</w:t>
            </w:r>
          </w:p>
        </w:tc>
        <w:tc>
          <w:tcPr>
            <w:tcW w:w="1138" w:type="dxa"/>
            <w:tcBorders>
              <w:top w:val="single" w:sz="4" w:space="0" w:color="auto"/>
              <w:left w:val="single" w:sz="4" w:space="0" w:color="auto"/>
            </w:tcBorders>
            <w:shd w:val="clear" w:color="auto" w:fill="FFFFFF"/>
          </w:tcPr>
          <w:p w:rsidR="00BA6524" w:rsidRDefault="00BA6524">
            <w:pPr>
              <w:rPr>
                <w:sz w:val="10"/>
                <w:szCs w:val="10"/>
              </w:rPr>
            </w:pPr>
          </w:p>
        </w:tc>
        <w:tc>
          <w:tcPr>
            <w:tcW w:w="1272" w:type="dxa"/>
            <w:tcBorders>
              <w:top w:val="single" w:sz="4" w:space="0" w:color="auto"/>
              <w:left w:val="single" w:sz="4" w:space="0" w:color="auto"/>
            </w:tcBorders>
            <w:shd w:val="clear" w:color="auto" w:fill="FFFFFF"/>
            <w:vAlign w:val="bottom"/>
          </w:tcPr>
          <w:p w:rsidR="00BA6524" w:rsidRDefault="00BD4AFA">
            <w:pPr>
              <w:pStyle w:val="Other0"/>
              <w:spacing w:after="0"/>
              <w:ind w:firstLine="600"/>
              <w:jc w:val="both"/>
              <w:rPr>
                <w:sz w:val="18"/>
                <w:szCs w:val="18"/>
              </w:rPr>
            </w:pPr>
            <w:r>
              <w:rPr>
                <w:sz w:val="18"/>
                <w:szCs w:val="18"/>
              </w:rPr>
              <w:t>874,978</w:t>
            </w:r>
          </w:p>
        </w:tc>
        <w:tc>
          <w:tcPr>
            <w:tcW w:w="192" w:type="dxa"/>
            <w:vMerge/>
            <w:shd w:val="clear" w:color="auto" w:fill="FFFFFF"/>
          </w:tcPr>
          <w:p w:rsidR="00BA6524" w:rsidRDefault="00BA6524"/>
        </w:tc>
        <w:tc>
          <w:tcPr>
            <w:tcW w:w="1104"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1,352,708</w:t>
            </w: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ind w:firstLine="340"/>
              <w:jc w:val="both"/>
              <w:rPr>
                <w:sz w:val="18"/>
                <w:szCs w:val="18"/>
              </w:rPr>
            </w:pPr>
            <w:r>
              <w:rPr>
                <w:sz w:val="18"/>
                <w:szCs w:val="18"/>
              </w:rPr>
              <w:t>1,352,708</w:t>
            </w:r>
          </w:p>
        </w:tc>
        <w:tc>
          <w:tcPr>
            <w:tcW w:w="192" w:type="dxa"/>
            <w:vMerge/>
            <w:shd w:val="clear" w:color="auto" w:fill="FFFFFF"/>
          </w:tcPr>
          <w:p w:rsidR="00BA6524" w:rsidRDefault="00BA6524"/>
        </w:tc>
        <w:tc>
          <w:tcPr>
            <w:tcW w:w="1099" w:type="dxa"/>
            <w:tcBorders>
              <w:top w:val="single" w:sz="4" w:space="0" w:color="auto"/>
              <w:left w:val="single" w:sz="4" w:space="0" w:color="auto"/>
            </w:tcBorders>
            <w:shd w:val="clear" w:color="auto" w:fill="FFFFFF"/>
            <w:vAlign w:val="bottom"/>
          </w:tcPr>
          <w:p w:rsidR="00BA6524" w:rsidRDefault="00BD4AFA">
            <w:pPr>
              <w:pStyle w:val="Other0"/>
              <w:spacing w:after="0"/>
              <w:ind w:firstLine="440"/>
              <w:rPr>
                <w:sz w:val="18"/>
                <w:szCs w:val="18"/>
              </w:rPr>
            </w:pPr>
            <w:r>
              <w:rPr>
                <w:sz w:val="18"/>
                <w:szCs w:val="18"/>
              </w:rPr>
              <w:t>874,978</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ind w:firstLine="340"/>
              <w:rPr>
                <w:sz w:val="18"/>
                <w:szCs w:val="18"/>
              </w:rPr>
            </w:pPr>
            <w:r>
              <w:rPr>
                <w:sz w:val="18"/>
                <w:szCs w:val="18"/>
              </w:rPr>
              <w:t>1,352,708</w:t>
            </w:r>
          </w:p>
        </w:tc>
        <w:tc>
          <w:tcPr>
            <w:tcW w:w="1440" w:type="dxa"/>
            <w:tcBorders>
              <w:top w:val="single" w:sz="4" w:space="0" w:color="auto"/>
              <w:left w:val="single" w:sz="4" w:space="0" w:color="auto"/>
              <w:right w:val="single" w:sz="4" w:space="0" w:color="auto"/>
            </w:tcBorders>
            <w:shd w:val="clear" w:color="auto" w:fill="FFFFFF"/>
            <w:vAlign w:val="bottom"/>
          </w:tcPr>
          <w:p w:rsidR="00BA6524" w:rsidRDefault="00BD4AFA">
            <w:pPr>
              <w:pStyle w:val="Other0"/>
              <w:spacing w:after="0"/>
              <w:ind w:firstLine="620"/>
              <w:jc w:val="both"/>
              <w:rPr>
                <w:sz w:val="18"/>
                <w:szCs w:val="18"/>
              </w:rPr>
            </w:pPr>
            <w:r>
              <w:rPr>
                <w:sz w:val="18"/>
                <w:szCs w:val="18"/>
              </w:rPr>
              <w:t>2,227,686</w:t>
            </w:r>
          </w:p>
        </w:tc>
      </w:tr>
      <w:tr w:rsidR="00BA6524">
        <w:tblPrEx>
          <w:tblCellMar>
            <w:top w:w="0" w:type="dxa"/>
            <w:bottom w:w="0" w:type="dxa"/>
          </w:tblCellMar>
        </w:tblPrEx>
        <w:trPr>
          <w:trHeight w:hRule="exact" w:val="374"/>
          <w:jc w:val="center"/>
        </w:trPr>
        <w:tc>
          <w:tcPr>
            <w:tcW w:w="1862" w:type="dxa"/>
            <w:tcBorders>
              <w:top w:val="single" w:sz="4" w:space="0" w:color="auto"/>
              <w:left w:val="single" w:sz="4" w:space="0" w:color="auto"/>
            </w:tcBorders>
            <w:shd w:val="clear" w:color="auto" w:fill="FFFFFF"/>
            <w:vAlign w:val="bottom"/>
          </w:tcPr>
          <w:p w:rsidR="00BA6524" w:rsidRDefault="00BD4AFA">
            <w:pPr>
              <w:pStyle w:val="Other0"/>
              <w:spacing w:after="0"/>
              <w:rPr>
                <w:sz w:val="18"/>
                <w:szCs w:val="18"/>
              </w:rPr>
            </w:pPr>
            <w:r>
              <w:rPr>
                <w:sz w:val="18"/>
                <w:szCs w:val="18"/>
              </w:rPr>
              <w:t>ACDC</w:t>
            </w:r>
          </w:p>
        </w:tc>
        <w:tc>
          <w:tcPr>
            <w:tcW w:w="1277" w:type="dxa"/>
            <w:tcBorders>
              <w:top w:val="single" w:sz="4" w:space="0" w:color="auto"/>
              <w:left w:val="single" w:sz="4" w:space="0" w:color="auto"/>
            </w:tcBorders>
            <w:shd w:val="clear" w:color="auto" w:fill="FFFFFF"/>
          </w:tcPr>
          <w:p w:rsidR="00BA6524" w:rsidRDefault="00BA6524">
            <w:pPr>
              <w:rPr>
                <w:sz w:val="10"/>
                <w:szCs w:val="10"/>
              </w:rPr>
            </w:pP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ind w:firstLine="340"/>
              <w:rPr>
                <w:sz w:val="18"/>
                <w:szCs w:val="18"/>
              </w:rPr>
            </w:pPr>
            <w:r>
              <w:rPr>
                <w:sz w:val="18"/>
                <w:szCs w:val="18"/>
              </w:rPr>
              <w:t>6,562,642</w:t>
            </w:r>
          </w:p>
        </w:tc>
        <w:tc>
          <w:tcPr>
            <w:tcW w:w="1272" w:type="dxa"/>
            <w:tcBorders>
              <w:top w:val="single" w:sz="4" w:space="0" w:color="auto"/>
              <w:left w:val="single" w:sz="4" w:space="0" w:color="auto"/>
            </w:tcBorders>
            <w:shd w:val="clear" w:color="auto" w:fill="FFFFFF"/>
            <w:vAlign w:val="bottom"/>
          </w:tcPr>
          <w:p w:rsidR="00BA6524" w:rsidRDefault="00BD4AFA">
            <w:pPr>
              <w:pStyle w:val="Other0"/>
              <w:spacing w:after="0"/>
              <w:ind w:firstLine="480"/>
              <w:jc w:val="both"/>
              <w:rPr>
                <w:sz w:val="18"/>
                <w:szCs w:val="18"/>
              </w:rPr>
            </w:pPr>
            <w:r>
              <w:rPr>
                <w:sz w:val="18"/>
                <w:szCs w:val="18"/>
              </w:rPr>
              <w:t>6,562,642</w:t>
            </w:r>
          </w:p>
        </w:tc>
        <w:tc>
          <w:tcPr>
            <w:tcW w:w="192" w:type="dxa"/>
            <w:vMerge/>
            <w:shd w:val="clear" w:color="auto" w:fill="FFFFFF"/>
          </w:tcPr>
          <w:p w:rsidR="00BA6524" w:rsidRDefault="00BA6524"/>
        </w:tc>
        <w:tc>
          <w:tcPr>
            <w:tcW w:w="1104"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6,816,484</w:t>
            </w: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ind w:firstLine="340"/>
              <w:jc w:val="both"/>
              <w:rPr>
                <w:sz w:val="18"/>
                <w:szCs w:val="18"/>
              </w:rPr>
            </w:pPr>
            <w:r>
              <w:rPr>
                <w:sz w:val="18"/>
                <w:szCs w:val="18"/>
              </w:rPr>
              <w:t>6,816,484</w:t>
            </w:r>
          </w:p>
        </w:tc>
        <w:tc>
          <w:tcPr>
            <w:tcW w:w="192" w:type="dxa"/>
            <w:vMerge/>
            <w:shd w:val="clear" w:color="auto" w:fill="FFFFFF"/>
          </w:tcPr>
          <w:p w:rsidR="00BA6524" w:rsidRDefault="00BA6524"/>
        </w:tc>
        <w:tc>
          <w:tcPr>
            <w:tcW w:w="1099"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13,379,126</w:t>
            </w:r>
          </w:p>
        </w:tc>
        <w:tc>
          <w:tcPr>
            <w:tcW w:w="1440" w:type="dxa"/>
            <w:tcBorders>
              <w:top w:val="single" w:sz="4" w:space="0" w:color="auto"/>
              <w:left w:val="single" w:sz="4" w:space="0" w:color="auto"/>
              <w:righ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13,379,126</w:t>
            </w:r>
          </w:p>
        </w:tc>
      </w:tr>
      <w:tr w:rsidR="00BA6524">
        <w:tblPrEx>
          <w:tblCellMar>
            <w:top w:w="0" w:type="dxa"/>
            <w:bottom w:w="0" w:type="dxa"/>
          </w:tblCellMar>
        </w:tblPrEx>
        <w:trPr>
          <w:trHeight w:hRule="exact" w:val="379"/>
          <w:jc w:val="center"/>
        </w:trPr>
        <w:tc>
          <w:tcPr>
            <w:tcW w:w="1862" w:type="dxa"/>
            <w:tcBorders>
              <w:top w:val="single" w:sz="4" w:space="0" w:color="auto"/>
              <w:left w:val="single" w:sz="4" w:space="0" w:color="auto"/>
            </w:tcBorders>
            <w:shd w:val="clear" w:color="auto" w:fill="FFFFFF"/>
            <w:vAlign w:val="bottom"/>
          </w:tcPr>
          <w:p w:rsidR="00BA6524" w:rsidRDefault="00BD4AFA">
            <w:pPr>
              <w:pStyle w:val="Other0"/>
              <w:spacing w:after="0"/>
              <w:rPr>
                <w:sz w:val="18"/>
                <w:szCs w:val="18"/>
              </w:rPr>
            </w:pPr>
            <w:r>
              <w:rPr>
                <w:sz w:val="18"/>
                <w:szCs w:val="18"/>
              </w:rPr>
              <w:t>AOSTI</w:t>
            </w:r>
          </w:p>
        </w:tc>
        <w:tc>
          <w:tcPr>
            <w:tcW w:w="1277" w:type="dxa"/>
            <w:tcBorders>
              <w:top w:val="single" w:sz="4" w:space="0" w:color="auto"/>
              <w:left w:val="single" w:sz="4" w:space="0" w:color="auto"/>
            </w:tcBorders>
            <w:shd w:val="clear" w:color="auto" w:fill="FFFFFF"/>
            <w:vAlign w:val="bottom"/>
          </w:tcPr>
          <w:p w:rsidR="00BA6524" w:rsidRDefault="00BD4AFA">
            <w:pPr>
              <w:pStyle w:val="Other0"/>
              <w:spacing w:after="0"/>
              <w:ind w:firstLine="620"/>
              <w:jc w:val="both"/>
              <w:rPr>
                <w:sz w:val="18"/>
                <w:szCs w:val="18"/>
              </w:rPr>
            </w:pPr>
            <w:r>
              <w:rPr>
                <w:sz w:val="18"/>
                <w:szCs w:val="18"/>
              </w:rPr>
              <w:t>916,272</w:t>
            </w:r>
          </w:p>
        </w:tc>
        <w:tc>
          <w:tcPr>
            <w:tcW w:w="1138" w:type="dxa"/>
            <w:tcBorders>
              <w:top w:val="single" w:sz="4" w:space="0" w:color="auto"/>
              <w:left w:val="single" w:sz="4" w:space="0" w:color="auto"/>
            </w:tcBorders>
            <w:shd w:val="clear" w:color="auto" w:fill="FFFFFF"/>
          </w:tcPr>
          <w:p w:rsidR="00BA6524" w:rsidRDefault="00BA6524">
            <w:pPr>
              <w:rPr>
                <w:sz w:val="10"/>
                <w:szCs w:val="10"/>
              </w:rPr>
            </w:pPr>
          </w:p>
        </w:tc>
        <w:tc>
          <w:tcPr>
            <w:tcW w:w="1272" w:type="dxa"/>
            <w:tcBorders>
              <w:top w:val="single" w:sz="4" w:space="0" w:color="auto"/>
              <w:left w:val="single" w:sz="4" w:space="0" w:color="auto"/>
            </w:tcBorders>
            <w:shd w:val="clear" w:color="auto" w:fill="FFFFFF"/>
            <w:vAlign w:val="bottom"/>
          </w:tcPr>
          <w:p w:rsidR="00BA6524" w:rsidRDefault="00BD4AFA">
            <w:pPr>
              <w:pStyle w:val="Other0"/>
              <w:spacing w:after="0"/>
              <w:ind w:firstLine="600"/>
              <w:jc w:val="both"/>
              <w:rPr>
                <w:sz w:val="18"/>
                <w:szCs w:val="18"/>
              </w:rPr>
            </w:pPr>
            <w:r>
              <w:rPr>
                <w:sz w:val="18"/>
                <w:szCs w:val="18"/>
              </w:rPr>
              <w:t>916,272</w:t>
            </w:r>
          </w:p>
        </w:tc>
        <w:tc>
          <w:tcPr>
            <w:tcW w:w="192" w:type="dxa"/>
            <w:vMerge/>
            <w:shd w:val="clear" w:color="auto" w:fill="FFFFFF"/>
          </w:tcPr>
          <w:p w:rsidR="00BA6524" w:rsidRDefault="00BA6524"/>
        </w:tc>
        <w:tc>
          <w:tcPr>
            <w:tcW w:w="1104"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w:t>
            </w:r>
          </w:p>
        </w:tc>
        <w:tc>
          <w:tcPr>
            <w:tcW w:w="192" w:type="dxa"/>
            <w:vMerge/>
            <w:shd w:val="clear" w:color="auto" w:fill="FFFFFF"/>
          </w:tcPr>
          <w:p w:rsidR="00BA6524" w:rsidRDefault="00BA6524"/>
        </w:tc>
        <w:tc>
          <w:tcPr>
            <w:tcW w:w="1099" w:type="dxa"/>
            <w:tcBorders>
              <w:top w:val="single" w:sz="4" w:space="0" w:color="auto"/>
              <w:left w:val="single" w:sz="4" w:space="0" w:color="auto"/>
            </w:tcBorders>
            <w:shd w:val="clear" w:color="auto" w:fill="FFFFFF"/>
            <w:vAlign w:val="bottom"/>
          </w:tcPr>
          <w:p w:rsidR="00BA6524" w:rsidRDefault="00BD4AFA">
            <w:pPr>
              <w:pStyle w:val="Other0"/>
              <w:spacing w:after="0"/>
              <w:ind w:firstLine="440"/>
              <w:rPr>
                <w:sz w:val="18"/>
                <w:szCs w:val="18"/>
              </w:rPr>
            </w:pPr>
            <w:r>
              <w:rPr>
                <w:sz w:val="18"/>
                <w:szCs w:val="18"/>
              </w:rPr>
              <w:t>916,272</w:t>
            </w:r>
          </w:p>
        </w:tc>
        <w:tc>
          <w:tcPr>
            <w:tcW w:w="1138" w:type="dxa"/>
            <w:tcBorders>
              <w:top w:val="single" w:sz="4" w:space="0" w:color="auto"/>
              <w:left w:val="single" w:sz="4" w:space="0" w:color="auto"/>
            </w:tcBorders>
            <w:shd w:val="clear" w:color="auto" w:fill="FFFFFF"/>
          </w:tcPr>
          <w:p w:rsidR="00BA6524" w:rsidRDefault="00BA6524">
            <w:pPr>
              <w:rPr>
                <w:sz w:val="10"/>
                <w:szCs w:val="10"/>
              </w:rPr>
            </w:pPr>
          </w:p>
        </w:tc>
        <w:tc>
          <w:tcPr>
            <w:tcW w:w="1440" w:type="dxa"/>
            <w:tcBorders>
              <w:top w:val="single" w:sz="4" w:space="0" w:color="auto"/>
              <w:left w:val="single" w:sz="4" w:space="0" w:color="auto"/>
              <w:righ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916,272</w:t>
            </w:r>
          </w:p>
        </w:tc>
      </w:tr>
      <w:tr w:rsidR="00BA6524">
        <w:tblPrEx>
          <w:tblCellMar>
            <w:top w:w="0" w:type="dxa"/>
            <w:bottom w:w="0" w:type="dxa"/>
          </w:tblCellMar>
        </w:tblPrEx>
        <w:trPr>
          <w:trHeight w:hRule="exact" w:val="374"/>
          <w:jc w:val="center"/>
        </w:trPr>
        <w:tc>
          <w:tcPr>
            <w:tcW w:w="1862" w:type="dxa"/>
            <w:tcBorders>
              <w:top w:val="single" w:sz="4" w:space="0" w:color="auto"/>
              <w:left w:val="single" w:sz="4" w:space="0" w:color="auto"/>
            </w:tcBorders>
            <w:shd w:val="clear" w:color="auto" w:fill="FFFFFF"/>
            <w:vAlign w:val="bottom"/>
          </w:tcPr>
          <w:p w:rsidR="00BA6524" w:rsidRDefault="00BD4AFA">
            <w:pPr>
              <w:pStyle w:val="Other0"/>
              <w:spacing w:after="0"/>
              <w:rPr>
                <w:sz w:val="18"/>
                <w:szCs w:val="18"/>
              </w:rPr>
            </w:pPr>
            <w:r>
              <w:rPr>
                <w:sz w:val="18"/>
                <w:szCs w:val="18"/>
              </w:rPr>
              <w:t>AFRIPOL</w:t>
            </w:r>
          </w:p>
        </w:tc>
        <w:tc>
          <w:tcPr>
            <w:tcW w:w="1277" w:type="dxa"/>
            <w:tcBorders>
              <w:top w:val="single" w:sz="4" w:space="0" w:color="auto"/>
              <w:left w:val="single" w:sz="4" w:space="0" w:color="auto"/>
            </w:tcBorders>
            <w:shd w:val="clear" w:color="auto" w:fill="FFFFFF"/>
            <w:vAlign w:val="bottom"/>
          </w:tcPr>
          <w:p w:rsidR="00BA6524" w:rsidRDefault="00BD4AFA">
            <w:pPr>
              <w:pStyle w:val="Other0"/>
              <w:spacing w:after="0"/>
              <w:ind w:firstLine="620"/>
              <w:jc w:val="both"/>
              <w:rPr>
                <w:sz w:val="18"/>
                <w:szCs w:val="18"/>
              </w:rPr>
            </w:pPr>
            <w:r>
              <w:rPr>
                <w:sz w:val="18"/>
                <w:szCs w:val="18"/>
              </w:rPr>
              <w:t>948,450</w:t>
            </w:r>
          </w:p>
        </w:tc>
        <w:tc>
          <w:tcPr>
            <w:tcW w:w="1138" w:type="dxa"/>
            <w:tcBorders>
              <w:top w:val="single" w:sz="4" w:space="0" w:color="auto"/>
              <w:left w:val="single" w:sz="4" w:space="0" w:color="auto"/>
            </w:tcBorders>
            <w:shd w:val="clear" w:color="auto" w:fill="FFFFFF"/>
          </w:tcPr>
          <w:p w:rsidR="00BA6524" w:rsidRDefault="00BA6524">
            <w:pPr>
              <w:rPr>
                <w:sz w:val="10"/>
                <w:szCs w:val="10"/>
              </w:rPr>
            </w:pPr>
          </w:p>
        </w:tc>
        <w:tc>
          <w:tcPr>
            <w:tcW w:w="1272" w:type="dxa"/>
            <w:tcBorders>
              <w:top w:val="single" w:sz="4" w:space="0" w:color="auto"/>
              <w:left w:val="single" w:sz="4" w:space="0" w:color="auto"/>
            </w:tcBorders>
            <w:shd w:val="clear" w:color="auto" w:fill="FFFFFF"/>
            <w:vAlign w:val="bottom"/>
          </w:tcPr>
          <w:p w:rsidR="00BA6524" w:rsidRDefault="00BD4AFA">
            <w:pPr>
              <w:pStyle w:val="Other0"/>
              <w:spacing w:after="0"/>
              <w:ind w:firstLine="600"/>
              <w:jc w:val="both"/>
              <w:rPr>
                <w:sz w:val="18"/>
                <w:szCs w:val="18"/>
              </w:rPr>
            </w:pPr>
            <w:r>
              <w:rPr>
                <w:sz w:val="18"/>
                <w:szCs w:val="18"/>
              </w:rPr>
              <w:t>948,450</w:t>
            </w:r>
          </w:p>
        </w:tc>
        <w:tc>
          <w:tcPr>
            <w:tcW w:w="192" w:type="dxa"/>
            <w:vMerge/>
            <w:shd w:val="clear" w:color="auto" w:fill="FFFFFF"/>
          </w:tcPr>
          <w:p w:rsidR="00BA6524" w:rsidRDefault="00BA6524"/>
        </w:tc>
        <w:tc>
          <w:tcPr>
            <w:tcW w:w="1104"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w:t>
            </w:r>
          </w:p>
        </w:tc>
        <w:tc>
          <w:tcPr>
            <w:tcW w:w="192" w:type="dxa"/>
            <w:vMerge/>
            <w:shd w:val="clear" w:color="auto" w:fill="FFFFFF"/>
          </w:tcPr>
          <w:p w:rsidR="00BA6524" w:rsidRDefault="00BA6524"/>
        </w:tc>
        <w:tc>
          <w:tcPr>
            <w:tcW w:w="1099" w:type="dxa"/>
            <w:tcBorders>
              <w:top w:val="single" w:sz="4" w:space="0" w:color="auto"/>
              <w:left w:val="single" w:sz="4" w:space="0" w:color="auto"/>
            </w:tcBorders>
            <w:shd w:val="clear" w:color="auto" w:fill="FFFFFF"/>
            <w:vAlign w:val="bottom"/>
          </w:tcPr>
          <w:p w:rsidR="00BA6524" w:rsidRDefault="00BD4AFA">
            <w:pPr>
              <w:pStyle w:val="Other0"/>
              <w:spacing w:after="0"/>
              <w:ind w:firstLine="440"/>
              <w:rPr>
                <w:sz w:val="18"/>
                <w:szCs w:val="18"/>
              </w:rPr>
            </w:pPr>
            <w:r>
              <w:rPr>
                <w:sz w:val="18"/>
                <w:szCs w:val="18"/>
              </w:rPr>
              <w:t>948,450</w:t>
            </w:r>
          </w:p>
        </w:tc>
        <w:tc>
          <w:tcPr>
            <w:tcW w:w="1138" w:type="dxa"/>
            <w:tcBorders>
              <w:top w:val="single" w:sz="4" w:space="0" w:color="auto"/>
              <w:left w:val="single" w:sz="4" w:space="0" w:color="auto"/>
            </w:tcBorders>
            <w:shd w:val="clear" w:color="auto" w:fill="FFFFFF"/>
          </w:tcPr>
          <w:p w:rsidR="00BA6524" w:rsidRDefault="00BA6524">
            <w:pPr>
              <w:rPr>
                <w:sz w:val="10"/>
                <w:szCs w:val="10"/>
              </w:rPr>
            </w:pPr>
          </w:p>
        </w:tc>
        <w:tc>
          <w:tcPr>
            <w:tcW w:w="1440" w:type="dxa"/>
            <w:tcBorders>
              <w:top w:val="single" w:sz="4" w:space="0" w:color="auto"/>
              <w:left w:val="single" w:sz="4" w:space="0" w:color="auto"/>
              <w:righ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948,450</w:t>
            </w:r>
          </w:p>
        </w:tc>
      </w:tr>
      <w:tr w:rsidR="00BA6524">
        <w:tblPrEx>
          <w:tblCellMar>
            <w:top w:w="0" w:type="dxa"/>
            <w:bottom w:w="0" w:type="dxa"/>
          </w:tblCellMar>
        </w:tblPrEx>
        <w:trPr>
          <w:trHeight w:hRule="exact" w:val="374"/>
          <w:jc w:val="center"/>
        </w:trPr>
        <w:tc>
          <w:tcPr>
            <w:tcW w:w="1862" w:type="dxa"/>
            <w:tcBorders>
              <w:top w:val="single" w:sz="4" w:space="0" w:color="auto"/>
              <w:left w:val="single" w:sz="4" w:space="0" w:color="auto"/>
            </w:tcBorders>
            <w:shd w:val="clear" w:color="auto" w:fill="FFFFFF"/>
            <w:vAlign w:val="bottom"/>
          </w:tcPr>
          <w:p w:rsidR="00BA6524" w:rsidRDefault="00BD4AFA">
            <w:pPr>
              <w:pStyle w:val="Other0"/>
              <w:spacing w:after="0"/>
              <w:rPr>
                <w:sz w:val="18"/>
                <w:szCs w:val="18"/>
              </w:rPr>
            </w:pPr>
            <w:r>
              <w:rPr>
                <w:sz w:val="18"/>
                <w:szCs w:val="18"/>
              </w:rPr>
              <w:t>APRM</w:t>
            </w:r>
          </w:p>
        </w:tc>
        <w:tc>
          <w:tcPr>
            <w:tcW w:w="1277" w:type="dxa"/>
            <w:tcBorders>
              <w:top w:val="single" w:sz="4" w:space="0" w:color="auto"/>
              <w:left w:val="single" w:sz="4" w:space="0" w:color="auto"/>
            </w:tcBorders>
            <w:shd w:val="clear" w:color="auto" w:fill="FFFFFF"/>
            <w:vAlign w:val="bottom"/>
          </w:tcPr>
          <w:p w:rsidR="00BA6524" w:rsidRDefault="00BD4AFA">
            <w:pPr>
              <w:pStyle w:val="Other0"/>
              <w:spacing w:after="0"/>
              <w:ind w:firstLine="480"/>
              <w:jc w:val="both"/>
              <w:rPr>
                <w:sz w:val="18"/>
                <w:szCs w:val="18"/>
              </w:rPr>
            </w:pPr>
            <w:r>
              <w:rPr>
                <w:sz w:val="18"/>
                <w:szCs w:val="18"/>
              </w:rPr>
              <w:t>1,149,199</w:t>
            </w:r>
          </w:p>
        </w:tc>
        <w:tc>
          <w:tcPr>
            <w:tcW w:w="1138" w:type="dxa"/>
            <w:tcBorders>
              <w:top w:val="single" w:sz="4" w:space="0" w:color="auto"/>
              <w:left w:val="single" w:sz="4" w:space="0" w:color="auto"/>
            </w:tcBorders>
            <w:shd w:val="clear" w:color="auto" w:fill="FFFFFF"/>
            <w:vAlign w:val="bottom"/>
          </w:tcPr>
          <w:p w:rsidR="00BA6524" w:rsidRDefault="00BD4AFA">
            <w:pPr>
              <w:pStyle w:val="Other0"/>
              <w:tabs>
                <w:tab w:val="left" w:pos="466"/>
              </w:tabs>
              <w:spacing w:after="0"/>
              <w:jc w:val="right"/>
              <w:rPr>
                <w:sz w:val="18"/>
                <w:szCs w:val="18"/>
              </w:rPr>
            </w:pPr>
            <w:r>
              <w:rPr>
                <w:sz w:val="18"/>
                <w:szCs w:val="18"/>
              </w:rPr>
              <w:t>.</w:t>
            </w:r>
            <w:r>
              <w:rPr>
                <w:sz w:val="18"/>
                <w:szCs w:val="18"/>
              </w:rPr>
              <w:tab/>
              <w:t>986,311</w:t>
            </w:r>
          </w:p>
        </w:tc>
        <w:tc>
          <w:tcPr>
            <w:tcW w:w="1272" w:type="dxa"/>
            <w:tcBorders>
              <w:top w:val="single" w:sz="4" w:space="0" w:color="auto"/>
              <w:left w:val="single" w:sz="4" w:space="0" w:color="auto"/>
            </w:tcBorders>
            <w:shd w:val="clear" w:color="auto" w:fill="FFFFFF"/>
            <w:vAlign w:val="bottom"/>
          </w:tcPr>
          <w:p w:rsidR="00BA6524" w:rsidRDefault="00BD4AFA">
            <w:pPr>
              <w:pStyle w:val="Other0"/>
              <w:spacing w:after="0"/>
              <w:ind w:firstLine="480"/>
              <w:jc w:val="both"/>
              <w:rPr>
                <w:sz w:val="18"/>
                <w:szCs w:val="18"/>
              </w:rPr>
            </w:pPr>
            <w:r>
              <w:rPr>
                <w:sz w:val="18"/>
                <w:szCs w:val="18"/>
              </w:rPr>
              <w:t>2,135,510</w:t>
            </w:r>
          </w:p>
        </w:tc>
        <w:tc>
          <w:tcPr>
            <w:tcW w:w="192" w:type="dxa"/>
            <w:vMerge/>
            <w:shd w:val="clear" w:color="auto" w:fill="FFFFFF"/>
          </w:tcPr>
          <w:p w:rsidR="00BA6524" w:rsidRDefault="00BA6524"/>
        </w:tc>
        <w:tc>
          <w:tcPr>
            <w:tcW w:w="1104"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tcPr>
          <w:p w:rsidR="00BA6524" w:rsidRDefault="00BA6524">
            <w:pPr>
              <w:rPr>
                <w:sz w:val="10"/>
                <w:szCs w:val="10"/>
              </w:rPr>
            </w:pPr>
          </w:p>
        </w:tc>
        <w:tc>
          <w:tcPr>
            <w:tcW w:w="192" w:type="dxa"/>
            <w:vMerge/>
            <w:shd w:val="clear" w:color="auto" w:fill="FFFFFF"/>
          </w:tcPr>
          <w:p w:rsidR="00BA6524" w:rsidRDefault="00BA6524"/>
        </w:tc>
        <w:tc>
          <w:tcPr>
            <w:tcW w:w="1099" w:type="dxa"/>
            <w:tcBorders>
              <w:top w:val="single" w:sz="4" w:space="0" w:color="auto"/>
              <w:left w:val="single" w:sz="4" w:space="0" w:color="auto"/>
            </w:tcBorders>
            <w:shd w:val="clear" w:color="auto" w:fill="FFFFFF"/>
            <w:vAlign w:val="bottom"/>
          </w:tcPr>
          <w:p w:rsidR="00BA6524" w:rsidRDefault="00BD4AFA">
            <w:pPr>
              <w:pStyle w:val="Other0"/>
              <w:spacing w:after="0"/>
              <w:ind w:firstLine="300"/>
              <w:jc w:val="both"/>
              <w:rPr>
                <w:sz w:val="18"/>
                <w:szCs w:val="18"/>
              </w:rPr>
            </w:pPr>
            <w:r>
              <w:rPr>
                <w:sz w:val="18"/>
                <w:szCs w:val="18"/>
              </w:rPr>
              <w:t>1,149,199</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986,311</w:t>
            </w:r>
          </w:p>
        </w:tc>
        <w:tc>
          <w:tcPr>
            <w:tcW w:w="1440" w:type="dxa"/>
            <w:tcBorders>
              <w:top w:val="single" w:sz="4" w:space="0" w:color="auto"/>
              <w:left w:val="single" w:sz="4" w:space="0" w:color="auto"/>
              <w:right w:val="single" w:sz="4" w:space="0" w:color="auto"/>
            </w:tcBorders>
            <w:shd w:val="clear" w:color="auto" w:fill="FFFFFF"/>
            <w:vAlign w:val="bottom"/>
          </w:tcPr>
          <w:p w:rsidR="00BA6524" w:rsidRDefault="00BD4AFA">
            <w:pPr>
              <w:pStyle w:val="Other0"/>
              <w:spacing w:after="0"/>
              <w:ind w:firstLine="620"/>
              <w:jc w:val="both"/>
              <w:rPr>
                <w:sz w:val="18"/>
                <w:szCs w:val="18"/>
              </w:rPr>
            </w:pPr>
            <w:r>
              <w:rPr>
                <w:sz w:val="18"/>
                <w:szCs w:val="18"/>
              </w:rPr>
              <w:t>2,135,510</w:t>
            </w:r>
          </w:p>
        </w:tc>
      </w:tr>
      <w:tr w:rsidR="00BA6524">
        <w:tblPrEx>
          <w:tblCellMar>
            <w:top w:w="0" w:type="dxa"/>
            <w:bottom w:w="0" w:type="dxa"/>
          </w:tblCellMar>
        </w:tblPrEx>
        <w:trPr>
          <w:trHeight w:hRule="exact" w:val="379"/>
          <w:jc w:val="center"/>
        </w:trPr>
        <w:tc>
          <w:tcPr>
            <w:tcW w:w="1862" w:type="dxa"/>
            <w:tcBorders>
              <w:top w:val="single" w:sz="4" w:space="0" w:color="auto"/>
              <w:left w:val="single" w:sz="4" w:space="0" w:color="auto"/>
            </w:tcBorders>
            <w:shd w:val="clear" w:color="auto" w:fill="FFFFFF"/>
            <w:vAlign w:val="bottom"/>
          </w:tcPr>
          <w:p w:rsidR="00BA6524" w:rsidRDefault="00BD4AFA">
            <w:pPr>
              <w:pStyle w:val="Other0"/>
              <w:spacing w:after="0"/>
              <w:rPr>
                <w:sz w:val="18"/>
                <w:szCs w:val="18"/>
              </w:rPr>
            </w:pPr>
            <w:r>
              <w:rPr>
                <w:sz w:val="18"/>
                <w:szCs w:val="18"/>
                <w:u w:val="single"/>
              </w:rPr>
              <w:t xml:space="preserve">SPORT </w:t>
            </w:r>
            <w:r>
              <w:rPr>
                <w:sz w:val="18"/>
                <w:szCs w:val="18"/>
                <w:u w:val="single"/>
              </w:rPr>
              <w:t>COUNCIL</w:t>
            </w:r>
          </w:p>
        </w:tc>
        <w:tc>
          <w:tcPr>
            <w:tcW w:w="1277" w:type="dxa"/>
            <w:tcBorders>
              <w:top w:val="single" w:sz="4" w:space="0" w:color="auto"/>
              <w:left w:val="single" w:sz="4" w:space="0" w:color="auto"/>
            </w:tcBorders>
            <w:shd w:val="clear" w:color="auto" w:fill="FFFFFF"/>
            <w:vAlign w:val="bottom"/>
          </w:tcPr>
          <w:p w:rsidR="00BA6524" w:rsidRDefault="00BD4AFA">
            <w:pPr>
              <w:pStyle w:val="Other0"/>
              <w:spacing w:after="0"/>
              <w:ind w:firstLine="480"/>
              <w:jc w:val="both"/>
              <w:rPr>
                <w:sz w:val="18"/>
                <w:szCs w:val="18"/>
              </w:rPr>
            </w:pPr>
            <w:r>
              <w:rPr>
                <w:sz w:val="18"/>
                <w:szCs w:val="18"/>
                <w:u w:val="single"/>
              </w:rPr>
              <w:t>1,683,113</w:t>
            </w:r>
          </w:p>
        </w:tc>
        <w:tc>
          <w:tcPr>
            <w:tcW w:w="1138" w:type="dxa"/>
            <w:tcBorders>
              <w:top w:val="single" w:sz="4" w:space="0" w:color="auto"/>
              <w:left w:val="single" w:sz="4" w:space="0" w:color="auto"/>
            </w:tcBorders>
            <w:shd w:val="clear" w:color="auto" w:fill="FFFFFF"/>
          </w:tcPr>
          <w:p w:rsidR="00BA6524" w:rsidRDefault="00BA6524">
            <w:pPr>
              <w:rPr>
                <w:sz w:val="10"/>
                <w:szCs w:val="10"/>
              </w:rPr>
            </w:pPr>
          </w:p>
        </w:tc>
        <w:tc>
          <w:tcPr>
            <w:tcW w:w="1272" w:type="dxa"/>
            <w:tcBorders>
              <w:top w:val="single" w:sz="4" w:space="0" w:color="auto"/>
              <w:left w:val="single" w:sz="4" w:space="0" w:color="auto"/>
            </w:tcBorders>
            <w:shd w:val="clear" w:color="auto" w:fill="FFFFFF"/>
            <w:vAlign w:val="bottom"/>
          </w:tcPr>
          <w:p w:rsidR="00BA6524" w:rsidRDefault="00BD4AFA">
            <w:pPr>
              <w:pStyle w:val="Other0"/>
              <w:spacing w:after="0"/>
              <w:ind w:firstLine="480"/>
              <w:jc w:val="both"/>
              <w:rPr>
                <w:sz w:val="18"/>
                <w:szCs w:val="18"/>
              </w:rPr>
            </w:pPr>
            <w:r>
              <w:rPr>
                <w:sz w:val="18"/>
                <w:szCs w:val="18"/>
              </w:rPr>
              <w:t>1,683,113</w:t>
            </w:r>
          </w:p>
        </w:tc>
        <w:tc>
          <w:tcPr>
            <w:tcW w:w="192" w:type="dxa"/>
            <w:vMerge/>
            <w:shd w:val="clear" w:color="auto" w:fill="FFFFFF"/>
          </w:tcPr>
          <w:p w:rsidR="00BA6524" w:rsidRDefault="00BA6524"/>
        </w:tc>
        <w:tc>
          <w:tcPr>
            <w:tcW w:w="1104"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tcPr>
          <w:p w:rsidR="00BA6524" w:rsidRDefault="00BA6524">
            <w:pPr>
              <w:rPr>
                <w:sz w:val="10"/>
                <w:szCs w:val="10"/>
              </w:rPr>
            </w:pPr>
          </w:p>
        </w:tc>
        <w:tc>
          <w:tcPr>
            <w:tcW w:w="192" w:type="dxa"/>
            <w:vMerge/>
            <w:shd w:val="clear" w:color="auto" w:fill="FFFFFF"/>
          </w:tcPr>
          <w:p w:rsidR="00BA6524" w:rsidRDefault="00BA6524"/>
        </w:tc>
        <w:tc>
          <w:tcPr>
            <w:tcW w:w="1099" w:type="dxa"/>
            <w:tcBorders>
              <w:top w:val="single" w:sz="4" w:space="0" w:color="auto"/>
              <w:left w:val="single" w:sz="4" w:space="0" w:color="auto"/>
            </w:tcBorders>
            <w:shd w:val="clear" w:color="auto" w:fill="FFFFFF"/>
            <w:vAlign w:val="bottom"/>
          </w:tcPr>
          <w:p w:rsidR="00BA6524" w:rsidRDefault="00BD4AFA">
            <w:pPr>
              <w:pStyle w:val="Other0"/>
              <w:spacing w:after="0"/>
              <w:ind w:firstLine="300"/>
              <w:jc w:val="both"/>
              <w:rPr>
                <w:sz w:val="18"/>
                <w:szCs w:val="18"/>
              </w:rPr>
            </w:pPr>
            <w:r>
              <w:rPr>
                <w:sz w:val="18"/>
                <w:szCs w:val="18"/>
              </w:rPr>
              <w:t>1,683,113</w:t>
            </w:r>
          </w:p>
        </w:tc>
        <w:tc>
          <w:tcPr>
            <w:tcW w:w="1138" w:type="dxa"/>
            <w:tcBorders>
              <w:top w:val="single" w:sz="4" w:space="0" w:color="auto"/>
              <w:left w:val="single" w:sz="4" w:space="0" w:color="auto"/>
            </w:tcBorders>
            <w:shd w:val="clear" w:color="auto" w:fill="FFFFFF"/>
          </w:tcPr>
          <w:p w:rsidR="00BA6524" w:rsidRDefault="00BA6524">
            <w:pPr>
              <w:rPr>
                <w:sz w:val="10"/>
                <w:szCs w:val="10"/>
              </w:rPr>
            </w:pPr>
          </w:p>
        </w:tc>
        <w:tc>
          <w:tcPr>
            <w:tcW w:w="1440" w:type="dxa"/>
            <w:tcBorders>
              <w:top w:val="single" w:sz="4" w:space="0" w:color="auto"/>
              <w:left w:val="single" w:sz="4" w:space="0" w:color="auto"/>
              <w:right w:val="single" w:sz="4" w:space="0" w:color="auto"/>
            </w:tcBorders>
            <w:shd w:val="clear" w:color="auto" w:fill="FFFFFF"/>
            <w:vAlign w:val="bottom"/>
          </w:tcPr>
          <w:p w:rsidR="00BA6524" w:rsidRDefault="00BD4AFA">
            <w:pPr>
              <w:pStyle w:val="Other0"/>
              <w:spacing w:after="0"/>
              <w:ind w:firstLine="620"/>
              <w:jc w:val="both"/>
              <w:rPr>
                <w:sz w:val="18"/>
                <w:szCs w:val="18"/>
              </w:rPr>
            </w:pPr>
            <w:r>
              <w:rPr>
                <w:sz w:val="18"/>
                <w:szCs w:val="18"/>
              </w:rPr>
              <w:t>1,683,113</w:t>
            </w:r>
          </w:p>
        </w:tc>
      </w:tr>
      <w:tr w:rsidR="00BA6524">
        <w:tblPrEx>
          <w:tblCellMar>
            <w:top w:w="0" w:type="dxa"/>
            <w:bottom w:w="0" w:type="dxa"/>
          </w:tblCellMar>
        </w:tblPrEx>
        <w:trPr>
          <w:trHeight w:hRule="exact" w:val="586"/>
          <w:jc w:val="center"/>
        </w:trPr>
        <w:tc>
          <w:tcPr>
            <w:tcW w:w="1862" w:type="dxa"/>
            <w:shd w:val="clear" w:color="auto" w:fill="2E73B4"/>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jc w:val="center"/>
              <w:rPr>
                <w:sz w:val="16"/>
                <w:szCs w:val="16"/>
              </w:rPr>
            </w:pPr>
            <w:r>
              <w:rPr>
                <w:b/>
                <w:bCs/>
                <w:color w:val="FFFFFF"/>
                <w:sz w:val="16"/>
                <w:szCs w:val="16"/>
              </w:rPr>
              <w:t>TOTAL before Peace Support Operations (PSO)</w:t>
            </w:r>
          </w:p>
        </w:tc>
        <w:tc>
          <w:tcPr>
            <w:tcW w:w="1277" w:type="dxa"/>
            <w:shd w:val="clear" w:color="auto" w:fill="2E73B4"/>
            <w:vAlign w:val="center"/>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ind w:firstLine="300"/>
              <w:jc w:val="both"/>
              <w:rPr>
                <w:sz w:val="16"/>
                <w:szCs w:val="16"/>
              </w:rPr>
            </w:pPr>
            <w:r>
              <w:rPr>
                <w:b/>
                <w:bCs/>
                <w:color w:val="FFFFFF"/>
                <w:sz w:val="16"/>
                <w:szCs w:val="16"/>
              </w:rPr>
              <w:t>158,459,118</w:t>
            </w:r>
          </w:p>
        </w:tc>
        <w:tc>
          <w:tcPr>
            <w:tcW w:w="1138" w:type="dxa"/>
            <w:shd w:val="clear" w:color="auto" w:fill="2E73B4"/>
            <w:vAlign w:val="center"/>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ind w:firstLine="160"/>
              <w:rPr>
                <w:sz w:val="16"/>
                <w:szCs w:val="16"/>
              </w:rPr>
            </w:pPr>
            <w:r>
              <w:rPr>
                <w:b/>
                <w:bCs/>
                <w:color w:val="FFFFFF"/>
                <w:sz w:val="16"/>
                <w:szCs w:val="16"/>
              </w:rPr>
              <w:t>110,257,890</w:t>
            </w:r>
          </w:p>
        </w:tc>
        <w:tc>
          <w:tcPr>
            <w:tcW w:w="1272" w:type="dxa"/>
            <w:shd w:val="clear" w:color="auto" w:fill="2E73B4"/>
            <w:vAlign w:val="center"/>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ind w:firstLine="300"/>
              <w:jc w:val="both"/>
              <w:rPr>
                <w:sz w:val="16"/>
                <w:szCs w:val="16"/>
              </w:rPr>
            </w:pPr>
            <w:r>
              <w:rPr>
                <w:b/>
                <w:bCs/>
                <w:color w:val="FFFFFF"/>
                <w:sz w:val="16"/>
                <w:szCs w:val="16"/>
              </w:rPr>
              <w:t>268,717,008</w:t>
            </w:r>
          </w:p>
        </w:tc>
        <w:tc>
          <w:tcPr>
            <w:tcW w:w="192" w:type="dxa"/>
            <w:vMerge/>
            <w:shd w:val="clear" w:color="auto" w:fill="FFFFFF"/>
          </w:tcPr>
          <w:p w:rsidR="00BA6524" w:rsidRDefault="00BA6524"/>
        </w:tc>
        <w:tc>
          <w:tcPr>
            <w:tcW w:w="1104" w:type="dxa"/>
            <w:shd w:val="clear" w:color="auto" w:fill="2E73B4"/>
            <w:vAlign w:val="center"/>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jc w:val="right"/>
              <w:rPr>
                <w:sz w:val="16"/>
                <w:szCs w:val="16"/>
              </w:rPr>
            </w:pPr>
            <w:r>
              <w:rPr>
                <w:b/>
                <w:bCs/>
                <w:color w:val="FFFFFF"/>
                <w:sz w:val="16"/>
                <w:szCs w:val="16"/>
              </w:rPr>
              <w:t>-</w:t>
            </w:r>
          </w:p>
        </w:tc>
        <w:tc>
          <w:tcPr>
            <w:tcW w:w="1133" w:type="dxa"/>
            <w:shd w:val="clear" w:color="auto" w:fill="2E73B4"/>
            <w:vAlign w:val="bottom"/>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jc w:val="right"/>
              <w:rPr>
                <w:sz w:val="16"/>
                <w:szCs w:val="16"/>
              </w:rPr>
            </w:pPr>
            <w:r>
              <w:rPr>
                <w:b/>
                <w:bCs/>
                <w:color w:val="FFFFFF"/>
                <w:sz w:val="16"/>
                <w:szCs w:val="16"/>
              </w:rPr>
              <w:t>139,499,189</w:t>
            </w:r>
          </w:p>
        </w:tc>
        <w:tc>
          <w:tcPr>
            <w:tcW w:w="1133" w:type="dxa"/>
            <w:shd w:val="clear" w:color="auto" w:fill="2E73B4"/>
            <w:vAlign w:val="center"/>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ind w:firstLine="160"/>
              <w:jc w:val="both"/>
              <w:rPr>
                <w:sz w:val="16"/>
                <w:szCs w:val="16"/>
              </w:rPr>
            </w:pPr>
            <w:r>
              <w:rPr>
                <w:b/>
                <w:bCs/>
                <w:color w:val="FFFFFF"/>
                <w:sz w:val="16"/>
                <w:szCs w:val="16"/>
              </w:rPr>
              <w:t>139,499,189</w:t>
            </w:r>
          </w:p>
        </w:tc>
        <w:tc>
          <w:tcPr>
            <w:tcW w:w="192" w:type="dxa"/>
            <w:vMerge/>
            <w:shd w:val="clear" w:color="auto" w:fill="FFFFFF"/>
          </w:tcPr>
          <w:p w:rsidR="00BA6524" w:rsidRDefault="00BA6524"/>
        </w:tc>
        <w:tc>
          <w:tcPr>
            <w:tcW w:w="1099" w:type="dxa"/>
            <w:shd w:val="clear" w:color="auto" w:fill="2E73B4"/>
            <w:vAlign w:val="bottom"/>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ind w:firstLine="140"/>
              <w:jc w:val="both"/>
              <w:rPr>
                <w:sz w:val="16"/>
                <w:szCs w:val="16"/>
              </w:rPr>
            </w:pPr>
            <w:r>
              <w:rPr>
                <w:b/>
                <w:bCs/>
                <w:color w:val="FFFFFF"/>
                <w:sz w:val="16"/>
                <w:szCs w:val="16"/>
              </w:rPr>
              <w:t>158,459,118</w:t>
            </w:r>
          </w:p>
        </w:tc>
        <w:tc>
          <w:tcPr>
            <w:tcW w:w="1138" w:type="dxa"/>
            <w:shd w:val="clear" w:color="auto" w:fill="2E73B4"/>
            <w:vAlign w:val="center"/>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jc w:val="right"/>
              <w:rPr>
                <w:sz w:val="16"/>
                <w:szCs w:val="16"/>
              </w:rPr>
            </w:pPr>
            <w:r>
              <w:rPr>
                <w:b/>
                <w:bCs/>
                <w:color w:val="FFFFFF"/>
                <w:sz w:val="16"/>
                <w:szCs w:val="16"/>
              </w:rPr>
              <w:t>249,757,079</w:t>
            </w:r>
          </w:p>
        </w:tc>
        <w:tc>
          <w:tcPr>
            <w:tcW w:w="1440" w:type="dxa"/>
            <w:shd w:val="clear" w:color="auto" w:fill="2E73B4"/>
            <w:vAlign w:val="center"/>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jc w:val="right"/>
              <w:rPr>
                <w:sz w:val="16"/>
                <w:szCs w:val="16"/>
              </w:rPr>
            </w:pPr>
            <w:r>
              <w:rPr>
                <w:b/>
                <w:bCs/>
                <w:color w:val="FFFFFF"/>
                <w:sz w:val="16"/>
                <w:szCs w:val="16"/>
              </w:rPr>
              <w:t>408,216,197</w:t>
            </w:r>
          </w:p>
        </w:tc>
      </w:tr>
    </w:tbl>
    <w:p w:rsidR="00BA6524" w:rsidRDefault="00BD4AF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1277"/>
        <w:gridCol w:w="1142"/>
        <w:gridCol w:w="1267"/>
        <w:gridCol w:w="192"/>
        <w:gridCol w:w="1109"/>
        <w:gridCol w:w="1133"/>
        <w:gridCol w:w="1133"/>
        <w:gridCol w:w="187"/>
        <w:gridCol w:w="1104"/>
        <w:gridCol w:w="1138"/>
        <w:gridCol w:w="1430"/>
      </w:tblGrid>
      <w:tr w:rsidR="00BA6524">
        <w:tblPrEx>
          <w:tblCellMar>
            <w:top w:w="0" w:type="dxa"/>
            <w:bottom w:w="0" w:type="dxa"/>
          </w:tblCellMar>
        </w:tblPrEx>
        <w:trPr>
          <w:trHeight w:hRule="exact" w:val="283"/>
          <w:jc w:val="center"/>
        </w:trPr>
        <w:tc>
          <w:tcPr>
            <w:tcW w:w="12965" w:type="dxa"/>
            <w:gridSpan w:val="12"/>
            <w:tcBorders>
              <w:top w:val="single" w:sz="4" w:space="0" w:color="auto"/>
              <w:left w:val="single" w:sz="4" w:space="0" w:color="auto"/>
              <w:right w:val="single" w:sz="4" w:space="0" w:color="auto"/>
            </w:tcBorders>
            <w:shd w:val="clear" w:color="auto" w:fill="FAE3D5"/>
            <w:vAlign w:val="bottom"/>
          </w:tcPr>
          <w:p w:rsidR="00BA6524" w:rsidRDefault="00BD4AFA">
            <w:pPr>
              <w:pStyle w:val="Other0"/>
              <w:spacing w:after="0"/>
              <w:jc w:val="center"/>
              <w:rPr>
                <w:sz w:val="16"/>
                <w:szCs w:val="16"/>
              </w:rPr>
            </w:pPr>
            <w:r>
              <w:rPr>
                <w:b/>
                <w:bCs/>
                <w:sz w:val="16"/>
                <w:szCs w:val="16"/>
              </w:rPr>
              <w:lastRenderedPageBreak/>
              <w:t>EXCLUDING PSO</w:t>
            </w:r>
          </w:p>
        </w:tc>
      </w:tr>
      <w:tr w:rsidR="00BA6524">
        <w:tblPrEx>
          <w:tblCellMar>
            <w:top w:w="0" w:type="dxa"/>
            <w:bottom w:w="0" w:type="dxa"/>
          </w:tblCellMar>
        </w:tblPrEx>
        <w:trPr>
          <w:trHeight w:hRule="exact" w:val="379"/>
          <w:jc w:val="center"/>
        </w:trPr>
        <w:tc>
          <w:tcPr>
            <w:tcW w:w="1853" w:type="dxa"/>
            <w:tcBorders>
              <w:top w:val="single" w:sz="4" w:space="0" w:color="auto"/>
              <w:left w:val="single" w:sz="4" w:space="0" w:color="auto"/>
            </w:tcBorders>
            <w:shd w:val="clear" w:color="auto" w:fill="FAE3D5"/>
            <w:vAlign w:val="bottom"/>
          </w:tcPr>
          <w:p w:rsidR="00BA6524" w:rsidRDefault="00BD4AFA">
            <w:pPr>
              <w:pStyle w:val="Other0"/>
              <w:spacing w:after="0"/>
              <w:rPr>
                <w:sz w:val="16"/>
                <w:szCs w:val="16"/>
              </w:rPr>
            </w:pPr>
            <w:r>
              <w:rPr>
                <w:b/>
                <w:bCs/>
                <w:sz w:val="16"/>
                <w:szCs w:val="16"/>
              </w:rPr>
              <w:t>Ratio operational &amp; programs</w:t>
            </w:r>
          </w:p>
        </w:tc>
        <w:tc>
          <w:tcPr>
            <w:tcW w:w="1277" w:type="dxa"/>
            <w:tcBorders>
              <w:top w:val="single" w:sz="4" w:space="0" w:color="auto"/>
              <w:left w:val="single" w:sz="4" w:space="0" w:color="auto"/>
            </w:tcBorders>
            <w:shd w:val="clear" w:color="auto" w:fill="FAE3D5"/>
            <w:vAlign w:val="bottom"/>
          </w:tcPr>
          <w:p w:rsidR="00BA6524" w:rsidRDefault="00BD4AFA">
            <w:pPr>
              <w:pStyle w:val="Other0"/>
              <w:spacing w:after="0"/>
              <w:jc w:val="center"/>
              <w:rPr>
                <w:sz w:val="16"/>
                <w:szCs w:val="16"/>
              </w:rPr>
            </w:pPr>
            <w:r>
              <w:rPr>
                <w:b/>
                <w:bCs/>
                <w:sz w:val="16"/>
                <w:szCs w:val="16"/>
              </w:rPr>
              <w:t>59%</w:t>
            </w:r>
          </w:p>
        </w:tc>
        <w:tc>
          <w:tcPr>
            <w:tcW w:w="1142" w:type="dxa"/>
            <w:tcBorders>
              <w:top w:val="single" w:sz="4" w:space="0" w:color="auto"/>
              <w:left w:val="single" w:sz="4" w:space="0" w:color="auto"/>
            </w:tcBorders>
            <w:shd w:val="clear" w:color="auto" w:fill="FAE3D5"/>
            <w:vAlign w:val="bottom"/>
          </w:tcPr>
          <w:p w:rsidR="00BA6524" w:rsidRDefault="00BD4AFA">
            <w:pPr>
              <w:pStyle w:val="Other0"/>
              <w:spacing w:after="0"/>
              <w:jc w:val="center"/>
              <w:rPr>
                <w:sz w:val="16"/>
                <w:szCs w:val="16"/>
              </w:rPr>
            </w:pPr>
            <w:r>
              <w:rPr>
                <w:b/>
                <w:bCs/>
                <w:sz w:val="16"/>
                <w:szCs w:val="16"/>
              </w:rPr>
              <w:t>41%</w:t>
            </w:r>
          </w:p>
        </w:tc>
        <w:tc>
          <w:tcPr>
            <w:tcW w:w="1267" w:type="dxa"/>
            <w:tcBorders>
              <w:top w:val="single" w:sz="4" w:space="0" w:color="auto"/>
              <w:left w:val="single" w:sz="4" w:space="0" w:color="auto"/>
            </w:tcBorders>
            <w:shd w:val="clear" w:color="auto" w:fill="FAE3D5"/>
            <w:vAlign w:val="bottom"/>
          </w:tcPr>
          <w:p w:rsidR="00BA6524" w:rsidRDefault="00BD4AFA">
            <w:pPr>
              <w:pStyle w:val="Other0"/>
              <w:spacing w:after="0"/>
              <w:jc w:val="center"/>
              <w:rPr>
                <w:sz w:val="16"/>
                <w:szCs w:val="16"/>
              </w:rPr>
            </w:pPr>
            <w:r>
              <w:rPr>
                <w:b/>
                <w:bCs/>
                <w:sz w:val="16"/>
                <w:szCs w:val="16"/>
              </w:rPr>
              <w:t>100%</w:t>
            </w:r>
          </w:p>
        </w:tc>
        <w:tc>
          <w:tcPr>
            <w:tcW w:w="192" w:type="dxa"/>
            <w:vMerge w:val="restart"/>
            <w:tcBorders>
              <w:top w:val="single" w:sz="4" w:space="0" w:color="auto"/>
              <w:left w:val="single" w:sz="4" w:space="0" w:color="auto"/>
            </w:tcBorders>
            <w:shd w:val="clear" w:color="auto" w:fill="FFFFFF"/>
          </w:tcPr>
          <w:p w:rsidR="00BA6524" w:rsidRDefault="00BA6524">
            <w:pPr>
              <w:rPr>
                <w:sz w:val="10"/>
                <w:szCs w:val="10"/>
              </w:rPr>
            </w:pPr>
          </w:p>
        </w:tc>
        <w:tc>
          <w:tcPr>
            <w:tcW w:w="1109" w:type="dxa"/>
            <w:tcBorders>
              <w:top w:val="single" w:sz="4" w:space="0" w:color="auto"/>
              <w:left w:val="single" w:sz="4" w:space="0" w:color="auto"/>
            </w:tcBorders>
            <w:shd w:val="clear" w:color="auto" w:fill="FAE3D5"/>
            <w:vAlign w:val="bottom"/>
          </w:tcPr>
          <w:p w:rsidR="00BA6524" w:rsidRDefault="00BD4AFA">
            <w:pPr>
              <w:pStyle w:val="Other0"/>
              <w:spacing w:after="0"/>
              <w:jc w:val="center"/>
              <w:rPr>
                <w:sz w:val="16"/>
                <w:szCs w:val="16"/>
              </w:rPr>
            </w:pPr>
            <w:r>
              <w:rPr>
                <w:b/>
                <w:bCs/>
                <w:sz w:val="16"/>
                <w:szCs w:val="16"/>
              </w:rPr>
              <w:t>0%</w:t>
            </w:r>
          </w:p>
        </w:tc>
        <w:tc>
          <w:tcPr>
            <w:tcW w:w="1133" w:type="dxa"/>
            <w:tcBorders>
              <w:top w:val="single" w:sz="4" w:space="0" w:color="auto"/>
              <w:left w:val="single" w:sz="4" w:space="0" w:color="auto"/>
            </w:tcBorders>
            <w:shd w:val="clear" w:color="auto" w:fill="FAE3D5"/>
            <w:vAlign w:val="bottom"/>
          </w:tcPr>
          <w:p w:rsidR="00BA6524" w:rsidRDefault="00BD4AFA">
            <w:pPr>
              <w:pStyle w:val="Other0"/>
              <w:spacing w:after="0"/>
              <w:ind w:firstLine="320"/>
              <w:rPr>
                <w:sz w:val="16"/>
                <w:szCs w:val="16"/>
              </w:rPr>
            </w:pPr>
            <w:r>
              <w:rPr>
                <w:b/>
                <w:bCs/>
                <w:sz w:val="16"/>
                <w:szCs w:val="16"/>
              </w:rPr>
              <w:t>100%</w:t>
            </w:r>
          </w:p>
        </w:tc>
        <w:tc>
          <w:tcPr>
            <w:tcW w:w="1133" w:type="dxa"/>
            <w:tcBorders>
              <w:top w:val="single" w:sz="4" w:space="0" w:color="auto"/>
              <w:left w:val="single" w:sz="4" w:space="0" w:color="auto"/>
            </w:tcBorders>
            <w:shd w:val="clear" w:color="auto" w:fill="FAE3D5"/>
            <w:vAlign w:val="bottom"/>
          </w:tcPr>
          <w:p w:rsidR="00BA6524" w:rsidRDefault="00BD4AFA">
            <w:pPr>
              <w:pStyle w:val="Other0"/>
              <w:spacing w:after="0"/>
              <w:jc w:val="right"/>
              <w:rPr>
                <w:sz w:val="16"/>
                <w:szCs w:val="16"/>
              </w:rPr>
            </w:pPr>
            <w:r>
              <w:rPr>
                <w:b/>
                <w:bCs/>
                <w:sz w:val="16"/>
                <w:szCs w:val="16"/>
              </w:rPr>
              <w:t>100%</w:t>
            </w:r>
          </w:p>
        </w:tc>
        <w:tc>
          <w:tcPr>
            <w:tcW w:w="187" w:type="dxa"/>
            <w:vMerge w:val="restart"/>
            <w:tcBorders>
              <w:top w:val="single" w:sz="4" w:space="0" w:color="auto"/>
              <w:left w:val="single" w:sz="4" w:space="0" w:color="auto"/>
            </w:tcBorders>
            <w:shd w:val="clear" w:color="auto" w:fill="FFFFFF"/>
          </w:tcPr>
          <w:p w:rsidR="00BA6524" w:rsidRDefault="00BA6524">
            <w:pPr>
              <w:rPr>
                <w:sz w:val="10"/>
                <w:szCs w:val="10"/>
              </w:rPr>
            </w:pPr>
          </w:p>
        </w:tc>
        <w:tc>
          <w:tcPr>
            <w:tcW w:w="1104" w:type="dxa"/>
            <w:tcBorders>
              <w:top w:val="single" w:sz="4" w:space="0" w:color="auto"/>
              <w:left w:val="single" w:sz="4" w:space="0" w:color="auto"/>
            </w:tcBorders>
            <w:shd w:val="clear" w:color="auto" w:fill="FAE3D5"/>
            <w:vAlign w:val="bottom"/>
          </w:tcPr>
          <w:p w:rsidR="00BA6524" w:rsidRDefault="00BD4AFA">
            <w:pPr>
              <w:pStyle w:val="Other0"/>
              <w:spacing w:after="0"/>
              <w:ind w:firstLine="380"/>
              <w:rPr>
                <w:sz w:val="16"/>
                <w:szCs w:val="16"/>
              </w:rPr>
            </w:pPr>
            <w:r>
              <w:rPr>
                <w:b/>
                <w:bCs/>
                <w:sz w:val="16"/>
                <w:szCs w:val="16"/>
              </w:rPr>
              <w:t>39%</w:t>
            </w:r>
          </w:p>
        </w:tc>
        <w:tc>
          <w:tcPr>
            <w:tcW w:w="1138" w:type="dxa"/>
            <w:tcBorders>
              <w:top w:val="single" w:sz="4" w:space="0" w:color="auto"/>
              <w:left w:val="single" w:sz="4" w:space="0" w:color="auto"/>
            </w:tcBorders>
            <w:shd w:val="clear" w:color="auto" w:fill="FAE3D5"/>
            <w:vAlign w:val="bottom"/>
          </w:tcPr>
          <w:p w:rsidR="00BA6524" w:rsidRDefault="00BD4AFA">
            <w:pPr>
              <w:pStyle w:val="Other0"/>
              <w:spacing w:after="0"/>
              <w:ind w:firstLine="400"/>
              <w:rPr>
                <w:sz w:val="16"/>
                <w:szCs w:val="16"/>
              </w:rPr>
            </w:pPr>
            <w:r>
              <w:rPr>
                <w:b/>
                <w:bCs/>
                <w:sz w:val="16"/>
                <w:szCs w:val="16"/>
              </w:rPr>
              <w:t>61%</w:t>
            </w:r>
          </w:p>
        </w:tc>
        <w:tc>
          <w:tcPr>
            <w:tcW w:w="1430" w:type="dxa"/>
            <w:tcBorders>
              <w:top w:val="single" w:sz="4" w:space="0" w:color="auto"/>
              <w:left w:val="single" w:sz="4" w:space="0" w:color="auto"/>
              <w:right w:val="single" w:sz="4" w:space="0" w:color="auto"/>
            </w:tcBorders>
            <w:shd w:val="clear" w:color="auto" w:fill="FAE3D5"/>
            <w:vAlign w:val="bottom"/>
          </w:tcPr>
          <w:p w:rsidR="00BA6524" w:rsidRDefault="00BD4AFA">
            <w:pPr>
              <w:pStyle w:val="Other0"/>
              <w:spacing w:after="0"/>
              <w:jc w:val="right"/>
              <w:rPr>
                <w:sz w:val="16"/>
                <w:szCs w:val="16"/>
              </w:rPr>
            </w:pPr>
            <w:r>
              <w:rPr>
                <w:b/>
                <w:bCs/>
                <w:sz w:val="16"/>
                <w:szCs w:val="16"/>
              </w:rPr>
              <w:t>100%</w:t>
            </w:r>
          </w:p>
        </w:tc>
      </w:tr>
      <w:tr w:rsidR="00BA6524">
        <w:tblPrEx>
          <w:tblCellMar>
            <w:top w:w="0" w:type="dxa"/>
            <w:bottom w:w="0" w:type="dxa"/>
          </w:tblCellMar>
        </w:tblPrEx>
        <w:trPr>
          <w:trHeight w:hRule="exact" w:val="389"/>
          <w:jc w:val="center"/>
        </w:trPr>
        <w:tc>
          <w:tcPr>
            <w:tcW w:w="1853" w:type="dxa"/>
            <w:tcBorders>
              <w:top w:val="single" w:sz="4" w:space="0" w:color="auto"/>
              <w:left w:val="single" w:sz="4" w:space="0" w:color="auto"/>
            </w:tcBorders>
            <w:shd w:val="clear" w:color="auto" w:fill="FAE3D5"/>
            <w:vAlign w:val="bottom"/>
          </w:tcPr>
          <w:p w:rsidR="00BA6524" w:rsidRDefault="00BD4AFA">
            <w:pPr>
              <w:pStyle w:val="Other0"/>
              <w:spacing w:after="0"/>
              <w:rPr>
                <w:sz w:val="16"/>
                <w:szCs w:val="16"/>
              </w:rPr>
            </w:pPr>
            <w:r>
              <w:rPr>
                <w:b/>
                <w:bCs/>
                <w:sz w:val="16"/>
                <w:szCs w:val="16"/>
              </w:rPr>
              <w:t>Funding on total budget</w:t>
            </w:r>
          </w:p>
        </w:tc>
        <w:tc>
          <w:tcPr>
            <w:tcW w:w="3686" w:type="dxa"/>
            <w:gridSpan w:val="3"/>
            <w:tcBorders>
              <w:top w:val="single" w:sz="4" w:space="0" w:color="auto"/>
              <w:left w:val="single" w:sz="4" w:space="0" w:color="auto"/>
            </w:tcBorders>
            <w:shd w:val="clear" w:color="auto" w:fill="FAE3D5"/>
            <w:vAlign w:val="center"/>
          </w:tcPr>
          <w:p w:rsidR="00BA6524" w:rsidRDefault="00BD4AFA">
            <w:pPr>
              <w:pStyle w:val="Other0"/>
              <w:spacing w:after="0"/>
              <w:jc w:val="center"/>
              <w:rPr>
                <w:sz w:val="16"/>
                <w:szCs w:val="16"/>
              </w:rPr>
            </w:pPr>
            <w:r>
              <w:rPr>
                <w:b/>
                <w:bCs/>
                <w:sz w:val="16"/>
                <w:szCs w:val="16"/>
              </w:rPr>
              <w:t>66%</w:t>
            </w:r>
          </w:p>
        </w:tc>
        <w:tc>
          <w:tcPr>
            <w:tcW w:w="192" w:type="dxa"/>
            <w:vMerge/>
            <w:tcBorders>
              <w:left w:val="single" w:sz="4" w:space="0" w:color="auto"/>
            </w:tcBorders>
            <w:shd w:val="clear" w:color="auto" w:fill="FFFFFF"/>
          </w:tcPr>
          <w:p w:rsidR="00BA6524" w:rsidRDefault="00BA6524"/>
        </w:tc>
        <w:tc>
          <w:tcPr>
            <w:tcW w:w="3375" w:type="dxa"/>
            <w:gridSpan w:val="3"/>
            <w:tcBorders>
              <w:top w:val="single" w:sz="4" w:space="0" w:color="auto"/>
              <w:left w:val="single" w:sz="4" w:space="0" w:color="auto"/>
            </w:tcBorders>
            <w:shd w:val="clear" w:color="auto" w:fill="FAE3D5"/>
            <w:vAlign w:val="center"/>
          </w:tcPr>
          <w:p w:rsidR="00BA6524" w:rsidRDefault="00BD4AFA">
            <w:pPr>
              <w:pStyle w:val="Other0"/>
              <w:spacing w:after="0"/>
              <w:jc w:val="center"/>
              <w:rPr>
                <w:sz w:val="16"/>
                <w:szCs w:val="16"/>
              </w:rPr>
            </w:pPr>
            <w:r>
              <w:rPr>
                <w:b/>
                <w:bCs/>
                <w:sz w:val="16"/>
                <w:szCs w:val="16"/>
              </w:rPr>
              <w:t>34%</w:t>
            </w:r>
          </w:p>
        </w:tc>
        <w:tc>
          <w:tcPr>
            <w:tcW w:w="187" w:type="dxa"/>
            <w:vMerge/>
            <w:tcBorders>
              <w:left w:val="single" w:sz="4" w:space="0" w:color="auto"/>
            </w:tcBorders>
            <w:shd w:val="clear" w:color="auto" w:fill="FFFFFF"/>
          </w:tcPr>
          <w:p w:rsidR="00BA6524" w:rsidRDefault="00BA6524"/>
        </w:tc>
        <w:tc>
          <w:tcPr>
            <w:tcW w:w="3672" w:type="dxa"/>
            <w:gridSpan w:val="3"/>
            <w:tcBorders>
              <w:top w:val="single" w:sz="4" w:space="0" w:color="auto"/>
              <w:left w:val="single" w:sz="4" w:space="0" w:color="auto"/>
              <w:right w:val="single" w:sz="4" w:space="0" w:color="auto"/>
            </w:tcBorders>
            <w:shd w:val="clear" w:color="auto" w:fill="FAE3D5"/>
            <w:vAlign w:val="center"/>
          </w:tcPr>
          <w:p w:rsidR="00BA6524" w:rsidRDefault="00BD4AFA">
            <w:pPr>
              <w:pStyle w:val="Other0"/>
              <w:spacing w:after="0"/>
              <w:jc w:val="center"/>
              <w:rPr>
                <w:sz w:val="16"/>
                <w:szCs w:val="16"/>
              </w:rPr>
            </w:pPr>
            <w:r>
              <w:rPr>
                <w:b/>
                <w:bCs/>
                <w:sz w:val="16"/>
                <w:szCs w:val="16"/>
              </w:rPr>
              <w:t>100%</w:t>
            </w:r>
          </w:p>
        </w:tc>
      </w:tr>
      <w:tr w:rsidR="00BA6524">
        <w:tblPrEx>
          <w:tblCellMar>
            <w:top w:w="0" w:type="dxa"/>
            <w:bottom w:w="0" w:type="dxa"/>
          </w:tblCellMar>
        </w:tblPrEx>
        <w:trPr>
          <w:trHeight w:hRule="exact" w:val="278"/>
          <w:jc w:val="center"/>
        </w:trPr>
        <w:tc>
          <w:tcPr>
            <w:tcW w:w="1853" w:type="dxa"/>
            <w:tcBorders>
              <w:top w:val="single" w:sz="4" w:space="0" w:color="auto"/>
              <w:left w:val="single" w:sz="4" w:space="0" w:color="auto"/>
            </w:tcBorders>
            <w:shd w:val="clear" w:color="auto" w:fill="FFFFFF"/>
          </w:tcPr>
          <w:p w:rsidR="00BA6524" w:rsidRDefault="00BA6524">
            <w:pPr>
              <w:rPr>
                <w:sz w:val="10"/>
                <w:szCs w:val="10"/>
              </w:rPr>
            </w:pPr>
          </w:p>
        </w:tc>
        <w:tc>
          <w:tcPr>
            <w:tcW w:w="1277" w:type="dxa"/>
            <w:tcBorders>
              <w:top w:val="single" w:sz="4" w:space="0" w:color="auto"/>
              <w:left w:val="single" w:sz="4" w:space="0" w:color="auto"/>
            </w:tcBorders>
            <w:shd w:val="clear" w:color="auto" w:fill="FFFFFF"/>
          </w:tcPr>
          <w:p w:rsidR="00BA6524" w:rsidRDefault="00BA6524">
            <w:pPr>
              <w:rPr>
                <w:sz w:val="10"/>
                <w:szCs w:val="10"/>
              </w:rPr>
            </w:pPr>
          </w:p>
        </w:tc>
        <w:tc>
          <w:tcPr>
            <w:tcW w:w="1142" w:type="dxa"/>
            <w:tcBorders>
              <w:top w:val="single" w:sz="4" w:space="0" w:color="auto"/>
              <w:left w:val="single" w:sz="4" w:space="0" w:color="auto"/>
            </w:tcBorders>
            <w:shd w:val="clear" w:color="auto" w:fill="FFFFFF"/>
          </w:tcPr>
          <w:p w:rsidR="00BA6524" w:rsidRDefault="00BA6524">
            <w:pPr>
              <w:rPr>
                <w:sz w:val="10"/>
                <w:szCs w:val="10"/>
              </w:rPr>
            </w:pPr>
          </w:p>
        </w:tc>
        <w:tc>
          <w:tcPr>
            <w:tcW w:w="1267" w:type="dxa"/>
            <w:tcBorders>
              <w:top w:val="single" w:sz="4" w:space="0" w:color="auto"/>
              <w:left w:val="single" w:sz="4" w:space="0" w:color="auto"/>
            </w:tcBorders>
            <w:shd w:val="clear" w:color="auto" w:fill="FFFFFF"/>
          </w:tcPr>
          <w:p w:rsidR="00BA6524" w:rsidRDefault="00BA6524">
            <w:pPr>
              <w:rPr>
                <w:sz w:val="10"/>
                <w:szCs w:val="10"/>
              </w:rPr>
            </w:pPr>
          </w:p>
        </w:tc>
        <w:tc>
          <w:tcPr>
            <w:tcW w:w="192" w:type="dxa"/>
            <w:tcBorders>
              <w:top w:val="single" w:sz="4" w:space="0" w:color="auto"/>
              <w:left w:val="single" w:sz="4" w:space="0" w:color="auto"/>
            </w:tcBorders>
            <w:shd w:val="clear" w:color="auto" w:fill="FFFFFF"/>
          </w:tcPr>
          <w:p w:rsidR="00BA6524" w:rsidRDefault="00BA6524">
            <w:pPr>
              <w:rPr>
                <w:sz w:val="10"/>
                <w:szCs w:val="10"/>
              </w:rPr>
            </w:pPr>
          </w:p>
        </w:tc>
        <w:tc>
          <w:tcPr>
            <w:tcW w:w="2242" w:type="dxa"/>
            <w:gridSpan w:val="2"/>
            <w:tcBorders>
              <w:top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tcPr>
          <w:p w:rsidR="00BA6524" w:rsidRDefault="00BA6524">
            <w:pPr>
              <w:rPr>
                <w:sz w:val="10"/>
                <w:szCs w:val="10"/>
              </w:rPr>
            </w:pPr>
          </w:p>
        </w:tc>
        <w:tc>
          <w:tcPr>
            <w:tcW w:w="187" w:type="dxa"/>
            <w:tcBorders>
              <w:top w:val="single" w:sz="4" w:space="0" w:color="auto"/>
              <w:left w:val="single" w:sz="4" w:space="0" w:color="auto"/>
            </w:tcBorders>
            <w:shd w:val="clear" w:color="auto" w:fill="FFFFFF"/>
          </w:tcPr>
          <w:p w:rsidR="00BA6524" w:rsidRDefault="00BA6524">
            <w:pPr>
              <w:rPr>
                <w:sz w:val="10"/>
                <w:szCs w:val="10"/>
              </w:rPr>
            </w:pPr>
          </w:p>
        </w:tc>
        <w:tc>
          <w:tcPr>
            <w:tcW w:w="1104" w:type="dxa"/>
            <w:tcBorders>
              <w:top w:val="single" w:sz="4" w:space="0" w:color="auto"/>
            </w:tcBorders>
            <w:shd w:val="clear" w:color="auto" w:fill="FFFFFF"/>
          </w:tcPr>
          <w:p w:rsidR="00BA6524" w:rsidRDefault="00BA6524">
            <w:pPr>
              <w:rPr>
                <w:sz w:val="10"/>
                <w:szCs w:val="10"/>
              </w:rPr>
            </w:pPr>
          </w:p>
        </w:tc>
        <w:tc>
          <w:tcPr>
            <w:tcW w:w="1138" w:type="dxa"/>
            <w:tcBorders>
              <w:top w:val="single" w:sz="4" w:space="0" w:color="auto"/>
              <w:left w:val="single" w:sz="4" w:space="0" w:color="auto"/>
            </w:tcBorders>
            <w:shd w:val="clear" w:color="auto" w:fill="FFFFFF"/>
          </w:tcPr>
          <w:p w:rsidR="00BA6524" w:rsidRDefault="00BA6524">
            <w:pPr>
              <w:rPr>
                <w:sz w:val="10"/>
                <w:szCs w:val="10"/>
              </w:rPr>
            </w:pPr>
          </w:p>
        </w:tc>
        <w:tc>
          <w:tcPr>
            <w:tcW w:w="1430" w:type="dxa"/>
            <w:tcBorders>
              <w:top w:val="single" w:sz="4" w:space="0" w:color="auto"/>
              <w:left w:val="single" w:sz="4" w:space="0" w:color="auto"/>
              <w:right w:val="single" w:sz="4" w:space="0" w:color="auto"/>
            </w:tcBorders>
            <w:shd w:val="clear" w:color="auto" w:fill="FFFFFF"/>
          </w:tcPr>
          <w:p w:rsidR="00BA6524" w:rsidRDefault="00BA6524">
            <w:pPr>
              <w:rPr>
                <w:sz w:val="10"/>
                <w:szCs w:val="10"/>
              </w:rPr>
            </w:pPr>
          </w:p>
        </w:tc>
      </w:tr>
      <w:tr w:rsidR="00BA6524">
        <w:tblPrEx>
          <w:tblCellMar>
            <w:top w:w="0" w:type="dxa"/>
            <w:bottom w:w="0" w:type="dxa"/>
          </w:tblCellMar>
        </w:tblPrEx>
        <w:trPr>
          <w:trHeight w:hRule="exact" w:val="197"/>
          <w:jc w:val="center"/>
        </w:trPr>
        <w:tc>
          <w:tcPr>
            <w:tcW w:w="5539" w:type="dxa"/>
            <w:gridSpan w:val="4"/>
            <w:tcBorders>
              <w:top w:val="single" w:sz="4" w:space="0" w:color="auto"/>
              <w:left w:val="single" w:sz="4" w:space="0" w:color="auto"/>
            </w:tcBorders>
            <w:shd w:val="clear" w:color="auto" w:fill="D9D9D9"/>
            <w:vAlign w:val="bottom"/>
          </w:tcPr>
          <w:p w:rsidR="00BA6524" w:rsidRDefault="00BD4AFA">
            <w:pPr>
              <w:pStyle w:val="Other0"/>
              <w:spacing w:after="0"/>
              <w:jc w:val="center"/>
              <w:rPr>
                <w:sz w:val="16"/>
                <w:szCs w:val="16"/>
              </w:rPr>
            </w:pPr>
            <w:r>
              <w:rPr>
                <w:b/>
                <w:bCs/>
                <w:sz w:val="16"/>
                <w:szCs w:val="16"/>
              </w:rPr>
              <w:t>PEACE OPERATIONS</w:t>
            </w:r>
          </w:p>
        </w:tc>
        <w:tc>
          <w:tcPr>
            <w:tcW w:w="192" w:type="dxa"/>
            <w:vMerge w:val="restart"/>
            <w:shd w:val="clear" w:color="auto" w:fill="FFFFFF"/>
          </w:tcPr>
          <w:p w:rsidR="00BA6524" w:rsidRDefault="00BA6524">
            <w:pPr>
              <w:rPr>
                <w:sz w:val="10"/>
                <w:szCs w:val="10"/>
              </w:rPr>
            </w:pPr>
          </w:p>
        </w:tc>
        <w:tc>
          <w:tcPr>
            <w:tcW w:w="1109" w:type="dxa"/>
            <w:tcBorders>
              <w:top w:val="single" w:sz="4" w:space="0" w:color="auto"/>
              <w:left w:val="single" w:sz="4" w:space="0" w:color="auto"/>
            </w:tcBorders>
            <w:shd w:val="clear" w:color="auto" w:fill="D9D9D9"/>
          </w:tcPr>
          <w:p w:rsidR="00BA6524" w:rsidRDefault="00BA6524">
            <w:pPr>
              <w:rPr>
                <w:sz w:val="10"/>
                <w:szCs w:val="10"/>
              </w:rPr>
            </w:pPr>
          </w:p>
        </w:tc>
        <w:tc>
          <w:tcPr>
            <w:tcW w:w="1133" w:type="dxa"/>
            <w:tcBorders>
              <w:top w:val="single" w:sz="4" w:space="0" w:color="auto"/>
              <w:left w:val="single" w:sz="4" w:space="0" w:color="auto"/>
            </w:tcBorders>
            <w:shd w:val="clear" w:color="auto" w:fill="D9D9D9"/>
          </w:tcPr>
          <w:p w:rsidR="00BA6524" w:rsidRDefault="00BA6524">
            <w:pPr>
              <w:rPr>
                <w:sz w:val="10"/>
                <w:szCs w:val="10"/>
              </w:rPr>
            </w:pPr>
          </w:p>
        </w:tc>
        <w:tc>
          <w:tcPr>
            <w:tcW w:w="1133" w:type="dxa"/>
            <w:tcBorders>
              <w:top w:val="single" w:sz="4" w:space="0" w:color="auto"/>
              <w:left w:val="single" w:sz="4" w:space="0" w:color="auto"/>
            </w:tcBorders>
            <w:shd w:val="clear" w:color="auto" w:fill="D9D9D9"/>
          </w:tcPr>
          <w:p w:rsidR="00BA6524" w:rsidRDefault="00BA6524">
            <w:pPr>
              <w:rPr>
                <w:sz w:val="10"/>
                <w:szCs w:val="10"/>
              </w:rPr>
            </w:pPr>
          </w:p>
        </w:tc>
        <w:tc>
          <w:tcPr>
            <w:tcW w:w="187" w:type="dxa"/>
            <w:vMerge w:val="restart"/>
            <w:shd w:val="clear" w:color="auto" w:fill="FFFFFF"/>
          </w:tcPr>
          <w:p w:rsidR="00BA6524" w:rsidRDefault="00BA6524">
            <w:pPr>
              <w:rPr>
                <w:sz w:val="10"/>
                <w:szCs w:val="10"/>
              </w:rPr>
            </w:pPr>
          </w:p>
        </w:tc>
        <w:tc>
          <w:tcPr>
            <w:tcW w:w="1104" w:type="dxa"/>
            <w:tcBorders>
              <w:top w:val="single" w:sz="4" w:space="0" w:color="auto"/>
              <w:left w:val="single" w:sz="4" w:space="0" w:color="auto"/>
            </w:tcBorders>
            <w:shd w:val="clear" w:color="auto" w:fill="D9D9D9"/>
          </w:tcPr>
          <w:p w:rsidR="00BA6524" w:rsidRDefault="00BA6524">
            <w:pPr>
              <w:rPr>
                <w:sz w:val="10"/>
                <w:szCs w:val="10"/>
              </w:rPr>
            </w:pPr>
          </w:p>
        </w:tc>
        <w:tc>
          <w:tcPr>
            <w:tcW w:w="1138" w:type="dxa"/>
            <w:tcBorders>
              <w:top w:val="single" w:sz="4" w:space="0" w:color="auto"/>
              <w:left w:val="single" w:sz="4" w:space="0" w:color="auto"/>
            </w:tcBorders>
            <w:shd w:val="clear" w:color="auto" w:fill="D9D9D9"/>
          </w:tcPr>
          <w:p w:rsidR="00BA6524" w:rsidRDefault="00BA6524">
            <w:pPr>
              <w:rPr>
                <w:sz w:val="10"/>
                <w:szCs w:val="10"/>
              </w:rPr>
            </w:pPr>
          </w:p>
        </w:tc>
        <w:tc>
          <w:tcPr>
            <w:tcW w:w="1430" w:type="dxa"/>
            <w:tcBorders>
              <w:top w:val="single" w:sz="4" w:space="0" w:color="auto"/>
              <w:left w:val="single" w:sz="4" w:space="0" w:color="auto"/>
              <w:right w:val="single" w:sz="4" w:space="0" w:color="auto"/>
            </w:tcBorders>
            <w:shd w:val="clear" w:color="auto" w:fill="D9D9D9"/>
          </w:tcPr>
          <w:p w:rsidR="00BA6524" w:rsidRDefault="00BA6524">
            <w:pPr>
              <w:rPr>
                <w:sz w:val="10"/>
                <w:szCs w:val="10"/>
              </w:rPr>
            </w:pPr>
          </w:p>
        </w:tc>
      </w:tr>
      <w:tr w:rsidR="00BA6524">
        <w:tblPrEx>
          <w:tblCellMar>
            <w:top w:w="0" w:type="dxa"/>
            <w:bottom w:w="0" w:type="dxa"/>
          </w:tblCellMar>
        </w:tblPrEx>
        <w:trPr>
          <w:trHeight w:hRule="exact" w:val="370"/>
          <w:jc w:val="center"/>
        </w:trPr>
        <w:tc>
          <w:tcPr>
            <w:tcW w:w="1853" w:type="dxa"/>
            <w:tcBorders>
              <w:top w:val="single" w:sz="4" w:space="0" w:color="auto"/>
              <w:left w:val="single" w:sz="4" w:space="0" w:color="auto"/>
            </w:tcBorders>
            <w:shd w:val="clear" w:color="auto" w:fill="FFFFFF"/>
            <w:vAlign w:val="bottom"/>
          </w:tcPr>
          <w:p w:rsidR="00BA6524" w:rsidRDefault="00BD4AFA">
            <w:pPr>
              <w:pStyle w:val="Other0"/>
              <w:spacing w:after="0"/>
              <w:rPr>
                <w:sz w:val="18"/>
                <w:szCs w:val="18"/>
              </w:rPr>
            </w:pPr>
            <w:r>
              <w:rPr>
                <w:sz w:val="18"/>
                <w:szCs w:val="18"/>
              </w:rPr>
              <w:t>AMISOM</w:t>
            </w:r>
          </w:p>
        </w:tc>
        <w:tc>
          <w:tcPr>
            <w:tcW w:w="1277" w:type="dxa"/>
            <w:tcBorders>
              <w:top w:val="single" w:sz="4" w:space="0" w:color="auto"/>
              <w:left w:val="single" w:sz="4" w:space="0" w:color="auto"/>
            </w:tcBorders>
            <w:shd w:val="clear" w:color="auto" w:fill="FFFFFF"/>
          </w:tcPr>
          <w:p w:rsidR="00BA6524" w:rsidRDefault="00BA6524">
            <w:pPr>
              <w:rPr>
                <w:sz w:val="10"/>
                <w:szCs w:val="10"/>
              </w:rPr>
            </w:pPr>
          </w:p>
        </w:tc>
        <w:tc>
          <w:tcPr>
            <w:tcW w:w="1142" w:type="dxa"/>
            <w:tcBorders>
              <w:top w:val="single" w:sz="4" w:space="0" w:color="auto"/>
              <w:left w:val="single" w:sz="4" w:space="0" w:color="auto"/>
            </w:tcBorders>
            <w:shd w:val="clear" w:color="auto" w:fill="FFFFFF"/>
            <w:vAlign w:val="bottom"/>
          </w:tcPr>
          <w:p w:rsidR="00BA6524" w:rsidRDefault="00BD4AFA">
            <w:pPr>
              <w:pStyle w:val="Other0"/>
              <w:spacing w:after="0"/>
              <w:jc w:val="center"/>
              <w:rPr>
                <w:sz w:val="18"/>
                <w:szCs w:val="18"/>
              </w:rPr>
            </w:pPr>
            <w:r>
              <w:rPr>
                <w:sz w:val="18"/>
                <w:szCs w:val="18"/>
              </w:rPr>
              <w:t>9,727,500</w:t>
            </w:r>
          </w:p>
        </w:tc>
        <w:tc>
          <w:tcPr>
            <w:tcW w:w="1267"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9,727,500</w:t>
            </w:r>
          </w:p>
        </w:tc>
        <w:tc>
          <w:tcPr>
            <w:tcW w:w="192" w:type="dxa"/>
            <w:vMerge/>
            <w:shd w:val="clear" w:color="auto" w:fill="FFFFFF"/>
          </w:tcPr>
          <w:p w:rsidR="00BA6524" w:rsidRDefault="00BA6524"/>
        </w:tc>
        <w:tc>
          <w:tcPr>
            <w:tcW w:w="1109" w:type="dxa"/>
            <w:tcBorders>
              <w:top w:val="single" w:sz="4" w:space="0" w:color="auto"/>
              <w:left w:val="single" w:sz="4" w:space="0" w:color="auto"/>
            </w:tcBorders>
            <w:shd w:val="clear" w:color="auto" w:fill="FFFFFF"/>
            <w:vAlign w:val="bottom"/>
          </w:tcPr>
          <w:p w:rsidR="00BA6524" w:rsidRDefault="00BD4AFA">
            <w:pPr>
              <w:pStyle w:val="Other0"/>
              <w:spacing w:after="0"/>
              <w:jc w:val="center"/>
              <w:rPr>
                <w:sz w:val="18"/>
                <w:szCs w:val="18"/>
              </w:rPr>
            </w:pPr>
            <w:r>
              <w:rPr>
                <w:sz w:val="18"/>
                <w:szCs w:val="18"/>
              </w:rPr>
              <w:t>243,430,467</w:t>
            </w: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4,070,000</w:t>
            </w: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247,500,467</w:t>
            </w:r>
          </w:p>
        </w:tc>
        <w:tc>
          <w:tcPr>
            <w:tcW w:w="187" w:type="dxa"/>
            <w:vMerge/>
            <w:shd w:val="clear" w:color="auto" w:fill="FFFFFF"/>
          </w:tcPr>
          <w:p w:rsidR="00BA6524" w:rsidRDefault="00BA6524"/>
        </w:tc>
        <w:tc>
          <w:tcPr>
            <w:tcW w:w="1104"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243,430,467</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13,797,500</w:t>
            </w:r>
          </w:p>
        </w:tc>
        <w:tc>
          <w:tcPr>
            <w:tcW w:w="1430" w:type="dxa"/>
            <w:tcBorders>
              <w:top w:val="single" w:sz="4" w:space="0" w:color="auto"/>
              <w:left w:val="single" w:sz="4" w:space="0" w:color="auto"/>
              <w:right w:val="single" w:sz="4" w:space="0" w:color="auto"/>
            </w:tcBorders>
            <w:shd w:val="clear" w:color="auto" w:fill="FFFFFF"/>
            <w:vAlign w:val="bottom"/>
          </w:tcPr>
          <w:p w:rsidR="00BA6524" w:rsidRDefault="00BD4AFA">
            <w:pPr>
              <w:pStyle w:val="Other0"/>
              <w:spacing w:after="0"/>
              <w:ind w:firstLine="440"/>
              <w:jc w:val="both"/>
              <w:rPr>
                <w:sz w:val="18"/>
                <w:szCs w:val="18"/>
              </w:rPr>
            </w:pPr>
            <w:r>
              <w:rPr>
                <w:sz w:val="18"/>
                <w:szCs w:val="18"/>
              </w:rPr>
              <w:t>257,227,967</w:t>
            </w:r>
          </w:p>
        </w:tc>
      </w:tr>
      <w:tr w:rsidR="00BA6524">
        <w:tblPrEx>
          <w:tblCellMar>
            <w:top w:w="0" w:type="dxa"/>
            <w:bottom w:w="0" w:type="dxa"/>
          </w:tblCellMar>
        </w:tblPrEx>
        <w:trPr>
          <w:trHeight w:hRule="exact" w:val="374"/>
          <w:jc w:val="center"/>
        </w:trPr>
        <w:tc>
          <w:tcPr>
            <w:tcW w:w="1853" w:type="dxa"/>
            <w:tcBorders>
              <w:top w:val="single" w:sz="4" w:space="0" w:color="auto"/>
              <w:left w:val="single" w:sz="4" w:space="0" w:color="auto"/>
            </w:tcBorders>
            <w:shd w:val="clear" w:color="auto" w:fill="FFFFFF"/>
            <w:vAlign w:val="bottom"/>
          </w:tcPr>
          <w:p w:rsidR="00BA6524" w:rsidRDefault="00BD4AFA">
            <w:pPr>
              <w:pStyle w:val="Other0"/>
              <w:spacing w:after="0"/>
              <w:rPr>
                <w:sz w:val="18"/>
                <w:szCs w:val="18"/>
              </w:rPr>
            </w:pPr>
            <w:r>
              <w:rPr>
                <w:sz w:val="18"/>
                <w:szCs w:val="18"/>
              </w:rPr>
              <w:t>MNJTF</w:t>
            </w:r>
          </w:p>
        </w:tc>
        <w:tc>
          <w:tcPr>
            <w:tcW w:w="1277" w:type="dxa"/>
            <w:tcBorders>
              <w:top w:val="single" w:sz="4" w:space="0" w:color="auto"/>
              <w:left w:val="single" w:sz="4" w:space="0" w:color="auto"/>
            </w:tcBorders>
            <w:shd w:val="clear" w:color="auto" w:fill="FFFFFF"/>
          </w:tcPr>
          <w:p w:rsidR="00BA6524" w:rsidRDefault="00BA6524">
            <w:pPr>
              <w:rPr>
                <w:sz w:val="10"/>
                <w:szCs w:val="10"/>
              </w:rPr>
            </w:pPr>
          </w:p>
        </w:tc>
        <w:tc>
          <w:tcPr>
            <w:tcW w:w="1142" w:type="dxa"/>
            <w:tcBorders>
              <w:top w:val="single" w:sz="4" w:space="0" w:color="auto"/>
              <w:left w:val="single" w:sz="4" w:space="0" w:color="auto"/>
            </w:tcBorders>
            <w:shd w:val="clear" w:color="auto" w:fill="FFFFFF"/>
            <w:vAlign w:val="bottom"/>
          </w:tcPr>
          <w:p w:rsidR="00BA6524" w:rsidRDefault="00BD4AFA">
            <w:pPr>
              <w:pStyle w:val="Other0"/>
              <w:spacing w:after="0"/>
              <w:jc w:val="center"/>
              <w:rPr>
                <w:sz w:val="18"/>
                <w:szCs w:val="18"/>
              </w:rPr>
            </w:pPr>
            <w:r>
              <w:rPr>
                <w:sz w:val="18"/>
                <w:szCs w:val="18"/>
              </w:rPr>
              <w:t>716,140</w:t>
            </w:r>
          </w:p>
        </w:tc>
        <w:tc>
          <w:tcPr>
            <w:tcW w:w="1267" w:type="dxa"/>
            <w:tcBorders>
              <w:top w:val="single" w:sz="4" w:space="0" w:color="auto"/>
              <w:left w:val="single" w:sz="4" w:space="0" w:color="auto"/>
            </w:tcBorders>
            <w:shd w:val="clear" w:color="auto" w:fill="FFFFFF"/>
            <w:vAlign w:val="bottom"/>
          </w:tcPr>
          <w:p w:rsidR="00BA6524" w:rsidRDefault="00BD4AFA">
            <w:pPr>
              <w:pStyle w:val="Other0"/>
              <w:spacing w:after="0"/>
              <w:ind w:firstLine="600"/>
              <w:rPr>
                <w:sz w:val="18"/>
                <w:szCs w:val="18"/>
              </w:rPr>
            </w:pPr>
            <w:r>
              <w:rPr>
                <w:sz w:val="18"/>
                <w:szCs w:val="18"/>
              </w:rPr>
              <w:t>716,140</w:t>
            </w:r>
          </w:p>
        </w:tc>
        <w:tc>
          <w:tcPr>
            <w:tcW w:w="192" w:type="dxa"/>
            <w:vMerge/>
            <w:shd w:val="clear" w:color="auto" w:fill="FFFFFF"/>
          </w:tcPr>
          <w:p w:rsidR="00BA6524" w:rsidRDefault="00BA6524"/>
        </w:tc>
        <w:tc>
          <w:tcPr>
            <w:tcW w:w="1109" w:type="dxa"/>
            <w:tcBorders>
              <w:top w:val="single" w:sz="4" w:space="0" w:color="auto"/>
              <w:left w:val="single" w:sz="4" w:space="0" w:color="auto"/>
            </w:tcBorders>
            <w:shd w:val="clear" w:color="auto" w:fill="FFFFFF"/>
            <w:vAlign w:val="bottom"/>
          </w:tcPr>
          <w:p w:rsidR="00BA6524" w:rsidRDefault="00BD4AFA">
            <w:pPr>
              <w:pStyle w:val="Other0"/>
              <w:spacing w:after="0"/>
              <w:ind w:firstLine="300"/>
              <w:rPr>
                <w:sz w:val="18"/>
                <w:szCs w:val="18"/>
              </w:rPr>
            </w:pPr>
            <w:r>
              <w:rPr>
                <w:sz w:val="18"/>
                <w:szCs w:val="18"/>
              </w:rPr>
              <w:t>6,445,260</w:t>
            </w:r>
          </w:p>
        </w:tc>
        <w:tc>
          <w:tcPr>
            <w:tcW w:w="1133"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6,445,260</w:t>
            </w:r>
          </w:p>
        </w:tc>
        <w:tc>
          <w:tcPr>
            <w:tcW w:w="187" w:type="dxa"/>
            <w:vMerge/>
            <w:shd w:val="clear" w:color="auto" w:fill="FFFFFF"/>
          </w:tcPr>
          <w:p w:rsidR="00BA6524" w:rsidRDefault="00BA6524"/>
        </w:tc>
        <w:tc>
          <w:tcPr>
            <w:tcW w:w="1104"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6,445,260</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716,140</w:t>
            </w:r>
          </w:p>
        </w:tc>
        <w:tc>
          <w:tcPr>
            <w:tcW w:w="1430" w:type="dxa"/>
            <w:tcBorders>
              <w:top w:val="single" w:sz="4" w:space="0" w:color="auto"/>
              <w:left w:val="single" w:sz="4" w:space="0" w:color="auto"/>
              <w:righ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7,161,400</w:t>
            </w:r>
          </w:p>
        </w:tc>
      </w:tr>
      <w:tr w:rsidR="00BA6524">
        <w:tblPrEx>
          <w:tblCellMar>
            <w:top w:w="0" w:type="dxa"/>
            <w:bottom w:w="0" w:type="dxa"/>
          </w:tblCellMar>
        </w:tblPrEx>
        <w:trPr>
          <w:trHeight w:hRule="exact" w:val="374"/>
          <w:jc w:val="center"/>
        </w:trPr>
        <w:tc>
          <w:tcPr>
            <w:tcW w:w="1853" w:type="dxa"/>
            <w:tcBorders>
              <w:top w:val="single" w:sz="4" w:space="0" w:color="auto"/>
              <w:left w:val="single" w:sz="4" w:space="0" w:color="auto"/>
            </w:tcBorders>
            <w:shd w:val="clear" w:color="auto" w:fill="FFFFFF"/>
            <w:vAlign w:val="bottom"/>
          </w:tcPr>
          <w:p w:rsidR="00BA6524" w:rsidRDefault="00BD4AFA">
            <w:pPr>
              <w:pStyle w:val="Other0"/>
              <w:spacing w:after="0"/>
              <w:rPr>
                <w:sz w:val="18"/>
                <w:szCs w:val="18"/>
              </w:rPr>
            </w:pPr>
            <w:r>
              <w:rPr>
                <w:sz w:val="18"/>
                <w:szCs w:val="18"/>
              </w:rPr>
              <w:t>LRA</w:t>
            </w:r>
          </w:p>
        </w:tc>
        <w:tc>
          <w:tcPr>
            <w:tcW w:w="1277" w:type="dxa"/>
            <w:tcBorders>
              <w:top w:val="single" w:sz="4" w:space="0" w:color="auto"/>
              <w:left w:val="single" w:sz="4" w:space="0" w:color="auto"/>
            </w:tcBorders>
            <w:shd w:val="clear" w:color="auto" w:fill="FFFFFF"/>
          </w:tcPr>
          <w:p w:rsidR="00BA6524" w:rsidRDefault="00BA6524">
            <w:pPr>
              <w:rPr>
                <w:sz w:val="10"/>
                <w:szCs w:val="10"/>
              </w:rPr>
            </w:pPr>
          </w:p>
        </w:tc>
        <w:tc>
          <w:tcPr>
            <w:tcW w:w="1142" w:type="dxa"/>
            <w:tcBorders>
              <w:top w:val="single" w:sz="4" w:space="0" w:color="auto"/>
              <w:left w:val="single" w:sz="4" w:space="0" w:color="auto"/>
            </w:tcBorders>
            <w:shd w:val="clear" w:color="auto" w:fill="FFFFFF"/>
          </w:tcPr>
          <w:p w:rsidR="00BA6524" w:rsidRDefault="00BA6524">
            <w:pPr>
              <w:rPr>
                <w:sz w:val="10"/>
                <w:szCs w:val="10"/>
              </w:rPr>
            </w:pPr>
          </w:p>
        </w:tc>
        <w:tc>
          <w:tcPr>
            <w:tcW w:w="1267"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6"/>
                <w:szCs w:val="16"/>
              </w:rPr>
            </w:pPr>
            <w:r>
              <w:rPr>
                <w:b/>
                <w:bCs/>
                <w:sz w:val="16"/>
                <w:szCs w:val="16"/>
              </w:rPr>
              <w:t>-</w:t>
            </w:r>
          </w:p>
        </w:tc>
        <w:tc>
          <w:tcPr>
            <w:tcW w:w="192" w:type="dxa"/>
            <w:vMerge/>
            <w:shd w:val="clear" w:color="auto" w:fill="FFFFFF"/>
          </w:tcPr>
          <w:p w:rsidR="00BA6524" w:rsidRDefault="00BA6524"/>
        </w:tc>
        <w:tc>
          <w:tcPr>
            <w:tcW w:w="1109" w:type="dxa"/>
            <w:tcBorders>
              <w:top w:val="single" w:sz="4" w:space="0" w:color="auto"/>
              <w:left w:val="single" w:sz="4" w:space="0" w:color="auto"/>
            </w:tcBorders>
            <w:shd w:val="clear" w:color="auto" w:fill="FFFFFF"/>
            <w:vAlign w:val="bottom"/>
          </w:tcPr>
          <w:p w:rsidR="00BA6524" w:rsidRDefault="00BD4AFA">
            <w:pPr>
              <w:pStyle w:val="Other0"/>
              <w:spacing w:after="0"/>
              <w:jc w:val="center"/>
              <w:rPr>
                <w:sz w:val="18"/>
                <w:szCs w:val="18"/>
              </w:rPr>
            </w:pPr>
            <w:r>
              <w:rPr>
                <w:sz w:val="18"/>
                <w:szCs w:val="18"/>
              </w:rPr>
              <w:t>73,265</w:t>
            </w:r>
          </w:p>
        </w:tc>
        <w:tc>
          <w:tcPr>
            <w:tcW w:w="1133"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73,265</w:t>
            </w:r>
          </w:p>
        </w:tc>
        <w:tc>
          <w:tcPr>
            <w:tcW w:w="187" w:type="dxa"/>
            <w:vMerge/>
            <w:shd w:val="clear" w:color="auto" w:fill="FFFFFF"/>
          </w:tcPr>
          <w:p w:rsidR="00BA6524" w:rsidRDefault="00BA6524"/>
        </w:tc>
        <w:tc>
          <w:tcPr>
            <w:tcW w:w="1104"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73,265</w:t>
            </w:r>
          </w:p>
        </w:tc>
        <w:tc>
          <w:tcPr>
            <w:tcW w:w="1138" w:type="dxa"/>
            <w:tcBorders>
              <w:top w:val="single" w:sz="4" w:space="0" w:color="auto"/>
              <w:left w:val="single" w:sz="4" w:space="0" w:color="auto"/>
            </w:tcBorders>
            <w:shd w:val="clear" w:color="auto" w:fill="FFFFFF"/>
          </w:tcPr>
          <w:p w:rsidR="00BA6524" w:rsidRDefault="00BA6524">
            <w:pPr>
              <w:rPr>
                <w:sz w:val="10"/>
                <w:szCs w:val="10"/>
              </w:rPr>
            </w:pPr>
          </w:p>
        </w:tc>
        <w:tc>
          <w:tcPr>
            <w:tcW w:w="1430" w:type="dxa"/>
            <w:tcBorders>
              <w:top w:val="single" w:sz="4" w:space="0" w:color="auto"/>
              <w:left w:val="single" w:sz="4" w:space="0" w:color="auto"/>
              <w:righ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73,265</w:t>
            </w:r>
          </w:p>
        </w:tc>
      </w:tr>
      <w:tr w:rsidR="00BA6524">
        <w:tblPrEx>
          <w:tblCellMar>
            <w:top w:w="0" w:type="dxa"/>
            <w:bottom w:w="0" w:type="dxa"/>
          </w:tblCellMar>
        </w:tblPrEx>
        <w:trPr>
          <w:trHeight w:hRule="exact" w:val="374"/>
          <w:jc w:val="center"/>
        </w:trPr>
        <w:tc>
          <w:tcPr>
            <w:tcW w:w="1853" w:type="dxa"/>
            <w:tcBorders>
              <w:top w:val="single" w:sz="4" w:space="0" w:color="auto"/>
              <w:left w:val="single" w:sz="4" w:space="0" w:color="auto"/>
            </w:tcBorders>
            <w:shd w:val="clear" w:color="auto" w:fill="FFFFFF"/>
            <w:vAlign w:val="bottom"/>
          </w:tcPr>
          <w:p w:rsidR="00BA6524" w:rsidRDefault="00BD4AFA">
            <w:pPr>
              <w:pStyle w:val="Other0"/>
              <w:spacing w:after="0"/>
              <w:rPr>
                <w:sz w:val="18"/>
                <w:szCs w:val="18"/>
              </w:rPr>
            </w:pPr>
            <w:r>
              <w:rPr>
                <w:sz w:val="18"/>
                <w:szCs w:val="18"/>
              </w:rPr>
              <w:t>HRMOM</w:t>
            </w:r>
          </w:p>
        </w:tc>
        <w:tc>
          <w:tcPr>
            <w:tcW w:w="1277" w:type="dxa"/>
            <w:tcBorders>
              <w:top w:val="single" w:sz="4" w:space="0" w:color="auto"/>
              <w:left w:val="single" w:sz="4" w:space="0" w:color="auto"/>
            </w:tcBorders>
            <w:shd w:val="clear" w:color="auto" w:fill="FFFFFF"/>
          </w:tcPr>
          <w:p w:rsidR="00BA6524" w:rsidRDefault="00BA6524">
            <w:pPr>
              <w:rPr>
                <w:sz w:val="10"/>
                <w:szCs w:val="10"/>
              </w:rPr>
            </w:pPr>
          </w:p>
        </w:tc>
        <w:tc>
          <w:tcPr>
            <w:tcW w:w="1142" w:type="dxa"/>
            <w:tcBorders>
              <w:top w:val="single" w:sz="4" w:space="0" w:color="auto"/>
              <w:left w:val="single" w:sz="4" w:space="0" w:color="auto"/>
            </w:tcBorders>
            <w:shd w:val="clear" w:color="auto" w:fill="FFFFFF"/>
            <w:vAlign w:val="bottom"/>
          </w:tcPr>
          <w:p w:rsidR="00BA6524" w:rsidRDefault="00BD4AFA">
            <w:pPr>
              <w:pStyle w:val="Other0"/>
              <w:spacing w:after="0"/>
              <w:ind w:firstLine="240"/>
              <w:rPr>
                <w:sz w:val="18"/>
                <w:szCs w:val="18"/>
              </w:rPr>
            </w:pPr>
            <w:r>
              <w:rPr>
                <w:sz w:val="18"/>
                <w:szCs w:val="18"/>
              </w:rPr>
              <w:t>885,112.80</w:t>
            </w:r>
          </w:p>
        </w:tc>
        <w:tc>
          <w:tcPr>
            <w:tcW w:w="1267" w:type="dxa"/>
            <w:tcBorders>
              <w:top w:val="single" w:sz="4" w:space="0" w:color="auto"/>
              <w:left w:val="single" w:sz="4" w:space="0" w:color="auto"/>
            </w:tcBorders>
            <w:shd w:val="clear" w:color="auto" w:fill="FFFFFF"/>
            <w:vAlign w:val="bottom"/>
          </w:tcPr>
          <w:p w:rsidR="00BA6524" w:rsidRDefault="00BD4AFA">
            <w:pPr>
              <w:pStyle w:val="Other0"/>
              <w:spacing w:after="0"/>
              <w:ind w:firstLine="600"/>
              <w:rPr>
                <w:sz w:val="18"/>
                <w:szCs w:val="18"/>
              </w:rPr>
            </w:pPr>
            <w:r>
              <w:rPr>
                <w:sz w:val="18"/>
                <w:szCs w:val="18"/>
              </w:rPr>
              <w:t>885,113</w:t>
            </w:r>
          </w:p>
        </w:tc>
        <w:tc>
          <w:tcPr>
            <w:tcW w:w="192" w:type="dxa"/>
            <w:vMerge/>
            <w:shd w:val="clear" w:color="auto" w:fill="FFFFFF"/>
          </w:tcPr>
          <w:p w:rsidR="00BA6524" w:rsidRDefault="00BA6524"/>
        </w:tc>
        <w:tc>
          <w:tcPr>
            <w:tcW w:w="1109" w:type="dxa"/>
            <w:tcBorders>
              <w:top w:val="single" w:sz="4" w:space="0" w:color="auto"/>
              <w:left w:val="single" w:sz="4" w:space="0" w:color="auto"/>
            </w:tcBorders>
            <w:shd w:val="clear" w:color="auto" w:fill="FFFFFF"/>
            <w:vAlign w:val="bottom"/>
          </w:tcPr>
          <w:p w:rsidR="00BA6524" w:rsidRDefault="00BD4AFA">
            <w:pPr>
              <w:pStyle w:val="Other0"/>
              <w:spacing w:after="0"/>
              <w:ind w:firstLine="300"/>
              <w:rPr>
                <w:sz w:val="18"/>
                <w:szCs w:val="18"/>
              </w:rPr>
            </w:pPr>
            <w:r>
              <w:rPr>
                <w:sz w:val="18"/>
                <w:szCs w:val="18"/>
              </w:rPr>
              <w:t>7,921,395</w:t>
            </w:r>
          </w:p>
        </w:tc>
        <w:tc>
          <w:tcPr>
            <w:tcW w:w="1133" w:type="dxa"/>
            <w:tcBorders>
              <w:top w:val="single" w:sz="4" w:space="0" w:color="auto"/>
              <w:left w:val="single" w:sz="4" w:space="0" w:color="auto"/>
            </w:tcBorders>
            <w:shd w:val="clear" w:color="auto" w:fill="FFFFFF"/>
          </w:tcPr>
          <w:p w:rsidR="00BA6524" w:rsidRDefault="00BA6524">
            <w:pPr>
              <w:rPr>
                <w:sz w:val="10"/>
                <w:szCs w:val="10"/>
              </w:rPr>
            </w:pPr>
          </w:p>
        </w:tc>
        <w:tc>
          <w:tcPr>
            <w:tcW w:w="1133"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7,921,395</w:t>
            </w:r>
          </w:p>
        </w:tc>
        <w:tc>
          <w:tcPr>
            <w:tcW w:w="187" w:type="dxa"/>
            <w:vMerge/>
            <w:shd w:val="clear" w:color="auto" w:fill="FFFFFF"/>
          </w:tcPr>
          <w:p w:rsidR="00BA6524" w:rsidRDefault="00BA6524"/>
        </w:tc>
        <w:tc>
          <w:tcPr>
            <w:tcW w:w="1104"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7,921,395</w:t>
            </w:r>
          </w:p>
        </w:tc>
        <w:tc>
          <w:tcPr>
            <w:tcW w:w="1138" w:type="dxa"/>
            <w:tcBorders>
              <w:top w:val="single" w:sz="4" w:space="0" w:color="auto"/>
              <w:lef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885,113</w:t>
            </w:r>
          </w:p>
        </w:tc>
        <w:tc>
          <w:tcPr>
            <w:tcW w:w="1430" w:type="dxa"/>
            <w:tcBorders>
              <w:top w:val="single" w:sz="4" w:space="0" w:color="auto"/>
              <w:left w:val="single" w:sz="4" w:space="0" w:color="auto"/>
              <w:right w:val="single" w:sz="4" w:space="0" w:color="auto"/>
            </w:tcBorders>
            <w:shd w:val="clear" w:color="auto" w:fill="FFFFFF"/>
            <w:vAlign w:val="bottom"/>
          </w:tcPr>
          <w:p w:rsidR="00BA6524" w:rsidRDefault="00BD4AFA">
            <w:pPr>
              <w:pStyle w:val="Other0"/>
              <w:spacing w:after="0"/>
              <w:jc w:val="right"/>
              <w:rPr>
                <w:sz w:val="18"/>
                <w:szCs w:val="18"/>
              </w:rPr>
            </w:pPr>
            <w:r>
              <w:rPr>
                <w:sz w:val="18"/>
                <w:szCs w:val="18"/>
              </w:rPr>
              <w:t>8,806,508</w:t>
            </w:r>
          </w:p>
        </w:tc>
      </w:tr>
      <w:tr w:rsidR="00BA6524">
        <w:tblPrEx>
          <w:tblCellMar>
            <w:top w:w="0" w:type="dxa"/>
            <w:bottom w:w="0" w:type="dxa"/>
          </w:tblCellMar>
        </w:tblPrEx>
        <w:trPr>
          <w:trHeight w:hRule="exact" w:val="384"/>
          <w:jc w:val="center"/>
        </w:trPr>
        <w:tc>
          <w:tcPr>
            <w:tcW w:w="1853" w:type="dxa"/>
            <w:shd w:val="clear" w:color="auto" w:fill="2E73B4"/>
            <w:vAlign w:val="center"/>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ind w:firstLine="140"/>
              <w:rPr>
                <w:sz w:val="16"/>
                <w:szCs w:val="16"/>
              </w:rPr>
            </w:pPr>
            <w:r>
              <w:rPr>
                <w:b/>
                <w:bCs/>
                <w:color w:val="FFFFFF"/>
                <w:sz w:val="16"/>
                <w:szCs w:val="16"/>
              </w:rPr>
              <w:t>Total Peace Support</w:t>
            </w:r>
          </w:p>
        </w:tc>
        <w:tc>
          <w:tcPr>
            <w:tcW w:w="1277" w:type="dxa"/>
            <w:shd w:val="clear" w:color="auto" w:fill="2E73B4"/>
            <w:vAlign w:val="center"/>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jc w:val="center"/>
              <w:rPr>
                <w:sz w:val="16"/>
                <w:szCs w:val="16"/>
              </w:rPr>
            </w:pPr>
            <w:r>
              <w:rPr>
                <w:b/>
                <w:bCs/>
                <w:color w:val="FFFFFF"/>
                <w:sz w:val="16"/>
                <w:szCs w:val="16"/>
              </w:rPr>
              <w:t>-</w:t>
            </w:r>
          </w:p>
        </w:tc>
        <w:tc>
          <w:tcPr>
            <w:tcW w:w="1142" w:type="dxa"/>
            <w:shd w:val="clear" w:color="auto" w:fill="2E73B4"/>
            <w:vAlign w:val="center"/>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ind w:firstLine="240"/>
              <w:rPr>
                <w:sz w:val="16"/>
                <w:szCs w:val="16"/>
              </w:rPr>
            </w:pPr>
            <w:r>
              <w:rPr>
                <w:b/>
                <w:bCs/>
                <w:color w:val="FFFFFF"/>
                <w:sz w:val="16"/>
                <w:szCs w:val="16"/>
              </w:rPr>
              <w:t>11,328,753</w:t>
            </w:r>
          </w:p>
        </w:tc>
        <w:tc>
          <w:tcPr>
            <w:tcW w:w="1267" w:type="dxa"/>
            <w:shd w:val="clear" w:color="auto" w:fill="2E73B4"/>
            <w:vAlign w:val="center"/>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jc w:val="right"/>
              <w:rPr>
                <w:sz w:val="16"/>
                <w:szCs w:val="16"/>
              </w:rPr>
            </w:pPr>
            <w:r>
              <w:rPr>
                <w:b/>
                <w:bCs/>
                <w:color w:val="FFFFFF"/>
                <w:sz w:val="16"/>
                <w:szCs w:val="16"/>
              </w:rPr>
              <w:t>11,328,753</w:t>
            </w:r>
          </w:p>
        </w:tc>
        <w:tc>
          <w:tcPr>
            <w:tcW w:w="192" w:type="dxa"/>
            <w:vMerge/>
            <w:shd w:val="clear" w:color="auto" w:fill="FFFFFF"/>
          </w:tcPr>
          <w:p w:rsidR="00BA6524" w:rsidRDefault="00BA6524"/>
        </w:tc>
        <w:tc>
          <w:tcPr>
            <w:tcW w:w="1109" w:type="dxa"/>
            <w:shd w:val="clear" w:color="auto" w:fill="2E73B4"/>
            <w:vAlign w:val="bottom"/>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jc w:val="center"/>
              <w:rPr>
                <w:sz w:val="16"/>
                <w:szCs w:val="16"/>
              </w:rPr>
            </w:pPr>
            <w:r>
              <w:rPr>
                <w:b/>
                <w:bCs/>
                <w:color w:val="FFFFFF"/>
                <w:sz w:val="16"/>
                <w:szCs w:val="16"/>
              </w:rPr>
              <w:t>257,870,387</w:t>
            </w:r>
          </w:p>
        </w:tc>
        <w:tc>
          <w:tcPr>
            <w:tcW w:w="1133" w:type="dxa"/>
            <w:shd w:val="clear" w:color="auto" w:fill="2E73B4"/>
            <w:vAlign w:val="bottom"/>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jc w:val="right"/>
              <w:rPr>
                <w:sz w:val="16"/>
                <w:szCs w:val="16"/>
              </w:rPr>
            </w:pPr>
            <w:r>
              <w:rPr>
                <w:b/>
                <w:bCs/>
                <w:color w:val="FFFFFF"/>
                <w:sz w:val="16"/>
                <w:szCs w:val="16"/>
              </w:rPr>
              <w:t>4,070,000</w:t>
            </w:r>
          </w:p>
        </w:tc>
        <w:tc>
          <w:tcPr>
            <w:tcW w:w="1133" w:type="dxa"/>
            <w:shd w:val="clear" w:color="auto" w:fill="2E73B4"/>
            <w:vAlign w:val="center"/>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jc w:val="right"/>
              <w:rPr>
                <w:sz w:val="16"/>
                <w:szCs w:val="16"/>
              </w:rPr>
            </w:pPr>
            <w:r>
              <w:rPr>
                <w:b/>
                <w:bCs/>
                <w:color w:val="FFFFFF"/>
                <w:sz w:val="16"/>
                <w:szCs w:val="16"/>
              </w:rPr>
              <w:t>261,940,387</w:t>
            </w:r>
          </w:p>
        </w:tc>
        <w:tc>
          <w:tcPr>
            <w:tcW w:w="187" w:type="dxa"/>
            <w:vMerge/>
            <w:shd w:val="clear" w:color="auto" w:fill="FFFFFF"/>
          </w:tcPr>
          <w:p w:rsidR="00BA6524" w:rsidRDefault="00BA6524"/>
        </w:tc>
        <w:tc>
          <w:tcPr>
            <w:tcW w:w="1104" w:type="dxa"/>
            <w:shd w:val="clear" w:color="auto" w:fill="2E73B4"/>
            <w:vAlign w:val="bottom"/>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jc w:val="right"/>
              <w:rPr>
                <w:sz w:val="16"/>
                <w:szCs w:val="16"/>
              </w:rPr>
            </w:pPr>
            <w:r>
              <w:rPr>
                <w:b/>
                <w:bCs/>
                <w:color w:val="FFFFFF"/>
                <w:sz w:val="16"/>
                <w:szCs w:val="16"/>
              </w:rPr>
              <w:t>257,870,387</w:t>
            </w:r>
          </w:p>
        </w:tc>
        <w:tc>
          <w:tcPr>
            <w:tcW w:w="1138" w:type="dxa"/>
            <w:shd w:val="clear" w:color="auto" w:fill="2E73B4"/>
            <w:vAlign w:val="center"/>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jc w:val="right"/>
              <w:rPr>
                <w:sz w:val="16"/>
                <w:szCs w:val="16"/>
              </w:rPr>
            </w:pPr>
            <w:r>
              <w:rPr>
                <w:b/>
                <w:bCs/>
                <w:color w:val="FFFFFF"/>
                <w:sz w:val="16"/>
                <w:szCs w:val="16"/>
              </w:rPr>
              <w:t>15,398,753</w:t>
            </w:r>
          </w:p>
        </w:tc>
        <w:tc>
          <w:tcPr>
            <w:tcW w:w="1430" w:type="dxa"/>
            <w:shd w:val="clear" w:color="auto" w:fill="2E73B4"/>
            <w:vAlign w:val="center"/>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ind w:firstLine="440"/>
              <w:jc w:val="both"/>
              <w:rPr>
                <w:sz w:val="16"/>
                <w:szCs w:val="16"/>
              </w:rPr>
            </w:pPr>
            <w:r>
              <w:rPr>
                <w:b/>
                <w:bCs/>
                <w:color w:val="FFFFFF"/>
                <w:sz w:val="16"/>
                <w:szCs w:val="16"/>
              </w:rPr>
              <w:t>273,269,140</w:t>
            </w:r>
          </w:p>
        </w:tc>
      </w:tr>
      <w:tr w:rsidR="00BA6524">
        <w:tblPrEx>
          <w:tblCellMar>
            <w:top w:w="0" w:type="dxa"/>
            <w:bottom w:w="0" w:type="dxa"/>
          </w:tblCellMar>
        </w:tblPrEx>
        <w:trPr>
          <w:trHeight w:hRule="exact" w:val="394"/>
          <w:jc w:val="center"/>
        </w:trPr>
        <w:tc>
          <w:tcPr>
            <w:tcW w:w="1853" w:type="dxa"/>
            <w:tcBorders>
              <w:top w:val="single" w:sz="4" w:space="0" w:color="auto"/>
            </w:tcBorders>
            <w:shd w:val="clear" w:color="auto" w:fill="2E73B4"/>
            <w:vAlign w:val="center"/>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ind w:firstLine="660"/>
              <w:rPr>
                <w:sz w:val="16"/>
                <w:szCs w:val="16"/>
              </w:rPr>
            </w:pPr>
            <w:r>
              <w:rPr>
                <w:b/>
                <w:bCs/>
                <w:color w:val="FFFFFF"/>
                <w:sz w:val="16"/>
                <w:szCs w:val="16"/>
              </w:rPr>
              <w:t>TOTAL</w:t>
            </w:r>
          </w:p>
        </w:tc>
        <w:tc>
          <w:tcPr>
            <w:tcW w:w="1277" w:type="dxa"/>
            <w:tcBorders>
              <w:top w:val="single" w:sz="4" w:space="0" w:color="auto"/>
            </w:tcBorders>
            <w:shd w:val="clear" w:color="auto" w:fill="2E73B4"/>
            <w:vAlign w:val="center"/>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ind w:firstLine="300"/>
              <w:rPr>
                <w:sz w:val="16"/>
                <w:szCs w:val="16"/>
              </w:rPr>
            </w:pPr>
            <w:r>
              <w:rPr>
                <w:b/>
                <w:bCs/>
                <w:color w:val="FFFFFF"/>
                <w:sz w:val="16"/>
                <w:szCs w:val="16"/>
              </w:rPr>
              <w:t>158,459,118</w:t>
            </w:r>
          </w:p>
        </w:tc>
        <w:tc>
          <w:tcPr>
            <w:tcW w:w="1142" w:type="dxa"/>
            <w:tcBorders>
              <w:top w:val="single" w:sz="4" w:space="0" w:color="auto"/>
            </w:tcBorders>
            <w:shd w:val="clear" w:color="auto" w:fill="2E73B4"/>
            <w:vAlign w:val="center"/>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jc w:val="right"/>
              <w:rPr>
                <w:sz w:val="16"/>
                <w:szCs w:val="16"/>
              </w:rPr>
            </w:pPr>
            <w:r>
              <w:rPr>
                <w:b/>
                <w:bCs/>
                <w:color w:val="FFFFFF"/>
                <w:sz w:val="16"/>
                <w:szCs w:val="16"/>
              </w:rPr>
              <w:t>121,586,643</w:t>
            </w:r>
          </w:p>
        </w:tc>
        <w:tc>
          <w:tcPr>
            <w:tcW w:w="1267" w:type="dxa"/>
            <w:tcBorders>
              <w:top w:val="single" w:sz="4" w:space="0" w:color="auto"/>
            </w:tcBorders>
            <w:shd w:val="clear" w:color="auto" w:fill="2E73B4"/>
            <w:vAlign w:val="center"/>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ind w:firstLine="300"/>
              <w:rPr>
                <w:sz w:val="16"/>
                <w:szCs w:val="16"/>
              </w:rPr>
            </w:pPr>
            <w:r>
              <w:rPr>
                <w:b/>
                <w:bCs/>
                <w:color w:val="FFFFFF"/>
                <w:sz w:val="16"/>
                <w:szCs w:val="16"/>
              </w:rPr>
              <w:t>280,045,761</w:t>
            </w:r>
          </w:p>
        </w:tc>
        <w:tc>
          <w:tcPr>
            <w:tcW w:w="192" w:type="dxa"/>
            <w:vMerge/>
            <w:shd w:val="clear" w:color="auto" w:fill="FFFFFF"/>
          </w:tcPr>
          <w:p w:rsidR="00BA6524" w:rsidRDefault="00BA6524"/>
        </w:tc>
        <w:tc>
          <w:tcPr>
            <w:tcW w:w="1109" w:type="dxa"/>
            <w:tcBorders>
              <w:top w:val="single" w:sz="4" w:space="0" w:color="auto"/>
            </w:tcBorders>
            <w:shd w:val="clear" w:color="auto" w:fill="2E73B4"/>
            <w:vAlign w:val="bottom"/>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jc w:val="center"/>
              <w:rPr>
                <w:sz w:val="16"/>
                <w:szCs w:val="16"/>
              </w:rPr>
            </w:pPr>
            <w:r>
              <w:rPr>
                <w:b/>
                <w:bCs/>
                <w:color w:val="FFFFFF"/>
                <w:sz w:val="16"/>
                <w:szCs w:val="16"/>
              </w:rPr>
              <w:t>257,870,387</w:t>
            </w:r>
          </w:p>
        </w:tc>
        <w:tc>
          <w:tcPr>
            <w:tcW w:w="1133" w:type="dxa"/>
            <w:tcBorders>
              <w:top w:val="single" w:sz="4" w:space="0" w:color="auto"/>
            </w:tcBorders>
            <w:shd w:val="clear" w:color="auto" w:fill="2E73B4"/>
            <w:vAlign w:val="bottom"/>
          </w:tcPr>
          <w:p w:rsidR="00BA6524" w:rsidRDefault="00BD4AFA">
            <w:pPr>
              <w:pStyle w:val="Other0"/>
              <w:pBdr>
                <w:top w:val="single" w:sz="0" w:space="0" w:color="2F74B5"/>
                <w:left w:val="single" w:sz="0" w:space="0" w:color="2F74B5"/>
                <w:bottom w:val="single" w:sz="0" w:space="0" w:color="2F74B5"/>
                <w:right w:val="single" w:sz="0" w:space="0" w:color="2F74B5"/>
              </w:pBdr>
              <w:shd w:val="clear" w:color="auto" w:fill="2F74B5"/>
              <w:spacing w:after="0"/>
              <w:jc w:val="right"/>
              <w:rPr>
                <w:sz w:val="16"/>
                <w:szCs w:val="16"/>
              </w:rPr>
            </w:pPr>
            <w:r>
              <w:rPr>
                <w:b/>
                <w:bCs/>
                <w:color w:val="FFFFFF"/>
                <w:sz w:val="16"/>
                <w:szCs w:val="16"/>
              </w:rPr>
              <w:t>143,569,189</w:t>
            </w:r>
          </w:p>
        </w:tc>
        <w:tc>
          <w:tcPr>
            <w:tcW w:w="1133" w:type="dxa"/>
            <w:tcBorders>
              <w:top w:val="single" w:sz="4" w:space="0" w:color="auto"/>
            </w:tcBorders>
            <w:shd w:val="clear" w:color="auto" w:fill="2E73B4"/>
            <w:vAlign w:val="center"/>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jc w:val="right"/>
              <w:rPr>
                <w:sz w:val="16"/>
                <w:szCs w:val="16"/>
              </w:rPr>
            </w:pPr>
            <w:r>
              <w:rPr>
                <w:b/>
                <w:bCs/>
                <w:color w:val="FFFFFF"/>
                <w:sz w:val="16"/>
                <w:szCs w:val="16"/>
              </w:rPr>
              <w:t>401,439,575</w:t>
            </w:r>
          </w:p>
        </w:tc>
        <w:tc>
          <w:tcPr>
            <w:tcW w:w="187" w:type="dxa"/>
            <w:vMerge/>
            <w:shd w:val="clear" w:color="auto" w:fill="FFFFFF"/>
          </w:tcPr>
          <w:p w:rsidR="00BA6524" w:rsidRDefault="00BA6524"/>
        </w:tc>
        <w:tc>
          <w:tcPr>
            <w:tcW w:w="1104" w:type="dxa"/>
            <w:tcBorders>
              <w:top w:val="single" w:sz="4" w:space="0" w:color="auto"/>
            </w:tcBorders>
            <w:shd w:val="clear" w:color="auto" w:fill="2E73B4"/>
            <w:vAlign w:val="bottom"/>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jc w:val="right"/>
              <w:rPr>
                <w:sz w:val="16"/>
                <w:szCs w:val="16"/>
              </w:rPr>
            </w:pPr>
            <w:r>
              <w:rPr>
                <w:b/>
                <w:bCs/>
                <w:color w:val="FFFFFF"/>
                <w:sz w:val="16"/>
                <w:szCs w:val="16"/>
              </w:rPr>
              <w:t>416,329,505</w:t>
            </w:r>
          </w:p>
        </w:tc>
        <w:tc>
          <w:tcPr>
            <w:tcW w:w="1138" w:type="dxa"/>
            <w:tcBorders>
              <w:top w:val="single" w:sz="4" w:space="0" w:color="auto"/>
            </w:tcBorders>
            <w:shd w:val="clear" w:color="auto" w:fill="2E73B4"/>
            <w:vAlign w:val="center"/>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jc w:val="right"/>
              <w:rPr>
                <w:sz w:val="16"/>
                <w:szCs w:val="16"/>
              </w:rPr>
            </w:pPr>
            <w:r>
              <w:rPr>
                <w:b/>
                <w:bCs/>
                <w:color w:val="FFFFFF"/>
                <w:sz w:val="16"/>
                <w:szCs w:val="16"/>
              </w:rPr>
              <w:t>265,155,832</w:t>
            </w:r>
          </w:p>
        </w:tc>
        <w:tc>
          <w:tcPr>
            <w:tcW w:w="1430" w:type="dxa"/>
            <w:tcBorders>
              <w:top w:val="single" w:sz="4" w:space="0" w:color="auto"/>
            </w:tcBorders>
            <w:shd w:val="clear" w:color="auto" w:fill="2E73B4"/>
            <w:vAlign w:val="center"/>
          </w:tcPr>
          <w:p w:rsidR="00BA6524" w:rsidRDefault="00BD4AFA">
            <w:pPr>
              <w:pStyle w:val="Other0"/>
              <w:pBdr>
                <w:top w:val="single" w:sz="0" w:space="0" w:color="2E73B4"/>
                <w:left w:val="single" w:sz="0" w:space="0" w:color="2E73B4"/>
                <w:bottom w:val="single" w:sz="0" w:space="0" w:color="2E73B4"/>
                <w:right w:val="single" w:sz="0" w:space="0" w:color="2E73B4"/>
              </w:pBdr>
              <w:shd w:val="clear" w:color="auto" w:fill="2E73B4"/>
              <w:spacing w:after="0"/>
              <w:ind w:firstLine="440"/>
              <w:jc w:val="both"/>
              <w:rPr>
                <w:sz w:val="16"/>
                <w:szCs w:val="16"/>
              </w:rPr>
            </w:pPr>
            <w:r>
              <w:rPr>
                <w:b/>
                <w:bCs/>
                <w:color w:val="FFFFFF"/>
                <w:sz w:val="16"/>
                <w:szCs w:val="16"/>
              </w:rPr>
              <w:t>681,485,337</w:t>
            </w:r>
          </w:p>
        </w:tc>
      </w:tr>
      <w:tr w:rsidR="00BA6524">
        <w:tblPrEx>
          <w:tblCellMar>
            <w:top w:w="0" w:type="dxa"/>
            <w:bottom w:w="0" w:type="dxa"/>
          </w:tblCellMar>
        </w:tblPrEx>
        <w:trPr>
          <w:trHeight w:hRule="exact" w:val="192"/>
          <w:jc w:val="center"/>
        </w:trPr>
        <w:tc>
          <w:tcPr>
            <w:tcW w:w="12965" w:type="dxa"/>
            <w:gridSpan w:val="12"/>
            <w:tcBorders>
              <w:left w:val="single" w:sz="4" w:space="0" w:color="auto"/>
              <w:right w:val="single" w:sz="4" w:space="0" w:color="auto"/>
            </w:tcBorders>
            <w:shd w:val="clear" w:color="auto" w:fill="FAE3D5"/>
            <w:vAlign w:val="bottom"/>
          </w:tcPr>
          <w:p w:rsidR="00BA6524" w:rsidRDefault="00BD4AFA">
            <w:pPr>
              <w:pStyle w:val="Other0"/>
              <w:tabs>
                <w:tab w:val="left" w:pos="2770"/>
              </w:tabs>
              <w:spacing w:after="0"/>
              <w:rPr>
                <w:sz w:val="16"/>
                <w:szCs w:val="16"/>
              </w:rPr>
            </w:pPr>
            <w:r>
              <w:rPr>
                <w:b/>
                <w:bCs/>
                <w:sz w:val="16"/>
                <w:szCs w:val="16"/>
              </w:rPr>
              <w:tab/>
              <w:t>INCLUDING PSO</w:t>
            </w:r>
          </w:p>
        </w:tc>
      </w:tr>
      <w:tr w:rsidR="00BA6524">
        <w:tblPrEx>
          <w:tblCellMar>
            <w:top w:w="0" w:type="dxa"/>
            <w:bottom w:w="0" w:type="dxa"/>
          </w:tblCellMar>
        </w:tblPrEx>
        <w:trPr>
          <w:trHeight w:hRule="exact" w:val="379"/>
          <w:jc w:val="center"/>
        </w:trPr>
        <w:tc>
          <w:tcPr>
            <w:tcW w:w="1853" w:type="dxa"/>
            <w:tcBorders>
              <w:top w:val="single" w:sz="4" w:space="0" w:color="auto"/>
              <w:left w:val="single" w:sz="4" w:space="0" w:color="auto"/>
            </w:tcBorders>
            <w:shd w:val="clear" w:color="auto" w:fill="FAE3D5"/>
          </w:tcPr>
          <w:p w:rsidR="00BA6524" w:rsidRDefault="00BD4AFA">
            <w:pPr>
              <w:pStyle w:val="Other0"/>
              <w:spacing w:after="0" w:line="233" w:lineRule="auto"/>
              <w:rPr>
                <w:sz w:val="16"/>
                <w:szCs w:val="16"/>
              </w:rPr>
            </w:pPr>
            <w:r>
              <w:rPr>
                <w:b/>
                <w:bCs/>
                <w:sz w:val="16"/>
                <w:szCs w:val="16"/>
              </w:rPr>
              <w:t>Ratio operational &amp; programs</w:t>
            </w:r>
          </w:p>
        </w:tc>
        <w:tc>
          <w:tcPr>
            <w:tcW w:w="1277" w:type="dxa"/>
            <w:tcBorders>
              <w:top w:val="single" w:sz="4" w:space="0" w:color="auto"/>
              <w:left w:val="single" w:sz="4" w:space="0" w:color="auto"/>
            </w:tcBorders>
            <w:shd w:val="clear" w:color="auto" w:fill="FAE3D5"/>
            <w:vAlign w:val="bottom"/>
          </w:tcPr>
          <w:p w:rsidR="00BA6524" w:rsidRDefault="00BD4AFA">
            <w:pPr>
              <w:pStyle w:val="Other0"/>
              <w:spacing w:after="0"/>
              <w:jc w:val="center"/>
              <w:rPr>
                <w:sz w:val="16"/>
                <w:szCs w:val="16"/>
              </w:rPr>
            </w:pPr>
            <w:r>
              <w:rPr>
                <w:b/>
                <w:bCs/>
                <w:sz w:val="16"/>
                <w:szCs w:val="16"/>
              </w:rPr>
              <w:t>57%</w:t>
            </w:r>
          </w:p>
        </w:tc>
        <w:tc>
          <w:tcPr>
            <w:tcW w:w="1142" w:type="dxa"/>
            <w:tcBorders>
              <w:top w:val="single" w:sz="4" w:space="0" w:color="auto"/>
              <w:left w:val="single" w:sz="4" w:space="0" w:color="auto"/>
            </w:tcBorders>
            <w:shd w:val="clear" w:color="auto" w:fill="FAE3D5"/>
            <w:vAlign w:val="bottom"/>
          </w:tcPr>
          <w:p w:rsidR="00BA6524" w:rsidRDefault="00BD4AFA">
            <w:pPr>
              <w:pStyle w:val="Other0"/>
              <w:spacing w:after="0"/>
              <w:jc w:val="center"/>
              <w:rPr>
                <w:sz w:val="16"/>
                <w:szCs w:val="16"/>
              </w:rPr>
            </w:pPr>
            <w:r>
              <w:rPr>
                <w:b/>
                <w:bCs/>
                <w:sz w:val="16"/>
                <w:szCs w:val="16"/>
              </w:rPr>
              <w:t>43%</w:t>
            </w:r>
          </w:p>
        </w:tc>
        <w:tc>
          <w:tcPr>
            <w:tcW w:w="1267" w:type="dxa"/>
            <w:tcBorders>
              <w:top w:val="single" w:sz="4" w:space="0" w:color="auto"/>
              <w:left w:val="single" w:sz="4" w:space="0" w:color="auto"/>
            </w:tcBorders>
            <w:shd w:val="clear" w:color="auto" w:fill="FAE3D5"/>
            <w:vAlign w:val="bottom"/>
          </w:tcPr>
          <w:p w:rsidR="00BA6524" w:rsidRDefault="00BD4AFA">
            <w:pPr>
              <w:pStyle w:val="Other0"/>
              <w:spacing w:after="0"/>
              <w:jc w:val="center"/>
              <w:rPr>
                <w:sz w:val="16"/>
                <w:szCs w:val="16"/>
              </w:rPr>
            </w:pPr>
            <w:r>
              <w:rPr>
                <w:b/>
                <w:bCs/>
                <w:sz w:val="16"/>
                <w:szCs w:val="16"/>
              </w:rPr>
              <w:t>100%</w:t>
            </w:r>
          </w:p>
        </w:tc>
        <w:tc>
          <w:tcPr>
            <w:tcW w:w="192" w:type="dxa"/>
            <w:vMerge w:val="restart"/>
            <w:tcBorders>
              <w:top w:val="single" w:sz="4" w:space="0" w:color="auto"/>
              <w:left w:val="single" w:sz="4" w:space="0" w:color="auto"/>
            </w:tcBorders>
            <w:shd w:val="clear" w:color="auto" w:fill="FFFFFF"/>
          </w:tcPr>
          <w:p w:rsidR="00BA6524" w:rsidRDefault="00BA6524">
            <w:pPr>
              <w:rPr>
                <w:sz w:val="10"/>
                <w:szCs w:val="10"/>
              </w:rPr>
            </w:pPr>
          </w:p>
        </w:tc>
        <w:tc>
          <w:tcPr>
            <w:tcW w:w="1109" w:type="dxa"/>
            <w:tcBorders>
              <w:top w:val="single" w:sz="4" w:space="0" w:color="auto"/>
              <w:left w:val="single" w:sz="4" w:space="0" w:color="auto"/>
            </w:tcBorders>
            <w:shd w:val="clear" w:color="auto" w:fill="FAE3D5"/>
            <w:vAlign w:val="bottom"/>
          </w:tcPr>
          <w:p w:rsidR="00BA6524" w:rsidRDefault="00BD4AFA">
            <w:pPr>
              <w:pStyle w:val="Other0"/>
              <w:spacing w:after="0"/>
              <w:jc w:val="center"/>
              <w:rPr>
                <w:sz w:val="16"/>
                <w:szCs w:val="16"/>
              </w:rPr>
            </w:pPr>
            <w:r>
              <w:rPr>
                <w:b/>
                <w:bCs/>
                <w:sz w:val="16"/>
                <w:szCs w:val="16"/>
              </w:rPr>
              <w:t>64%</w:t>
            </w:r>
          </w:p>
        </w:tc>
        <w:tc>
          <w:tcPr>
            <w:tcW w:w="1133" w:type="dxa"/>
            <w:tcBorders>
              <w:top w:val="single" w:sz="4" w:space="0" w:color="auto"/>
              <w:left w:val="single" w:sz="4" w:space="0" w:color="auto"/>
            </w:tcBorders>
            <w:shd w:val="clear" w:color="auto" w:fill="FAE3D5"/>
            <w:vAlign w:val="bottom"/>
          </w:tcPr>
          <w:p w:rsidR="00BA6524" w:rsidRDefault="00BD4AFA">
            <w:pPr>
              <w:pStyle w:val="Other0"/>
              <w:spacing w:after="0"/>
              <w:ind w:firstLine="380"/>
              <w:rPr>
                <w:sz w:val="16"/>
                <w:szCs w:val="16"/>
              </w:rPr>
            </w:pPr>
            <w:r>
              <w:rPr>
                <w:b/>
                <w:bCs/>
                <w:sz w:val="16"/>
                <w:szCs w:val="16"/>
              </w:rPr>
              <w:t>36%</w:t>
            </w:r>
          </w:p>
        </w:tc>
        <w:tc>
          <w:tcPr>
            <w:tcW w:w="1133" w:type="dxa"/>
            <w:tcBorders>
              <w:top w:val="single" w:sz="4" w:space="0" w:color="auto"/>
              <w:left w:val="single" w:sz="4" w:space="0" w:color="auto"/>
            </w:tcBorders>
            <w:shd w:val="clear" w:color="auto" w:fill="FAE3D5"/>
            <w:vAlign w:val="bottom"/>
          </w:tcPr>
          <w:p w:rsidR="00BA6524" w:rsidRDefault="00BD4AFA">
            <w:pPr>
              <w:pStyle w:val="Other0"/>
              <w:spacing w:after="0"/>
              <w:ind w:firstLine="340"/>
              <w:rPr>
                <w:sz w:val="16"/>
                <w:szCs w:val="16"/>
              </w:rPr>
            </w:pPr>
            <w:r>
              <w:rPr>
                <w:b/>
                <w:bCs/>
                <w:sz w:val="16"/>
                <w:szCs w:val="16"/>
              </w:rPr>
              <w:t>100%</w:t>
            </w:r>
          </w:p>
        </w:tc>
        <w:tc>
          <w:tcPr>
            <w:tcW w:w="187" w:type="dxa"/>
            <w:vMerge w:val="restart"/>
            <w:tcBorders>
              <w:top w:val="single" w:sz="4" w:space="0" w:color="auto"/>
              <w:left w:val="single" w:sz="4" w:space="0" w:color="auto"/>
            </w:tcBorders>
            <w:shd w:val="clear" w:color="auto" w:fill="FFFFFF"/>
          </w:tcPr>
          <w:p w:rsidR="00BA6524" w:rsidRDefault="00BA6524">
            <w:pPr>
              <w:rPr>
                <w:sz w:val="10"/>
                <w:szCs w:val="10"/>
              </w:rPr>
            </w:pPr>
          </w:p>
        </w:tc>
        <w:tc>
          <w:tcPr>
            <w:tcW w:w="1104" w:type="dxa"/>
            <w:tcBorders>
              <w:top w:val="single" w:sz="4" w:space="0" w:color="auto"/>
              <w:left w:val="single" w:sz="4" w:space="0" w:color="auto"/>
            </w:tcBorders>
            <w:shd w:val="clear" w:color="auto" w:fill="FAE3D5"/>
            <w:vAlign w:val="bottom"/>
          </w:tcPr>
          <w:p w:rsidR="00BA6524" w:rsidRDefault="00BD4AFA">
            <w:pPr>
              <w:pStyle w:val="Other0"/>
              <w:spacing w:after="0"/>
              <w:ind w:firstLine="380"/>
              <w:rPr>
                <w:sz w:val="16"/>
                <w:szCs w:val="16"/>
              </w:rPr>
            </w:pPr>
            <w:r>
              <w:rPr>
                <w:b/>
                <w:bCs/>
                <w:sz w:val="16"/>
                <w:szCs w:val="16"/>
              </w:rPr>
              <w:t>61%</w:t>
            </w:r>
          </w:p>
        </w:tc>
        <w:tc>
          <w:tcPr>
            <w:tcW w:w="1138" w:type="dxa"/>
            <w:tcBorders>
              <w:top w:val="single" w:sz="4" w:space="0" w:color="auto"/>
              <w:left w:val="single" w:sz="4" w:space="0" w:color="auto"/>
            </w:tcBorders>
            <w:shd w:val="clear" w:color="auto" w:fill="FAE3D5"/>
            <w:vAlign w:val="bottom"/>
          </w:tcPr>
          <w:p w:rsidR="00BA6524" w:rsidRDefault="00BD4AFA">
            <w:pPr>
              <w:pStyle w:val="Other0"/>
              <w:spacing w:after="0"/>
              <w:ind w:firstLine="400"/>
              <w:rPr>
                <w:sz w:val="16"/>
                <w:szCs w:val="16"/>
              </w:rPr>
            </w:pPr>
            <w:r>
              <w:rPr>
                <w:b/>
                <w:bCs/>
                <w:sz w:val="16"/>
                <w:szCs w:val="16"/>
              </w:rPr>
              <w:t>39%</w:t>
            </w:r>
          </w:p>
        </w:tc>
        <w:tc>
          <w:tcPr>
            <w:tcW w:w="1430" w:type="dxa"/>
            <w:tcBorders>
              <w:top w:val="single" w:sz="4" w:space="0" w:color="auto"/>
              <w:left w:val="single" w:sz="4" w:space="0" w:color="auto"/>
              <w:right w:val="single" w:sz="4" w:space="0" w:color="auto"/>
            </w:tcBorders>
            <w:shd w:val="clear" w:color="auto" w:fill="FAE3D5"/>
            <w:vAlign w:val="bottom"/>
          </w:tcPr>
          <w:p w:rsidR="00BA6524" w:rsidRDefault="00BD4AFA">
            <w:pPr>
              <w:pStyle w:val="Other0"/>
              <w:spacing w:after="0"/>
              <w:ind w:firstLine="500"/>
              <w:rPr>
                <w:sz w:val="16"/>
                <w:szCs w:val="16"/>
              </w:rPr>
            </w:pPr>
            <w:r>
              <w:rPr>
                <w:b/>
                <w:bCs/>
                <w:sz w:val="16"/>
                <w:szCs w:val="16"/>
              </w:rPr>
              <w:t>100%</w:t>
            </w:r>
          </w:p>
        </w:tc>
      </w:tr>
      <w:tr w:rsidR="00BA6524">
        <w:tblPrEx>
          <w:tblCellMar>
            <w:top w:w="0" w:type="dxa"/>
            <w:bottom w:w="0" w:type="dxa"/>
          </w:tblCellMar>
        </w:tblPrEx>
        <w:trPr>
          <w:trHeight w:hRule="exact" w:val="427"/>
          <w:jc w:val="center"/>
        </w:trPr>
        <w:tc>
          <w:tcPr>
            <w:tcW w:w="1853" w:type="dxa"/>
            <w:tcBorders>
              <w:top w:val="single" w:sz="4" w:space="0" w:color="auto"/>
              <w:left w:val="single" w:sz="4" w:space="0" w:color="auto"/>
              <w:bottom w:val="single" w:sz="4" w:space="0" w:color="auto"/>
            </w:tcBorders>
            <w:shd w:val="clear" w:color="auto" w:fill="FAE3D5"/>
          </w:tcPr>
          <w:p w:rsidR="00BA6524" w:rsidRDefault="00BD4AFA">
            <w:pPr>
              <w:pStyle w:val="Other0"/>
              <w:spacing w:after="0" w:line="233" w:lineRule="auto"/>
              <w:rPr>
                <w:sz w:val="16"/>
                <w:szCs w:val="16"/>
              </w:rPr>
            </w:pPr>
            <w:r>
              <w:rPr>
                <w:b/>
                <w:bCs/>
                <w:sz w:val="16"/>
                <w:szCs w:val="16"/>
              </w:rPr>
              <w:t>Funding on total budget</w:t>
            </w:r>
          </w:p>
        </w:tc>
        <w:tc>
          <w:tcPr>
            <w:tcW w:w="3686" w:type="dxa"/>
            <w:gridSpan w:val="3"/>
            <w:tcBorders>
              <w:top w:val="single" w:sz="4" w:space="0" w:color="auto"/>
              <w:left w:val="single" w:sz="4" w:space="0" w:color="auto"/>
              <w:bottom w:val="single" w:sz="4" w:space="0" w:color="auto"/>
            </w:tcBorders>
            <w:shd w:val="clear" w:color="auto" w:fill="FAE3D5"/>
            <w:vAlign w:val="center"/>
          </w:tcPr>
          <w:p w:rsidR="00BA6524" w:rsidRDefault="00BD4AFA">
            <w:pPr>
              <w:pStyle w:val="Other0"/>
              <w:spacing w:after="0"/>
              <w:jc w:val="center"/>
              <w:rPr>
                <w:sz w:val="16"/>
                <w:szCs w:val="16"/>
              </w:rPr>
            </w:pPr>
            <w:r>
              <w:rPr>
                <w:b/>
                <w:bCs/>
                <w:sz w:val="16"/>
                <w:szCs w:val="16"/>
              </w:rPr>
              <w:t>42%</w:t>
            </w:r>
          </w:p>
        </w:tc>
        <w:tc>
          <w:tcPr>
            <w:tcW w:w="192" w:type="dxa"/>
            <w:vMerge/>
            <w:tcBorders>
              <w:left w:val="single" w:sz="4" w:space="0" w:color="auto"/>
              <w:bottom w:val="single" w:sz="4" w:space="0" w:color="auto"/>
            </w:tcBorders>
            <w:shd w:val="clear" w:color="auto" w:fill="FFFFFF"/>
          </w:tcPr>
          <w:p w:rsidR="00BA6524" w:rsidRDefault="00BA6524"/>
        </w:tc>
        <w:tc>
          <w:tcPr>
            <w:tcW w:w="3375" w:type="dxa"/>
            <w:gridSpan w:val="3"/>
            <w:tcBorders>
              <w:top w:val="single" w:sz="4" w:space="0" w:color="auto"/>
              <w:left w:val="single" w:sz="4" w:space="0" w:color="auto"/>
              <w:bottom w:val="single" w:sz="4" w:space="0" w:color="auto"/>
            </w:tcBorders>
            <w:shd w:val="clear" w:color="auto" w:fill="FAE3D5"/>
            <w:vAlign w:val="center"/>
          </w:tcPr>
          <w:p w:rsidR="00BA6524" w:rsidRDefault="00BD4AFA">
            <w:pPr>
              <w:pStyle w:val="Other0"/>
              <w:spacing w:after="0"/>
              <w:jc w:val="center"/>
              <w:rPr>
                <w:sz w:val="16"/>
                <w:szCs w:val="16"/>
              </w:rPr>
            </w:pPr>
            <w:r>
              <w:rPr>
                <w:b/>
                <w:bCs/>
                <w:sz w:val="16"/>
                <w:szCs w:val="16"/>
              </w:rPr>
              <w:t>58%</w:t>
            </w:r>
          </w:p>
        </w:tc>
        <w:tc>
          <w:tcPr>
            <w:tcW w:w="187" w:type="dxa"/>
            <w:vMerge/>
            <w:tcBorders>
              <w:left w:val="single" w:sz="4" w:space="0" w:color="auto"/>
              <w:bottom w:val="single" w:sz="4" w:space="0" w:color="auto"/>
            </w:tcBorders>
            <w:shd w:val="clear" w:color="auto" w:fill="FFFFFF"/>
          </w:tcPr>
          <w:p w:rsidR="00BA6524" w:rsidRDefault="00BA6524"/>
        </w:tc>
        <w:tc>
          <w:tcPr>
            <w:tcW w:w="3672" w:type="dxa"/>
            <w:gridSpan w:val="3"/>
            <w:tcBorders>
              <w:top w:val="single" w:sz="4" w:space="0" w:color="auto"/>
              <w:left w:val="single" w:sz="4" w:space="0" w:color="auto"/>
              <w:bottom w:val="single" w:sz="4" w:space="0" w:color="auto"/>
              <w:right w:val="single" w:sz="4" w:space="0" w:color="auto"/>
            </w:tcBorders>
            <w:shd w:val="clear" w:color="auto" w:fill="FAE3D5"/>
            <w:vAlign w:val="center"/>
          </w:tcPr>
          <w:p w:rsidR="00BA6524" w:rsidRDefault="00BD4AFA">
            <w:pPr>
              <w:pStyle w:val="Other0"/>
              <w:spacing w:after="0"/>
              <w:jc w:val="center"/>
              <w:rPr>
                <w:sz w:val="16"/>
                <w:szCs w:val="16"/>
              </w:rPr>
            </w:pPr>
            <w:r>
              <w:rPr>
                <w:b/>
                <w:bCs/>
                <w:sz w:val="16"/>
                <w:szCs w:val="16"/>
              </w:rPr>
              <w:t>100%</w:t>
            </w:r>
          </w:p>
        </w:tc>
      </w:tr>
    </w:tbl>
    <w:p w:rsidR="00BA6524" w:rsidRDefault="00BD4AFA">
      <w:pPr>
        <w:spacing w:line="1" w:lineRule="exact"/>
      </w:pPr>
      <w:r>
        <w:rPr>
          <w:noProof/>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0689590" cy="7772400"/>
                <wp:effectExtent l="0" t="0" r="0" b="0"/>
                <wp:wrapNone/>
                <wp:docPr id="2" name="Shap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10689590" cy="7772400"/>
                        </a:xfrm>
                        <a:prstGeom prst="rect">
                          <a:avLst/>
                        </a:prstGeom>
                        <a:solidFill>
                          <a:srgbClr val="FDFDFD"/>
                        </a:solidFill>
                      </wps:spPr>
                      <wps:bodyPr/>
                    </wps:wsp>
                  </a:graphicData>
                </a:graphic>
              </wp:anchor>
            </w:drawing>
          </mc:Choice>
          <mc:Fallback>
            <w:pict>
              <v:rect style="position:absolute;margin-left:0;margin-top:0;width:841.70000000000005pt;height:612.pt;z-index:-251658240;mso-position-horizontal-relative:page;mso-position-vertical-relative:page;z-index:-251658751" fillcolor="#FDFDFD" stroked="f"/>
            </w:pict>
          </mc:Fallback>
        </mc:AlternateContent>
      </w:r>
    </w:p>
    <w:p w:rsidR="00BA6524" w:rsidRDefault="00BA6524">
      <w:pPr>
        <w:spacing w:line="1" w:lineRule="exact"/>
        <w:sectPr w:rsidR="00BA6524">
          <w:pgSz w:w="16834" w:h="12240" w:orient="landscape"/>
          <w:pgMar w:top="1443" w:right="1915" w:bottom="1437" w:left="1939" w:header="0" w:footer="3" w:gutter="0"/>
          <w:cols w:space="720"/>
          <w:noEndnote/>
          <w:docGrid w:linePitch="360"/>
        </w:sectPr>
      </w:pPr>
    </w:p>
    <w:p w:rsidR="00BA6524" w:rsidRDefault="00BD4AFA" w:rsidP="00BD4AFA">
      <w:pPr>
        <w:pStyle w:val="BodyText"/>
        <w:tabs>
          <w:tab w:val="left" w:pos="718"/>
        </w:tabs>
        <w:spacing w:before="520" w:after="260" w:line="233" w:lineRule="auto"/>
        <w:ind w:left="700" w:hanging="700"/>
        <w:jc w:val="both"/>
      </w:pPr>
      <w:bookmarkStart w:id="16" w:name="bookmark16"/>
      <w:bookmarkEnd w:id="16"/>
      <w:r>
        <w:rPr>
          <w:b/>
          <w:bCs/>
        </w:rPr>
        <w:t>4.</w:t>
      </w:r>
      <w:r>
        <w:rPr>
          <w:b/>
          <w:bCs/>
        </w:rPr>
        <w:tab/>
      </w:r>
      <w:r>
        <w:rPr>
          <w:b/>
          <w:bCs/>
        </w:rPr>
        <w:t xml:space="preserve">ACKNOWLEDGES </w:t>
      </w:r>
      <w:r>
        <w:t xml:space="preserve">the efforts in making the AU 2019 Budget more efficient and effective and </w:t>
      </w:r>
      <w:r>
        <w:rPr>
          <w:b/>
          <w:bCs/>
        </w:rPr>
        <w:t xml:space="preserve">DIRECTS </w:t>
      </w:r>
      <w:r>
        <w:t>the Commission to focus on fewer priority areas and avoid duplications;</w:t>
      </w:r>
    </w:p>
    <w:p w:rsidR="00BA6524" w:rsidRDefault="00BD4AFA" w:rsidP="00BD4AFA">
      <w:pPr>
        <w:pStyle w:val="BodyText"/>
        <w:tabs>
          <w:tab w:val="left" w:pos="718"/>
        </w:tabs>
        <w:spacing w:after="260"/>
        <w:ind w:left="700" w:hanging="700"/>
        <w:jc w:val="both"/>
      </w:pPr>
      <w:bookmarkStart w:id="17" w:name="bookmark17"/>
      <w:bookmarkEnd w:id="17"/>
      <w:r>
        <w:rPr>
          <w:b/>
          <w:bCs/>
        </w:rPr>
        <w:t>5.</w:t>
      </w:r>
      <w:r>
        <w:rPr>
          <w:b/>
          <w:bCs/>
        </w:rPr>
        <w:tab/>
      </w:r>
      <w:r>
        <w:rPr>
          <w:b/>
          <w:bCs/>
        </w:rPr>
        <w:t xml:space="preserve">REQUESTS </w:t>
      </w:r>
      <w:r>
        <w:t xml:space="preserve">the </w:t>
      </w:r>
      <w:r>
        <w:t>Commission to initiate an urgent independent audit of PAP and put on hold the release of the 2019 funds of PAP until completion of the audit exercise with ring-fencing salaries for staff and critical operational costs including utilities, such audit should</w:t>
      </w:r>
      <w:r>
        <w:t xml:space="preserve"> be concluded by October 2018;</w:t>
      </w:r>
    </w:p>
    <w:p w:rsidR="00BA6524" w:rsidRDefault="00BD4AFA" w:rsidP="00BD4AFA">
      <w:pPr>
        <w:pStyle w:val="BodyText"/>
        <w:tabs>
          <w:tab w:val="left" w:pos="718"/>
        </w:tabs>
        <w:spacing w:after="260"/>
        <w:ind w:left="700" w:hanging="700"/>
        <w:jc w:val="both"/>
      </w:pPr>
      <w:bookmarkStart w:id="18" w:name="bookmark18"/>
      <w:bookmarkEnd w:id="18"/>
      <w:r>
        <w:rPr>
          <w:b/>
          <w:bCs/>
        </w:rPr>
        <w:t>6.</w:t>
      </w:r>
      <w:r>
        <w:rPr>
          <w:b/>
          <w:bCs/>
        </w:rPr>
        <w:tab/>
      </w:r>
      <w:r>
        <w:rPr>
          <w:b/>
          <w:bCs/>
        </w:rPr>
        <w:t xml:space="preserve">FURTHER REQUESTS </w:t>
      </w:r>
      <w:r>
        <w:t>the PRC to consider the Audit Report and conclude its consideration no later than 15 November 2018, and based on the findings take appropriate action and report back to the Executive Council at the February 2</w:t>
      </w:r>
      <w:r>
        <w:t>019 Summit;</w:t>
      </w:r>
    </w:p>
    <w:p w:rsidR="00BA6524" w:rsidRDefault="00BD4AFA" w:rsidP="00BD4AFA">
      <w:pPr>
        <w:pStyle w:val="BodyText"/>
        <w:tabs>
          <w:tab w:val="left" w:pos="718"/>
        </w:tabs>
        <w:spacing w:after="260"/>
        <w:ind w:left="700" w:hanging="700"/>
        <w:jc w:val="both"/>
      </w:pPr>
      <w:bookmarkStart w:id="19" w:name="bookmark19"/>
      <w:bookmarkEnd w:id="19"/>
      <w:r>
        <w:rPr>
          <w:b/>
          <w:bCs/>
        </w:rPr>
        <w:t>7.</w:t>
      </w:r>
      <w:r>
        <w:rPr>
          <w:b/>
          <w:bCs/>
        </w:rPr>
        <w:tab/>
      </w:r>
      <w:r>
        <w:rPr>
          <w:b/>
          <w:bCs/>
        </w:rPr>
        <w:t xml:space="preserve">DECIDES </w:t>
      </w:r>
      <w:r>
        <w:t>that the President of PAP shall refrain from adopting decisions with regard to staff disciplinary measures without prior approval from the Chairperson of the AU Commission until the audit is completed;</w:t>
      </w:r>
    </w:p>
    <w:p w:rsidR="00BA6524" w:rsidRDefault="00BD4AFA" w:rsidP="00BD4AFA">
      <w:pPr>
        <w:pStyle w:val="BodyText"/>
        <w:tabs>
          <w:tab w:val="left" w:pos="718"/>
        </w:tabs>
        <w:spacing w:after="260"/>
        <w:jc w:val="both"/>
      </w:pPr>
      <w:bookmarkStart w:id="20" w:name="bookmark20"/>
      <w:bookmarkEnd w:id="20"/>
      <w:r>
        <w:rPr>
          <w:b/>
          <w:bCs/>
        </w:rPr>
        <w:t>8.</w:t>
      </w:r>
      <w:r>
        <w:rPr>
          <w:b/>
          <w:bCs/>
        </w:rPr>
        <w:tab/>
      </w:r>
      <w:r>
        <w:rPr>
          <w:b/>
          <w:bCs/>
        </w:rPr>
        <w:t xml:space="preserve">DIRECTS </w:t>
      </w:r>
      <w:r>
        <w:t>the Commission:</w:t>
      </w:r>
    </w:p>
    <w:p w:rsidR="00BA6524" w:rsidRDefault="00BD4AFA" w:rsidP="00BD4AFA">
      <w:pPr>
        <w:pStyle w:val="BodyText"/>
        <w:tabs>
          <w:tab w:val="left" w:pos="1277"/>
        </w:tabs>
        <w:spacing w:after="260"/>
        <w:ind w:left="1280" w:hanging="560"/>
        <w:jc w:val="both"/>
      </w:pPr>
      <w:bookmarkStart w:id="21" w:name="bookmark21"/>
      <w:bookmarkEnd w:id="21"/>
      <w:r>
        <w:rPr>
          <w:shd w:val="clear" w:color="auto" w:fill="FFFFFF"/>
        </w:rPr>
        <w:t>(i)</w:t>
      </w:r>
      <w:r>
        <w:rPr>
          <w:shd w:val="clear" w:color="auto" w:fill="FFFFFF"/>
        </w:rPr>
        <w:tab/>
      </w:r>
      <w:r>
        <w:t>to underta</w:t>
      </w:r>
      <w:r>
        <w:t>ke a review of the organisational structure and an independent human resource audit of its staff establishment (for regular and short term staff) in order to address duplications, functional overlaps, assert their relevance and financial implications, amon</w:t>
      </w:r>
      <w:r>
        <w:t>g others, and report to the February 2019 Summit;</w:t>
      </w:r>
    </w:p>
    <w:p w:rsidR="00BA6524" w:rsidRDefault="00BD4AFA" w:rsidP="00BD4AFA">
      <w:pPr>
        <w:pStyle w:val="BodyText"/>
        <w:tabs>
          <w:tab w:val="left" w:pos="1277"/>
        </w:tabs>
        <w:spacing w:after="260" w:line="233" w:lineRule="auto"/>
        <w:ind w:left="1280" w:hanging="560"/>
        <w:jc w:val="both"/>
      </w:pPr>
      <w:bookmarkStart w:id="22" w:name="bookmark22"/>
      <w:bookmarkEnd w:id="22"/>
      <w:r>
        <w:rPr>
          <w:shd w:val="clear" w:color="auto" w:fill="FFFFFF"/>
        </w:rPr>
        <w:t>(ii)</w:t>
      </w:r>
      <w:r>
        <w:rPr>
          <w:shd w:val="clear" w:color="auto" w:fill="FFFFFF"/>
        </w:rPr>
        <w:tab/>
      </w:r>
      <w:r>
        <w:t>to undertake a performance audit of the budget execution of the Union, and report to the February 2019 Summit;</w:t>
      </w:r>
    </w:p>
    <w:p w:rsidR="00BA6524" w:rsidRDefault="00BD4AFA" w:rsidP="00BD4AFA">
      <w:pPr>
        <w:pStyle w:val="BodyText"/>
        <w:tabs>
          <w:tab w:val="left" w:pos="1277"/>
        </w:tabs>
        <w:spacing w:after="260"/>
        <w:ind w:left="1280" w:hanging="560"/>
        <w:jc w:val="both"/>
      </w:pPr>
      <w:bookmarkStart w:id="23" w:name="bookmark23"/>
      <w:bookmarkEnd w:id="23"/>
      <w:r>
        <w:rPr>
          <w:shd w:val="clear" w:color="auto" w:fill="FFFFFF"/>
        </w:rPr>
        <w:t>(iii)</w:t>
      </w:r>
      <w:r>
        <w:rPr>
          <w:shd w:val="clear" w:color="auto" w:fill="FFFFFF"/>
        </w:rPr>
        <w:tab/>
      </w:r>
      <w:r>
        <w:t>to institute an independent audit of the Reserve Fund in order to establish a baseline from whi</w:t>
      </w:r>
      <w:r>
        <w:t>ch to monitor its management and utilisation and to report to the PRC through the relevant Sub-Committee;</w:t>
      </w:r>
    </w:p>
    <w:p w:rsidR="00BA6524" w:rsidRDefault="00BD4AFA" w:rsidP="00BD4AFA">
      <w:pPr>
        <w:pStyle w:val="BodyText"/>
        <w:tabs>
          <w:tab w:val="left" w:pos="1277"/>
        </w:tabs>
        <w:spacing w:after="260" w:line="230" w:lineRule="auto"/>
        <w:ind w:left="1280" w:hanging="560"/>
        <w:jc w:val="both"/>
      </w:pPr>
      <w:bookmarkStart w:id="24" w:name="bookmark24"/>
      <w:bookmarkEnd w:id="24"/>
      <w:r>
        <w:rPr>
          <w:shd w:val="clear" w:color="auto" w:fill="FFFFFF"/>
        </w:rPr>
        <w:t>(iv)</w:t>
      </w:r>
      <w:r>
        <w:rPr>
          <w:shd w:val="clear" w:color="auto" w:fill="FFFFFF"/>
        </w:rPr>
        <w:tab/>
      </w:r>
      <w:r>
        <w:t>to implement the Executive Council Decision EX.CL/Dec.815(XXV) on non</w:t>
      </w:r>
      <w:r>
        <w:softHyphen/>
        <w:t>compliance without delay;</w:t>
      </w:r>
    </w:p>
    <w:p w:rsidR="00BA6524" w:rsidRDefault="00BD4AFA" w:rsidP="00BD4AFA">
      <w:pPr>
        <w:pStyle w:val="BodyText"/>
        <w:tabs>
          <w:tab w:val="left" w:pos="1277"/>
        </w:tabs>
        <w:spacing w:after="260"/>
        <w:ind w:left="1280" w:hanging="560"/>
        <w:jc w:val="both"/>
      </w:pPr>
      <w:bookmarkStart w:id="25" w:name="bookmark25"/>
      <w:bookmarkEnd w:id="25"/>
      <w:r>
        <w:rPr>
          <w:shd w:val="clear" w:color="auto" w:fill="FFFFFF"/>
        </w:rPr>
        <w:t>(v)</w:t>
      </w:r>
      <w:r>
        <w:rPr>
          <w:shd w:val="clear" w:color="auto" w:fill="FFFFFF"/>
        </w:rPr>
        <w:tab/>
      </w:r>
      <w:r>
        <w:t>to ensure that the funding of all activities is reflec</w:t>
      </w:r>
      <w:r>
        <w:t>ted through the budgetary process;</w:t>
      </w:r>
    </w:p>
    <w:p w:rsidR="00BA6524" w:rsidRDefault="00BD4AFA" w:rsidP="00BD4AFA">
      <w:pPr>
        <w:pStyle w:val="BodyText"/>
        <w:tabs>
          <w:tab w:val="left" w:pos="1277"/>
        </w:tabs>
        <w:spacing w:after="260"/>
        <w:ind w:left="1280" w:hanging="560"/>
        <w:jc w:val="both"/>
      </w:pPr>
      <w:bookmarkStart w:id="26" w:name="bookmark26"/>
      <w:bookmarkEnd w:id="26"/>
      <w:r>
        <w:rPr>
          <w:shd w:val="clear" w:color="auto" w:fill="FFFFFF"/>
        </w:rPr>
        <w:t>(vi)</w:t>
      </w:r>
      <w:r>
        <w:rPr>
          <w:shd w:val="clear" w:color="auto" w:fill="FFFFFF"/>
        </w:rPr>
        <w:tab/>
      </w:r>
      <w:r>
        <w:t>to strengthen the quarterly reporting mechanism on the execution of the budget for submission to the Joint Sitting of the PRC Sub-Committee on General Supervision and Coordination on the Administrative, Budgetary and Fina</w:t>
      </w:r>
      <w:r>
        <w:t>ncial Matters and the PRC Sub-Committee on Programmes and Conferences as well as the F15 Committee of experts ;</w:t>
      </w:r>
    </w:p>
    <w:p w:rsidR="00BA6524" w:rsidRDefault="00BD4AFA" w:rsidP="00BD4AFA">
      <w:pPr>
        <w:pStyle w:val="BodyText"/>
        <w:tabs>
          <w:tab w:val="left" w:pos="1257"/>
        </w:tabs>
        <w:spacing w:after="260"/>
        <w:ind w:left="1260" w:hanging="560"/>
        <w:jc w:val="both"/>
      </w:pPr>
      <w:bookmarkStart w:id="27" w:name="bookmark27"/>
      <w:bookmarkEnd w:id="27"/>
      <w:r>
        <w:rPr>
          <w:shd w:val="clear" w:color="auto" w:fill="FFFFFF"/>
        </w:rPr>
        <w:t>(vii)</w:t>
      </w:r>
      <w:r>
        <w:rPr>
          <w:shd w:val="clear" w:color="auto" w:fill="FFFFFF"/>
        </w:rPr>
        <w:tab/>
      </w:r>
      <w:r>
        <w:t>to develop a recommendation-monitoring matrix to track implementation of all recommendations of the Joint Sitting of the PRC Sub-Committee on Ge</w:t>
      </w:r>
      <w:r>
        <w:t>neral Supervision and Coordination on Budgetary, Financial and Administrative Matters, and the Sub-Committee on Programs and Conferences as well as the F15 Committee of experts, as adopted by the PRC;</w:t>
      </w:r>
    </w:p>
    <w:p w:rsidR="00BA6524" w:rsidRDefault="00BD4AFA">
      <w:pPr>
        <w:pStyle w:val="BodyText"/>
        <w:spacing w:after="260"/>
        <w:ind w:left="1260" w:hanging="560"/>
        <w:jc w:val="both"/>
      </w:pPr>
      <w:r>
        <w:t>(viii) to comply with the relevant provisions related t</w:t>
      </w:r>
      <w:r>
        <w:t>o financial, structural and legal implications.</w:t>
      </w:r>
    </w:p>
    <w:p w:rsidR="00BA6524" w:rsidRDefault="00BD4AFA" w:rsidP="00BD4AFA">
      <w:pPr>
        <w:pStyle w:val="Heading10"/>
        <w:keepNext/>
        <w:keepLines/>
        <w:tabs>
          <w:tab w:val="left" w:pos="708"/>
        </w:tabs>
        <w:spacing w:after="260"/>
        <w:jc w:val="both"/>
      </w:pPr>
      <w:bookmarkStart w:id="28" w:name="bookmark30"/>
      <w:bookmarkStart w:id="29" w:name="bookmark28"/>
      <w:bookmarkStart w:id="30" w:name="bookmark29"/>
      <w:bookmarkStart w:id="31" w:name="bookmark31"/>
      <w:bookmarkEnd w:id="28"/>
      <w:r>
        <w:t>9.</w:t>
      </w:r>
      <w:r>
        <w:tab/>
      </w:r>
      <w:r>
        <w:t>DECIDES:</w:t>
      </w:r>
      <w:bookmarkEnd w:id="29"/>
      <w:bookmarkEnd w:id="30"/>
      <w:bookmarkEnd w:id="31"/>
    </w:p>
    <w:p w:rsidR="00BA6524" w:rsidRDefault="00BD4AFA" w:rsidP="00BD4AFA">
      <w:pPr>
        <w:pStyle w:val="BodyText"/>
        <w:tabs>
          <w:tab w:val="left" w:pos="1430"/>
        </w:tabs>
        <w:spacing w:after="260"/>
        <w:ind w:left="1420" w:hanging="340"/>
        <w:jc w:val="both"/>
      </w:pPr>
      <w:bookmarkStart w:id="32" w:name="bookmark32"/>
      <w:bookmarkEnd w:id="32"/>
      <w:r>
        <w:t>(i)</w:t>
      </w:r>
      <w:r>
        <w:tab/>
      </w:r>
      <w:r>
        <w:t xml:space="preserve">that the budget session for the year 2020 and beyond should begin with the presentation of internal audit, performance reports, the budget framework paper (BFP) and budget ceiling for </w:t>
      </w:r>
      <w:r>
        <w:t>consideration by the relevant Joint Sitting of the PRC Sub-Committee on General Supervision and Coordination on Budgetary, Financial and Administrative Matters, and the Sub-Committee on Programs and Conferences as well as the F15 Committee of experts;</w:t>
      </w:r>
    </w:p>
    <w:p w:rsidR="00BA6524" w:rsidRDefault="00BD4AFA" w:rsidP="00BD4AFA">
      <w:pPr>
        <w:pStyle w:val="BodyText"/>
        <w:tabs>
          <w:tab w:val="left" w:pos="1455"/>
        </w:tabs>
        <w:spacing w:after="260"/>
        <w:ind w:left="1420" w:hanging="340"/>
        <w:jc w:val="both"/>
      </w:pPr>
      <w:bookmarkStart w:id="33" w:name="bookmark33"/>
      <w:bookmarkEnd w:id="33"/>
      <w:r>
        <w:t>(ii)</w:t>
      </w:r>
      <w:r>
        <w:tab/>
      </w:r>
      <w:r>
        <w:t>that</w:t>
      </w:r>
      <w:r>
        <w:t xml:space="preserve"> all partner funds should be centralized within the Directorate for Strategic Policy Planning, Monitoring and Evaluation and Resource Mobilization and that extra budgetary funding of activities should not be tolerated;</w:t>
      </w:r>
    </w:p>
    <w:p w:rsidR="00BA6524" w:rsidRDefault="00BD4AFA" w:rsidP="00BD4AFA">
      <w:pPr>
        <w:pStyle w:val="BodyText"/>
        <w:tabs>
          <w:tab w:val="left" w:pos="708"/>
        </w:tabs>
        <w:spacing w:after="260"/>
        <w:ind w:left="700" w:hanging="700"/>
        <w:jc w:val="both"/>
      </w:pPr>
      <w:bookmarkStart w:id="34" w:name="bookmark34"/>
      <w:bookmarkEnd w:id="34"/>
      <w:r>
        <w:rPr>
          <w:b/>
          <w:bCs/>
        </w:rPr>
        <w:t>10.</w:t>
      </w:r>
      <w:r>
        <w:rPr>
          <w:b/>
          <w:bCs/>
        </w:rPr>
        <w:tab/>
      </w:r>
      <w:r>
        <w:rPr>
          <w:b/>
          <w:bCs/>
        </w:rPr>
        <w:t xml:space="preserve">REQUESTS </w:t>
      </w:r>
      <w:r>
        <w:t>the Accounting Officer of th</w:t>
      </w:r>
      <w:r>
        <w:t>e Union to certify budget proposals against set criteria prior to submission to the Joint Sitting of the PRC Sub- Committee on General Supervision and Coordination on Budgetary, Financial and Administrative Matters, and the Sub-Committee on Programs and Co</w:t>
      </w:r>
      <w:r>
        <w:t>nferences as well as the F15 Committee of experts;</w:t>
      </w:r>
    </w:p>
    <w:p w:rsidR="00BA6524" w:rsidRDefault="00BD4AFA" w:rsidP="00BD4AFA">
      <w:pPr>
        <w:pStyle w:val="BodyText"/>
        <w:tabs>
          <w:tab w:val="left" w:pos="708"/>
        </w:tabs>
        <w:spacing w:after="260"/>
        <w:ind w:left="700" w:hanging="700"/>
        <w:jc w:val="both"/>
      </w:pPr>
      <w:bookmarkStart w:id="35" w:name="bookmark35"/>
      <w:bookmarkEnd w:id="35"/>
      <w:r>
        <w:rPr>
          <w:b/>
          <w:bCs/>
        </w:rPr>
        <w:t>11.</w:t>
      </w:r>
      <w:r>
        <w:rPr>
          <w:b/>
          <w:bCs/>
        </w:rPr>
        <w:tab/>
      </w:r>
      <w:r>
        <w:rPr>
          <w:b/>
          <w:bCs/>
        </w:rPr>
        <w:t xml:space="preserve">ALSO REAUETSTS </w:t>
      </w:r>
      <w:r>
        <w:t>that all proposed decisions presented to the Assembly and Executive Council should indicate the structural, legal and financial implications and assessment of activity duplication across dep</w:t>
      </w:r>
      <w:r>
        <w:t>artments and organs;</w:t>
      </w:r>
    </w:p>
    <w:p w:rsidR="00BA6524" w:rsidRDefault="00BD4AFA" w:rsidP="00BD4AFA">
      <w:pPr>
        <w:pStyle w:val="BodyText"/>
        <w:tabs>
          <w:tab w:val="left" w:pos="708"/>
        </w:tabs>
        <w:spacing w:after="260"/>
        <w:ind w:left="700" w:hanging="700"/>
        <w:jc w:val="both"/>
      </w:pPr>
      <w:bookmarkStart w:id="36" w:name="bookmark36"/>
      <w:bookmarkEnd w:id="36"/>
      <w:r>
        <w:rPr>
          <w:b/>
          <w:bCs/>
        </w:rPr>
        <w:t>12.</w:t>
      </w:r>
      <w:r>
        <w:rPr>
          <w:b/>
          <w:bCs/>
        </w:rPr>
        <w:tab/>
      </w:r>
      <w:r>
        <w:rPr>
          <w:b/>
          <w:bCs/>
        </w:rPr>
        <w:t xml:space="preserve">DECIDES </w:t>
      </w:r>
      <w:r>
        <w:t>to reconfigure the composition of the Ministerial Committee on Scale of Assessment to include the Committee of Fifteen Ministers of Finance (F15).</w:t>
      </w:r>
    </w:p>
    <w:sectPr w:rsidR="00BA6524">
      <w:pgSz w:w="12240" w:h="16834"/>
      <w:pgMar w:top="1941" w:right="1347" w:bottom="2169" w:left="14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D4AFA">
      <w:r>
        <w:separator/>
      </w:r>
    </w:p>
  </w:endnote>
  <w:endnote w:type="continuationSeparator" w:id="0">
    <w:p w:rsidR="00000000" w:rsidRDefault="00BD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6524" w:rsidRDefault="00BD4AFA">
      <w:r>
        <w:separator/>
      </w:r>
    </w:p>
  </w:footnote>
  <w:footnote w:type="continuationSeparator" w:id="0">
    <w:p w:rsidR="00BA6524" w:rsidRDefault="00BD4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4020"/>
    <w:multiLevelType w:val="multilevel"/>
    <w:tmpl w:val="B9B6124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2F183A"/>
    <w:multiLevelType w:val="multilevel"/>
    <w:tmpl w:val="2D9C3D5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DE5A71"/>
    <w:multiLevelType w:val="multilevel"/>
    <w:tmpl w:val="C9BCB58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5871A7"/>
    <w:multiLevelType w:val="multilevel"/>
    <w:tmpl w:val="B11ACCC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515F2A"/>
    <w:multiLevelType w:val="multilevel"/>
    <w:tmpl w:val="16BEF7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0117F2"/>
    <w:multiLevelType w:val="multilevel"/>
    <w:tmpl w:val="82B4C27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4B2688"/>
    <w:multiLevelType w:val="multilevel"/>
    <w:tmpl w:val="B09A74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383537">
    <w:abstractNumId w:val="1"/>
  </w:num>
  <w:num w:numId="2" w16cid:durableId="1797291492">
    <w:abstractNumId w:val="3"/>
  </w:num>
  <w:num w:numId="3" w16cid:durableId="115612468">
    <w:abstractNumId w:val="0"/>
  </w:num>
  <w:num w:numId="4" w16cid:durableId="532495573">
    <w:abstractNumId w:val="6"/>
  </w:num>
  <w:num w:numId="5" w16cid:durableId="673842611">
    <w:abstractNumId w:val="4"/>
  </w:num>
  <w:num w:numId="6" w16cid:durableId="1498233214">
    <w:abstractNumId w:val="2"/>
  </w:num>
  <w:num w:numId="7" w16cid:durableId="1765345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524"/>
    <w:rsid w:val="00BA6524"/>
    <w:rsid w:val="00BD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 w:type="paragraph" w:customStyle="1" w:styleId="Other0">
    <w:name w:val="Other"/>
    <w:basedOn w:val="Normal"/>
    <w:link w:val="Other"/>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6948</Characters>
  <Application>Microsoft Office Word</Application>
  <DocSecurity>0</DocSecurity>
  <Lines>57</Lines>
  <Paragraphs>16</Paragraphs>
  <ScaleCrop>false</ScaleCrop>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2022-10-26T06:26:00Z</dcterms:created>
  <dcterms:modified xsi:type="dcterms:W3CDTF">2022-10-26T06:26:00Z</dcterms:modified>
</cp:coreProperties>
</file>