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A6B" w:rsidRDefault="004748CA">
      <w:pPr>
        <w:pStyle w:val="BodyText"/>
        <w:jc w:val="center"/>
      </w:pPr>
      <w:r>
        <w:rPr>
          <w:b/>
          <w:bCs/>
        </w:rPr>
        <w:t>DECISION ON THE REPORT OF THE MINISTERIAL COMMITTEE</w:t>
      </w:r>
      <w:r>
        <w:rPr>
          <w:b/>
          <w:bCs/>
        </w:rPr>
        <w:br/>
        <w:t>ON SCALE OF ASSESSMENT AND CONTRIBUTIONS</w:t>
      </w:r>
      <w:r>
        <w:rPr>
          <w:b/>
          <w:bCs/>
        </w:rPr>
        <w:br/>
        <w:t>Doc. EX.CL/1097(XXXIII)</w:t>
      </w:r>
    </w:p>
    <w:p w:rsidR="004E7A6B" w:rsidRDefault="004748CA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4E7A6B" w:rsidRDefault="004748CA" w:rsidP="004748CA">
      <w:pPr>
        <w:pStyle w:val="BodyText"/>
        <w:tabs>
          <w:tab w:val="left" w:pos="714"/>
        </w:tabs>
        <w:spacing w:line="233" w:lineRule="auto"/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Ministerial Committee on the Scale of Assessment and Contributions and </w:t>
      </w:r>
      <w:r>
        <w:rPr>
          <w:b/>
          <w:bCs/>
        </w:rPr>
        <w:t xml:space="preserve">ENDORSES </w:t>
      </w:r>
      <w:r>
        <w:t>the recommendations contained therein;</w:t>
      </w:r>
    </w:p>
    <w:p w:rsidR="004E7A6B" w:rsidRDefault="004748CA" w:rsidP="004748CA">
      <w:pPr>
        <w:pStyle w:val="BodyText"/>
        <w:tabs>
          <w:tab w:val="left" w:pos="714"/>
        </w:tabs>
        <w:spacing w:line="233" w:lineRule="auto"/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Member States that are up to date in the payment of their contribution and </w:t>
      </w:r>
      <w:r>
        <w:rPr>
          <w:b/>
          <w:bCs/>
        </w:rPr>
        <w:t xml:space="preserve">URGES </w:t>
      </w:r>
      <w:r>
        <w:t>Member States which have n</w:t>
      </w:r>
      <w:r>
        <w:t>ot yet done so to pay their assessed contribution;</w:t>
      </w:r>
    </w:p>
    <w:p w:rsidR="004E7A6B" w:rsidRDefault="004748CA" w:rsidP="004748CA">
      <w:pPr>
        <w:pStyle w:val="BodyText"/>
        <w:tabs>
          <w:tab w:val="left" w:pos="714"/>
        </w:tabs>
        <w:ind w:left="7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MAINTAINS </w:t>
      </w:r>
      <w:r>
        <w:t>the previous sanctions imposed on the following countries: The Central African Republic, Guinea Bissau and South Sudan;</w:t>
      </w:r>
    </w:p>
    <w:p w:rsidR="004E7A6B" w:rsidRDefault="004748CA" w:rsidP="004748CA">
      <w:pPr>
        <w:pStyle w:val="BodyText"/>
        <w:tabs>
          <w:tab w:val="left" w:pos="714"/>
        </w:tabs>
        <w:ind w:left="7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current scale of assessment should be maintained for the Y</w:t>
      </w:r>
      <w:r>
        <w:t>ear 2019 until a new scale of assessment is approved latest by February 2019, for application starting 2020;</w:t>
      </w:r>
    </w:p>
    <w:p w:rsidR="004E7A6B" w:rsidRDefault="004748CA" w:rsidP="004748CA">
      <w:pPr>
        <w:pStyle w:val="BodyText"/>
        <w:tabs>
          <w:tab w:val="left" w:pos="714"/>
        </w:tabs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</w:t>
      </w:r>
    </w:p>
    <w:p w:rsidR="004E7A6B" w:rsidRDefault="004748CA" w:rsidP="004748CA">
      <w:pPr>
        <w:pStyle w:val="BodyText"/>
        <w:tabs>
          <w:tab w:val="left" w:pos="1262"/>
        </w:tabs>
        <w:spacing w:line="233" w:lineRule="auto"/>
        <w:ind w:left="1260" w:hanging="560"/>
        <w:jc w:val="both"/>
      </w:pPr>
      <w:bookmarkStart w:id="8" w:name="bookmark8"/>
      <w:bookmarkEnd w:id="8"/>
      <w:r>
        <w:t>(i)</w:t>
      </w:r>
      <w:r>
        <w:tab/>
      </w:r>
      <w:r>
        <w:t>circulate the documents on the New Scale of Assessment and the Sanctions Regime to all Member States by 15 July 2018 for</w:t>
      </w:r>
      <w:r>
        <w:t xml:space="preserve"> their inputs by 15 October 2018;</w:t>
      </w:r>
    </w:p>
    <w:p w:rsidR="004E7A6B" w:rsidRDefault="004748CA" w:rsidP="004748CA">
      <w:pPr>
        <w:pStyle w:val="BodyText"/>
        <w:tabs>
          <w:tab w:val="left" w:pos="1262"/>
        </w:tabs>
        <w:ind w:left="1260" w:hanging="560"/>
        <w:jc w:val="both"/>
      </w:pPr>
      <w:bookmarkStart w:id="9" w:name="bookmark9"/>
      <w:bookmarkEnd w:id="9"/>
      <w:r>
        <w:t>(ii)</w:t>
      </w:r>
      <w:r>
        <w:tab/>
      </w:r>
      <w:r>
        <w:t>convene in November 2018, a Joint Sitting of the Permanent Representatives’ Committee (PRC), including experts from Capitals, and the Committee of Fifteen Finance Ministers’ Technical Experts (F15) to review all the docume</w:t>
      </w:r>
      <w:r>
        <w:t>nts pertaining to the New Scale of Assessment and the Sanctions Regimes;</w:t>
      </w:r>
    </w:p>
    <w:p w:rsidR="004E7A6B" w:rsidRDefault="004748CA" w:rsidP="004748CA">
      <w:pPr>
        <w:pStyle w:val="BodyText"/>
        <w:tabs>
          <w:tab w:val="left" w:pos="1262"/>
        </w:tabs>
        <w:ind w:left="1260" w:hanging="560"/>
        <w:jc w:val="both"/>
      </w:pPr>
      <w:bookmarkStart w:id="10" w:name="bookmark10"/>
      <w:bookmarkEnd w:id="10"/>
      <w:r>
        <w:t>(iii)</w:t>
      </w:r>
      <w:r>
        <w:tab/>
      </w:r>
      <w:r>
        <w:t>convene a Joint Sitting of the Committee of Ministers on Scale Assessment and Contributions and the F15 Ministerial Committee to consider the recommendations of the Joint Sitting of t</w:t>
      </w:r>
      <w:r>
        <w:t>he PRC and F15 Experts prior to submission to the next Executive Council Meeting scheduled for February 2019.</w:t>
      </w:r>
    </w:p>
    <w:sectPr w:rsidR="004E7A6B">
      <w:pgSz w:w="12240" w:h="16834"/>
      <w:pgMar w:top="2016" w:right="1396" w:bottom="4335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748CA">
      <w:r>
        <w:separator/>
      </w:r>
    </w:p>
  </w:endnote>
  <w:endnote w:type="continuationSeparator" w:id="0">
    <w:p w:rsidR="00000000" w:rsidRDefault="0047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A6B" w:rsidRDefault="004748CA">
      <w:r>
        <w:separator/>
      </w:r>
    </w:p>
  </w:footnote>
  <w:footnote w:type="continuationSeparator" w:id="0">
    <w:p w:rsidR="004E7A6B" w:rsidRDefault="0047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E15"/>
    <w:multiLevelType w:val="multilevel"/>
    <w:tmpl w:val="70E8D17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3F60A6"/>
    <w:multiLevelType w:val="multilevel"/>
    <w:tmpl w:val="271CC5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3529498">
    <w:abstractNumId w:val="1"/>
  </w:num>
  <w:num w:numId="2" w16cid:durableId="15517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6B"/>
    <w:rsid w:val="004748CA"/>
    <w:rsid w:val="004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