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2A8" w:rsidRDefault="00C8228C">
      <w:pPr>
        <w:pStyle w:val="BodyText"/>
        <w:spacing w:after="260"/>
        <w:jc w:val="center"/>
      </w:pPr>
      <w:r>
        <w:rPr>
          <w:b/>
          <w:bCs/>
        </w:rPr>
        <w:t>DECISION ON THE REALIGNMENT OF THE LEGAL INSTRUMENTS</w:t>
      </w:r>
      <w:r>
        <w:rPr>
          <w:b/>
          <w:bCs/>
        </w:rPr>
        <w:br/>
        <w:t>WITH THE DECISION ON THE INSTITUTIONAL REFORM</w:t>
      </w:r>
      <w:r>
        <w:rPr>
          <w:b/>
          <w:bCs/>
        </w:rPr>
        <w:br/>
        <w:t>Doc. EX.CL/1121 (XXXIV)</w:t>
      </w:r>
    </w:p>
    <w:p w:rsidR="009D72A8" w:rsidRDefault="00C8228C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9D72A8" w:rsidRDefault="00C8228C" w:rsidP="00C8228C">
      <w:pPr>
        <w:pStyle w:val="BodyText"/>
        <w:tabs>
          <w:tab w:val="left" w:pos="721"/>
        </w:tabs>
        <w:spacing w:after="260"/>
        <w:ind w:left="720" w:hanging="72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Decision Ext/Assembly/AU/Dec.1(XI) adopted by the Eleventh Extraordinary Session held in </w:t>
      </w:r>
      <w:r>
        <w:t>Addis Ababa, Ethiopia, from 17 to 18 November 2018, requesting the Commission to align all relevant legal instruments, in line with the Institutional Reform;</w:t>
      </w:r>
    </w:p>
    <w:p w:rsidR="009D72A8" w:rsidRDefault="00C8228C" w:rsidP="00C8228C">
      <w:pPr>
        <w:pStyle w:val="BodyText"/>
        <w:tabs>
          <w:tab w:val="left" w:pos="721"/>
        </w:tabs>
        <w:spacing w:after="260"/>
        <w:ind w:left="720" w:hanging="72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>the Commission for the progress report on the alignment of the Rules of Procedures of the</w:t>
      </w:r>
      <w:r>
        <w:t xml:space="preserve"> Assembly, Executive Council, Permanent Representative Committee and the Statute of the Commission;</w:t>
      </w:r>
    </w:p>
    <w:p w:rsidR="009D72A8" w:rsidRDefault="00C8228C" w:rsidP="00C8228C">
      <w:pPr>
        <w:pStyle w:val="BodyText"/>
        <w:tabs>
          <w:tab w:val="left" w:pos="721"/>
        </w:tabs>
        <w:spacing w:after="260"/>
        <w:ind w:left="720" w:hanging="72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discrepancy highlighted in the Commission report and emphasises the need to review and harmonize all relevant legal instruments;</w:t>
      </w:r>
    </w:p>
    <w:p w:rsidR="009D72A8" w:rsidRDefault="00C8228C" w:rsidP="00C8228C">
      <w:pPr>
        <w:pStyle w:val="BodyText"/>
        <w:tabs>
          <w:tab w:val="left" w:pos="721"/>
        </w:tabs>
        <w:spacing w:after="260"/>
        <w:ind w:left="720" w:hanging="72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further review and finalize all relevant legal instruments and submit a report, as well as, the amended version of the legal instruments through the PRC and its Sub-Committee on Rules, Standards and Credentials to the 36</w:t>
      </w:r>
      <w:r>
        <w:rPr>
          <w:vertAlign w:val="superscript"/>
        </w:rPr>
        <w:t>th</w:t>
      </w:r>
      <w:r>
        <w:t xml:space="preserve"> Ordinary Sessio</w:t>
      </w:r>
      <w:r>
        <w:t>n of the Executive Council in February 2020.</w:t>
      </w:r>
    </w:p>
    <w:sectPr w:rsidR="009D72A8">
      <w:pgSz w:w="12240" w:h="16834"/>
      <w:pgMar w:top="1934" w:right="1390" w:bottom="1934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8228C">
      <w:r>
        <w:separator/>
      </w:r>
    </w:p>
  </w:endnote>
  <w:endnote w:type="continuationSeparator" w:id="0">
    <w:p w:rsidR="00000000" w:rsidRDefault="00C8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72A8" w:rsidRDefault="00C8228C">
      <w:r>
        <w:separator/>
      </w:r>
    </w:p>
  </w:footnote>
  <w:footnote w:type="continuationSeparator" w:id="0">
    <w:p w:rsidR="009D72A8" w:rsidRDefault="00C8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919C3"/>
    <w:multiLevelType w:val="multilevel"/>
    <w:tmpl w:val="F7A8A33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1021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A8"/>
    <w:rsid w:val="009D72A8"/>
    <w:rsid w:val="00C8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