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86D" w:rsidRDefault="00362C2F">
      <w:pPr>
        <w:pStyle w:val="BodyText"/>
        <w:spacing w:after="260"/>
        <w:jc w:val="center"/>
      </w:pPr>
      <w:r>
        <w:rPr>
          <w:b/>
          <w:bCs/>
        </w:rPr>
        <w:t>DECISION ON THE 2018 ACTIVITY REPORT OF THE AFRICAN</w:t>
      </w:r>
      <w:r>
        <w:rPr>
          <w:b/>
          <w:bCs/>
        </w:rPr>
        <w:br/>
        <w:t>COURT ON HUMAN AND PEOPLES’ RIGHTS</w:t>
      </w:r>
      <w:r>
        <w:rPr>
          <w:b/>
          <w:bCs/>
        </w:rPr>
        <w:br/>
        <w:t>Doc. EX.CL/1126(XXXIV)</w:t>
      </w:r>
    </w:p>
    <w:p w:rsidR="0087486D" w:rsidRDefault="00362C2F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7486D" w:rsidRDefault="00362C2F" w:rsidP="00362C2F">
      <w:pPr>
        <w:pStyle w:val="BodyText"/>
        <w:tabs>
          <w:tab w:val="left" w:pos="715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Activity Report of the African Court on Human and Peoples’ Rights (the Court) for the period 1 </w:t>
      </w:r>
      <w:r>
        <w:t>January to 31 December 2018;</w:t>
      </w:r>
    </w:p>
    <w:p w:rsidR="0087486D" w:rsidRDefault="00362C2F" w:rsidP="00362C2F">
      <w:pPr>
        <w:pStyle w:val="BodyText"/>
        <w:tabs>
          <w:tab w:val="left" w:pos="715"/>
        </w:tabs>
        <w:spacing w:after="260" w:line="233" w:lineRule="auto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Republic of Tunisia on the successful hosting of the 51</w:t>
      </w:r>
      <w:r>
        <w:rPr>
          <w:vertAlign w:val="superscript"/>
        </w:rPr>
        <w:t xml:space="preserve">st </w:t>
      </w:r>
      <w:r>
        <w:t>Ordinary Session, held in Tunis, Tunisia, from 12 November to 7 December 2018;</w:t>
      </w:r>
    </w:p>
    <w:p w:rsidR="0087486D" w:rsidRDefault="00362C2F" w:rsidP="00362C2F">
      <w:pPr>
        <w:pStyle w:val="BodyText"/>
        <w:tabs>
          <w:tab w:val="left" w:pos="715"/>
        </w:tabs>
        <w:spacing w:after="260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Draft Framework for the implementation of judgments of th</w:t>
      </w:r>
      <w:r>
        <w:t>e Court to the STC on Justice and Legal Affairs, for consideration, prior to its submission to the Executive Council;</w:t>
      </w:r>
    </w:p>
    <w:p w:rsidR="0087486D" w:rsidRDefault="00362C2F" w:rsidP="00362C2F">
      <w:pPr>
        <w:pStyle w:val="BodyText"/>
        <w:tabs>
          <w:tab w:val="left" w:pos="715"/>
        </w:tabs>
        <w:spacing w:after="260"/>
        <w:ind w:left="700" w:hanging="70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Court’s request to suspend the establishment of a Trust Fund for the Court pending the outcome of the All Institutional </w:t>
      </w:r>
      <w:r>
        <w:t>Reform Process;</w:t>
      </w:r>
    </w:p>
    <w:p w:rsidR="0087486D" w:rsidRDefault="00362C2F" w:rsidP="00362C2F">
      <w:pPr>
        <w:pStyle w:val="BodyText"/>
        <w:tabs>
          <w:tab w:val="left" w:pos="715"/>
        </w:tabs>
        <w:spacing w:after="260"/>
        <w:ind w:left="700" w:hanging="700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 xml:space="preserve">the Commission to take all necessary measures in conformity with previous Executive Council Decisions to operationalize the Legal Aid Fund in 2019, and to this end, </w:t>
      </w:r>
      <w:r>
        <w:rPr>
          <w:b/>
          <w:bCs/>
        </w:rPr>
        <w:t xml:space="preserve">ENCOURAGES </w:t>
      </w:r>
      <w:r>
        <w:t>all Member States of the Union as well as other relevant h</w:t>
      </w:r>
      <w:r>
        <w:t>uman rights stakeholders on the continent, to make generous voluntary contributions to the Fund to ensure its sustainability and success;</w:t>
      </w:r>
    </w:p>
    <w:p w:rsidR="0087486D" w:rsidRDefault="00362C2F" w:rsidP="00362C2F">
      <w:pPr>
        <w:pStyle w:val="BodyText"/>
        <w:tabs>
          <w:tab w:val="left" w:pos="715"/>
        </w:tabs>
        <w:spacing w:after="260"/>
        <w:ind w:left="700" w:hanging="700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 xml:space="preserve">Member States which are yet to ratify the Protocol on the Establishment of the Court to do so, and </w:t>
      </w:r>
      <w:r>
        <w:rPr>
          <w:b/>
          <w:bCs/>
        </w:rPr>
        <w:t xml:space="preserve">CALLS UPON </w:t>
      </w:r>
      <w:r>
        <w:t>St</w:t>
      </w:r>
      <w:r>
        <w:t>ate Parties to deposit the Declaration required under Article 34 (6) allowing individuals and NGOs to bring cases before the Court;</w:t>
      </w:r>
    </w:p>
    <w:p w:rsidR="0087486D" w:rsidRDefault="00362C2F" w:rsidP="00362C2F">
      <w:pPr>
        <w:pStyle w:val="BodyText"/>
        <w:tabs>
          <w:tab w:val="left" w:pos="715"/>
        </w:tabs>
        <w:spacing w:after="260" w:line="233" w:lineRule="auto"/>
        <w:ind w:left="700" w:hanging="700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Court to report at the 36</w:t>
      </w:r>
      <w:r>
        <w:rPr>
          <w:vertAlign w:val="superscript"/>
        </w:rPr>
        <w:t>th</w:t>
      </w:r>
      <w:r>
        <w:t xml:space="preserve"> Ordinary Session of the Executive Council in February 2020, on the implementation o</w:t>
      </w:r>
      <w:r>
        <w:t>f this Decision.</w:t>
      </w:r>
    </w:p>
    <w:sectPr w:rsidR="0087486D">
      <w:pgSz w:w="12240" w:h="16834"/>
      <w:pgMar w:top="1915" w:right="1387" w:bottom="414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62C2F">
      <w:r>
        <w:separator/>
      </w:r>
    </w:p>
  </w:endnote>
  <w:endnote w:type="continuationSeparator" w:id="0">
    <w:p w:rsidR="00000000" w:rsidRDefault="003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86D" w:rsidRDefault="00362C2F">
      <w:r>
        <w:separator/>
      </w:r>
    </w:p>
  </w:footnote>
  <w:footnote w:type="continuationSeparator" w:id="0">
    <w:p w:rsidR="0087486D" w:rsidRDefault="0036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42C"/>
    <w:multiLevelType w:val="multilevel"/>
    <w:tmpl w:val="AA68EE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90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6D"/>
    <w:rsid w:val="00362C2F"/>
    <w:rsid w:val="008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