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51D5" w:rsidRDefault="00D97860">
      <w:pPr>
        <w:pStyle w:val="BodyText"/>
        <w:jc w:val="center"/>
      </w:pPr>
      <w:r>
        <w:rPr>
          <w:b/>
          <w:bCs/>
        </w:rPr>
        <w:t>DECISION OF THE COMMISSION ON THE STATUS OF IMPLEMENTATION OF</w:t>
      </w:r>
      <w:r>
        <w:rPr>
          <w:b/>
          <w:bCs/>
        </w:rPr>
        <w:br/>
        <w:t>PREVIOUS DECISIONS OF THE EXECUTIVE COUNCIL AND THE ASSEMBLY</w:t>
      </w:r>
      <w:r>
        <w:rPr>
          <w:b/>
          <w:bCs/>
        </w:rPr>
        <w:br/>
        <w:t>Doc. 1191 (XXXVI)</w:t>
      </w:r>
    </w:p>
    <w:p w:rsidR="00D051D5" w:rsidRDefault="00D97860">
      <w:pPr>
        <w:pStyle w:val="Heading10"/>
        <w:keepNext/>
        <w:keepLines/>
        <w:spacing w:after="280"/>
        <w:ind w:firstLine="400"/>
        <w:jc w:val="both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D051D5" w:rsidRDefault="00D97860" w:rsidP="00D97860">
      <w:pPr>
        <w:pStyle w:val="BodyText"/>
        <w:tabs>
          <w:tab w:val="left" w:pos="1126"/>
        </w:tabs>
        <w:spacing w:line="233" w:lineRule="auto"/>
        <w:ind w:left="1120" w:hanging="72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on implementation of the previous Decisions of the </w:t>
      </w:r>
      <w:r>
        <w:t>Executive Council and the Assembly of the African Union for the year 2019;</w:t>
      </w:r>
    </w:p>
    <w:p w:rsidR="00D051D5" w:rsidRDefault="00D97860" w:rsidP="00D97860">
      <w:pPr>
        <w:pStyle w:val="BodyText"/>
        <w:tabs>
          <w:tab w:val="left" w:pos="1126"/>
        </w:tabs>
        <w:spacing w:line="233" w:lineRule="auto"/>
        <w:ind w:left="1120" w:hanging="72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 xml:space="preserve">the Commission on the improvement of the implementation of the Policy Organs decisions and </w:t>
      </w:r>
      <w:r>
        <w:rPr>
          <w:b/>
          <w:bCs/>
        </w:rPr>
        <w:t xml:space="preserve">ENCOURAGES </w:t>
      </w:r>
      <w:r>
        <w:t>all Departments/Directorates/Units to deploy all necessary measures to</w:t>
      </w:r>
      <w:r>
        <w:t xml:space="preserve"> ensure full implementation of decisions of the Policy Organs;</w:t>
      </w:r>
    </w:p>
    <w:p w:rsidR="00D051D5" w:rsidRDefault="00D97860" w:rsidP="00D97860">
      <w:pPr>
        <w:pStyle w:val="BodyText"/>
        <w:tabs>
          <w:tab w:val="left" w:pos="1126"/>
        </w:tabs>
        <w:ind w:left="1120" w:hanging="72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EXPRESSES </w:t>
      </w:r>
      <w:r>
        <w:t xml:space="preserve">concern regarding the non-submission of reports on implementation of decisions of the Executive Council and the Assembly of the African Union by all Member States in 2019 and </w:t>
      </w:r>
      <w:r>
        <w:rPr>
          <w:b/>
          <w:bCs/>
        </w:rPr>
        <w:t xml:space="preserve">URGES </w:t>
      </w:r>
      <w:r>
        <w:t>Me</w:t>
      </w:r>
      <w:r>
        <w:t>mber States to submit relevant information with a view to facilitating effective monitoring of implementation;</w:t>
      </w:r>
    </w:p>
    <w:p w:rsidR="00D051D5" w:rsidRDefault="00D97860" w:rsidP="00D97860">
      <w:pPr>
        <w:pStyle w:val="BodyText"/>
        <w:tabs>
          <w:tab w:val="left" w:pos="1126"/>
        </w:tabs>
        <w:spacing w:line="233" w:lineRule="auto"/>
        <w:ind w:left="1120" w:hanging="72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REITERATES </w:t>
      </w:r>
      <w:r>
        <w:t>the need to scrupulously observe the guidelines regarding the preparation and adoption of AU Decisions to facilitate their effective i</w:t>
      </w:r>
      <w:r>
        <w:t>mplementation by all stakeholders, i.e. Member States, the Commission, and other Organs;</w:t>
      </w:r>
    </w:p>
    <w:p w:rsidR="00D051D5" w:rsidRDefault="00D97860" w:rsidP="00D97860">
      <w:pPr>
        <w:pStyle w:val="BodyText"/>
        <w:tabs>
          <w:tab w:val="left" w:pos="1126"/>
        </w:tabs>
        <w:ind w:left="1120" w:hanging="72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 xml:space="preserve">to put in place a Performance Management System which includes appropriate sanctions and rewards and </w:t>
      </w:r>
      <w:r>
        <w:rPr>
          <w:b/>
          <w:bCs/>
        </w:rPr>
        <w:t xml:space="preserve">REQUESTS </w:t>
      </w:r>
      <w:r>
        <w:t>the Commission to present the proposed modalities</w:t>
      </w:r>
      <w:r>
        <w:t xml:space="preserve"> of this system to the 37th Ordinary Session of the Executive Council;</w:t>
      </w:r>
    </w:p>
    <w:p w:rsidR="00D051D5" w:rsidRDefault="00D97860" w:rsidP="00D97860">
      <w:pPr>
        <w:pStyle w:val="BodyText"/>
        <w:tabs>
          <w:tab w:val="left" w:pos="1126"/>
        </w:tabs>
        <w:spacing w:line="233" w:lineRule="auto"/>
        <w:ind w:left="1120" w:hanging="72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>Executive Council Decision EX.CL/Dec. 1031 (XXXIV) that requests for a single report template to be applied to all PRC Sub-Committee reports; and</w:t>
      </w:r>
    </w:p>
    <w:p w:rsidR="00D051D5" w:rsidRDefault="00D97860" w:rsidP="00D97860">
      <w:pPr>
        <w:pStyle w:val="BodyText"/>
        <w:tabs>
          <w:tab w:val="left" w:pos="1126"/>
        </w:tabs>
        <w:ind w:left="1120" w:hanging="720"/>
        <w:jc w:val="both"/>
      </w:pPr>
      <w:bookmarkStart w:id="9" w:name="bookmark9"/>
      <w:bookmarkEnd w:id="9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deve</w:t>
      </w:r>
      <w:r>
        <w:t>lop a template for reports of the STCs and utilize the same template for all reports submitted to the Policy Organs;</w:t>
      </w:r>
    </w:p>
    <w:p w:rsidR="00D051D5" w:rsidRDefault="00D97860" w:rsidP="00D97860">
      <w:pPr>
        <w:pStyle w:val="BodyText"/>
        <w:tabs>
          <w:tab w:val="left" w:pos="1126"/>
        </w:tabs>
        <w:ind w:left="1120" w:hanging="720"/>
        <w:jc w:val="both"/>
      </w:pPr>
      <w:bookmarkStart w:id="10" w:name="bookmark10"/>
      <w:bookmarkEnd w:id="10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ALSO REQUESTS </w:t>
      </w:r>
      <w:r>
        <w:t>the Commission, through the Office of the Secretary General of the Commission, to establish an annual master calendar to ensu</w:t>
      </w:r>
      <w:r>
        <w:t>re smooth planning and coordination of meetings and events by the Commission and Member States;</w:t>
      </w:r>
    </w:p>
    <w:p w:rsidR="00D051D5" w:rsidRDefault="00D97860" w:rsidP="00D97860">
      <w:pPr>
        <w:pStyle w:val="BodyText"/>
        <w:tabs>
          <w:tab w:val="left" w:pos="1126"/>
        </w:tabs>
        <w:ind w:left="1120" w:hanging="720"/>
        <w:jc w:val="both"/>
      </w:pPr>
      <w:bookmarkStart w:id="11" w:name="bookmark11"/>
      <w:bookmarkEnd w:id="11"/>
      <w:r>
        <w:rPr>
          <w:b/>
          <w:bCs/>
        </w:rPr>
        <w:t>9.</w:t>
      </w:r>
      <w:r>
        <w:rPr>
          <w:b/>
          <w:bCs/>
        </w:rPr>
        <w:tab/>
      </w:r>
      <w:r>
        <w:rPr>
          <w:b/>
          <w:bCs/>
        </w:rPr>
        <w:t xml:space="preserve">UNDERSCORES </w:t>
      </w:r>
      <w:r>
        <w:t>the urgent need to rationalize the agendas and number of decisions taken at each Summit in accordance with the relevant decisions of the Policy Orga</w:t>
      </w:r>
      <w:r>
        <w:t xml:space="preserve">ns, including Decision </w:t>
      </w:r>
      <w:r>
        <w:rPr>
          <w:b/>
          <w:bCs/>
        </w:rPr>
        <w:t xml:space="preserve">EX.CL/Dec.898 (XXVIII)Rev.l </w:t>
      </w:r>
      <w:r>
        <w:t xml:space="preserve">and Decision Assembly/AU/Dec.582 (XXV), </w:t>
      </w:r>
      <w:r>
        <w:rPr>
          <w:i/>
          <w:iCs/>
        </w:rPr>
        <w:t>inter alia.</w:t>
      </w:r>
    </w:p>
    <w:sectPr w:rsidR="00D051D5">
      <w:pgSz w:w="12240" w:h="16834"/>
      <w:pgMar w:top="1767" w:right="1367" w:bottom="1737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97860">
      <w:r>
        <w:separator/>
      </w:r>
    </w:p>
  </w:endnote>
  <w:endnote w:type="continuationSeparator" w:id="0">
    <w:p w:rsidR="00000000" w:rsidRDefault="00D9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51D5" w:rsidRDefault="00D97860">
      <w:r>
        <w:separator/>
      </w:r>
    </w:p>
  </w:footnote>
  <w:footnote w:type="continuationSeparator" w:id="0">
    <w:p w:rsidR="00D051D5" w:rsidRDefault="00D9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349F"/>
    <w:multiLevelType w:val="multilevel"/>
    <w:tmpl w:val="D6A0443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722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D5"/>
    <w:rsid w:val="00D051D5"/>
    <w:rsid w:val="00D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