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599A" w:rsidRDefault="00D22DFF">
      <w:pPr>
        <w:pStyle w:val="Heading10"/>
        <w:keepNext/>
        <w:keepLines/>
        <w:spacing w:after="260"/>
        <w:jc w:val="center"/>
      </w:pPr>
      <w:bookmarkStart w:id="0" w:name="bookmark0"/>
      <w:bookmarkStart w:id="1" w:name="bookmark1"/>
      <w:bookmarkStart w:id="2" w:name="bookmark2"/>
      <w:r>
        <w:t>DECISION ON THE ACTIVITY REPORT OF THE AFRICAN UNION ADVISORY</w:t>
      </w:r>
      <w:r>
        <w:br/>
        <w:t>BOARD ON CORRUPTION (AUABC)</w:t>
      </w:r>
      <w:bookmarkEnd w:id="0"/>
      <w:bookmarkEnd w:id="1"/>
      <w:bookmarkEnd w:id="2"/>
    </w:p>
    <w:p w:rsidR="004B599A" w:rsidRDefault="00D22DFF">
      <w:pPr>
        <w:pStyle w:val="Heading10"/>
        <w:keepNext/>
        <w:keepLines/>
        <w:spacing w:after="260"/>
        <w:ind w:firstLine="380"/>
      </w:pPr>
      <w:bookmarkStart w:id="3" w:name="bookmark3"/>
      <w:bookmarkStart w:id="4" w:name="bookmark4"/>
      <w:bookmarkStart w:id="5" w:name="bookmark5"/>
      <w:r>
        <w:t>The Executive Council,</w:t>
      </w:r>
      <w:bookmarkEnd w:id="3"/>
      <w:bookmarkEnd w:id="4"/>
      <w:bookmarkEnd w:id="5"/>
    </w:p>
    <w:p w:rsidR="004B599A" w:rsidRDefault="00D22DFF" w:rsidP="00D22DFF">
      <w:pPr>
        <w:pStyle w:val="BodyText"/>
        <w:tabs>
          <w:tab w:val="left" w:pos="1123"/>
        </w:tabs>
        <w:spacing w:after="260"/>
        <w:ind w:left="1100" w:hanging="700"/>
        <w:jc w:val="both"/>
      </w:pPr>
      <w:bookmarkStart w:id="6" w:name="bookmark6"/>
      <w:bookmarkEnd w:id="6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>of the Report of the African Union Advisory Board on Corruption and the recommendations contained therein;</w:t>
      </w:r>
    </w:p>
    <w:p w:rsidR="004B599A" w:rsidRDefault="00D22DFF" w:rsidP="00D22DFF">
      <w:pPr>
        <w:pStyle w:val="BodyText"/>
        <w:tabs>
          <w:tab w:val="left" w:pos="1123"/>
        </w:tabs>
        <w:spacing w:after="260"/>
        <w:ind w:left="1100" w:hanging="700"/>
        <w:jc w:val="both"/>
      </w:pPr>
      <w:bookmarkStart w:id="7" w:name="bookmark7"/>
      <w:bookmarkEnd w:id="7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COMMENDS </w:t>
      </w:r>
      <w:r>
        <w:t>Cameroon for acceding to the African Union Convention on Preventing and Combating Corruption (AUCPCC).</w:t>
      </w:r>
    </w:p>
    <w:p w:rsidR="004B599A" w:rsidRDefault="00D22DFF" w:rsidP="00D22DFF">
      <w:pPr>
        <w:pStyle w:val="BodyText"/>
        <w:tabs>
          <w:tab w:val="left" w:pos="1123"/>
        </w:tabs>
        <w:spacing w:after="260" w:line="233" w:lineRule="auto"/>
        <w:ind w:left="1100" w:hanging="700"/>
        <w:jc w:val="both"/>
      </w:pPr>
      <w:bookmarkStart w:id="8" w:name="bookmark8"/>
      <w:bookmarkEnd w:id="8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URGES </w:t>
      </w:r>
      <w:r>
        <w:t>the Central African Republic to take necessary measures to complete the accession process by depositing its instrument of accession with the Africa</w:t>
      </w:r>
      <w:r>
        <w:t>n Union Commission.</w:t>
      </w:r>
    </w:p>
    <w:p w:rsidR="004B599A" w:rsidRDefault="00D22DFF" w:rsidP="00D22DFF">
      <w:pPr>
        <w:pStyle w:val="BodyText"/>
        <w:tabs>
          <w:tab w:val="left" w:pos="1123"/>
        </w:tabs>
        <w:spacing w:after="260"/>
        <w:ind w:left="1100" w:hanging="700"/>
        <w:jc w:val="both"/>
      </w:pPr>
      <w:bookmarkStart w:id="9" w:name="bookmark9"/>
      <w:bookmarkEnd w:id="9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NOTES </w:t>
      </w:r>
      <w:r>
        <w:t>the successful completion of the review of Congo, Madagascar, South Africa and Tanzania and requests national authorities to implement the recommendations contained in the State Review Reports.</w:t>
      </w:r>
    </w:p>
    <w:p w:rsidR="004B599A" w:rsidRDefault="00D22DFF" w:rsidP="00D22DFF">
      <w:pPr>
        <w:pStyle w:val="BodyText"/>
        <w:tabs>
          <w:tab w:val="left" w:pos="1123"/>
        </w:tabs>
        <w:spacing w:after="260"/>
        <w:ind w:left="1100" w:hanging="700"/>
        <w:jc w:val="both"/>
      </w:pPr>
      <w:bookmarkStart w:id="10" w:name="bookmark10"/>
      <w:bookmarkEnd w:id="10"/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 xml:space="preserve">ALSO URGES </w:t>
      </w:r>
      <w:r>
        <w:t>Regional Economic Communi</w:t>
      </w:r>
      <w:r>
        <w:t>ties to facilitate the building of capacity of anti-corruption authorities through research, support to law enforcement and cooperation between national anti-corruption authorities for investigations on money laundering, asset recovery and Illicit Financia</w:t>
      </w:r>
      <w:r>
        <w:t>l Flows. Further urges them to ensure harmonization and alignment of anti-corruption standards within their jurisdiction with the Convention.</w:t>
      </w:r>
    </w:p>
    <w:p w:rsidR="004B599A" w:rsidRDefault="00D22DFF" w:rsidP="00D22DFF">
      <w:pPr>
        <w:pStyle w:val="BodyText"/>
        <w:tabs>
          <w:tab w:val="left" w:pos="1123"/>
        </w:tabs>
        <w:spacing w:after="260"/>
        <w:ind w:left="1100" w:hanging="700"/>
        <w:jc w:val="both"/>
      </w:pPr>
      <w:bookmarkStart w:id="11" w:name="bookmark11"/>
      <w:bookmarkEnd w:id="11"/>
      <w:r>
        <w:rPr>
          <w:b/>
          <w:bCs/>
        </w:rPr>
        <w:t>6.</w:t>
      </w:r>
      <w:r>
        <w:rPr>
          <w:b/>
          <w:bCs/>
        </w:rPr>
        <w:tab/>
      </w:r>
      <w:r>
        <w:rPr>
          <w:b/>
          <w:bCs/>
        </w:rPr>
        <w:t xml:space="preserve">ENDORSES </w:t>
      </w:r>
      <w:r>
        <w:t>the theme for the 2022 African Anti-Corruption Day as “Strategies and Mechanisms for the Transparent Mana</w:t>
      </w:r>
      <w:r>
        <w:t>gement of Covid-19 Funds.”</w:t>
      </w:r>
    </w:p>
    <w:p w:rsidR="004B599A" w:rsidRDefault="00D22DFF" w:rsidP="00D22DFF">
      <w:pPr>
        <w:pStyle w:val="BodyText"/>
        <w:tabs>
          <w:tab w:val="left" w:pos="1123"/>
        </w:tabs>
        <w:spacing w:after="260"/>
        <w:ind w:left="1100" w:hanging="700"/>
        <w:jc w:val="both"/>
      </w:pPr>
      <w:bookmarkStart w:id="12" w:name="bookmark12"/>
      <w:bookmarkEnd w:id="12"/>
      <w:r>
        <w:rPr>
          <w:b/>
          <w:bCs/>
        </w:rPr>
        <w:t>7.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Tanzania to finalize the architectural drawings of the proposed permanent structure and to submit them to the Board for consideration and approval by the AU Commission.</w:t>
      </w:r>
    </w:p>
    <w:p w:rsidR="004B599A" w:rsidRDefault="00D22DFF" w:rsidP="00D22DFF">
      <w:pPr>
        <w:pStyle w:val="BodyText"/>
        <w:tabs>
          <w:tab w:val="left" w:pos="1123"/>
        </w:tabs>
        <w:spacing w:after="260"/>
        <w:ind w:left="1100" w:hanging="700"/>
        <w:jc w:val="both"/>
      </w:pPr>
      <w:bookmarkStart w:id="13" w:name="bookmark13"/>
      <w:bookmarkEnd w:id="13"/>
      <w:r>
        <w:rPr>
          <w:b/>
          <w:bCs/>
        </w:rPr>
        <w:t>8.</w:t>
      </w:r>
      <w:r>
        <w:rPr>
          <w:b/>
          <w:bCs/>
        </w:rPr>
        <w:tab/>
      </w:r>
      <w:r>
        <w:rPr>
          <w:b/>
          <w:bCs/>
        </w:rPr>
        <w:t xml:space="preserve">COMMENDS </w:t>
      </w:r>
      <w:r>
        <w:t>the Government of the Arab Republic of Egy</w:t>
      </w:r>
      <w:r>
        <w:t>pt for hosting the ninth session of the Conference of the States Parties to the United Nations Convention against Corruption (UNCAC) in Sharm El-Sheikh December 2021.</w:t>
      </w:r>
    </w:p>
    <w:sectPr w:rsidR="004B599A">
      <w:pgSz w:w="12240" w:h="16834"/>
      <w:pgMar w:top="1916" w:right="1276" w:bottom="2179" w:left="9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D22DFF">
      <w:r>
        <w:separator/>
      </w:r>
    </w:p>
  </w:endnote>
  <w:endnote w:type="continuationSeparator" w:id="0">
    <w:p w:rsidR="00000000" w:rsidRDefault="00D2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599A" w:rsidRDefault="00D22DFF">
      <w:r>
        <w:separator/>
      </w:r>
    </w:p>
  </w:footnote>
  <w:footnote w:type="continuationSeparator" w:id="0">
    <w:p w:rsidR="004B599A" w:rsidRDefault="00D22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60A38"/>
    <w:multiLevelType w:val="multilevel"/>
    <w:tmpl w:val="49BE5FA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18590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99A"/>
    <w:rsid w:val="004B599A"/>
    <w:rsid w:val="00D2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2022-10-26T06:29:00Z</dcterms:created>
  <dcterms:modified xsi:type="dcterms:W3CDTF">2022-10-26T06:29:00Z</dcterms:modified>
</cp:coreProperties>
</file>