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74"/>
        <w:gridCol w:w="2167"/>
        <w:gridCol w:w="3164"/>
      </w:tblGrid>
      <w:tr w:rsidR="008A5DEC" w:rsidRPr="00474740" w14:paraId="66A0865A" w14:textId="77777777" w:rsidTr="000C7D98">
        <w:trPr>
          <w:cantSplit/>
          <w:trHeight w:val="1340"/>
        </w:trPr>
        <w:tc>
          <w:tcPr>
            <w:tcW w:w="3174" w:type="dxa"/>
            <w:tcBorders>
              <w:top w:val="single" w:sz="4" w:space="0" w:color="auto"/>
              <w:left w:val="single" w:sz="4" w:space="0" w:color="auto"/>
              <w:bottom w:val="single" w:sz="4" w:space="0" w:color="auto"/>
              <w:right w:val="single" w:sz="4" w:space="0" w:color="auto"/>
            </w:tcBorders>
          </w:tcPr>
          <w:p w14:paraId="4FC0F0B0" w14:textId="77777777" w:rsidR="008A5DEC" w:rsidRPr="000B6551" w:rsidRDefault="008A5DEC" w:rsidP="006C1B0F">
            <w:pPr>
              <w:rPr>
                <w:b/>
                <w:bCs/>
              </w:rPr>
            </w:pPr>
            <w:r w:rsidRPr="000B6551">
              <w:br w:type="page"/>
            </w:r>
            <w:r w:rsidRPr="000B6551">
              <w:br w:type="page"/>
            </w:r>
          </w:p>
          <w:p w14:paraId="37DE667B" w14:textId="77777777" w:rsidR="008A5DEC" w:rsidRPr="00474740" w:rsidRDefault="008A5DEC" w:rsidP="006C1B0F">
            <w:pPr>
              <w:rPr>
                <w:b/>
                <w:bCs/>
              </w:rPr>
            </w:pPr>
            <w:r w:rsidRPr="00474740">
              <w:rPr>
                <w:b/>
                <w:sz w:val="28"/>
              </w:rPr>
              <w:t>AFRICAN UNION</w:t>
            </w:r>
          </w:p>
        </w:tc>
        <w:tc>
          <w:tcPr>
            <w:tcW w:w="2167" w:type="dxa"/>
            <w:vMerge w:val="restart"/>
            <w:tcBorders>
              <w:top w:val="single" w:sz="4" w:space="0" w:color="auto"/>
              <w:left w:val="single" w:sz="4" w:space="0" w:color="auto"/>
              <w:bottom w:val="single" w:sz="4" w:space="0" w:color="auto"/>
              <w:right w:val="single" w:sz="4" w:space="0" w:color="auto"/>
            </w:tcBorders>
          </w:tcPr>
          <w:p w14:paraId="6A0E4EA7" w14:textId="77777777" w:rsidR="008A5DEC" w:rsidRPr="00474740" w:rsidRDefault="008A5DEC" w:rsidP="006C1B0F"/>
          <w:p w14:paraId="41EC51EE" w14:textId="77777777" w:rsidR="008A5DEC" w:rsidRPr="00474740" w:rsidRDefault="008A5DEC" w:rsidP="006C1B0F">
            <w:r w:rsidRPr="00474740">
              <w:rPr>
                <w:noProof/>
                <w:lang w:val="en-US"/>
              </w:rPr>
              <w:drawing>
                <wp:anchor distT="0" distB="0" distL="114300" distR="114300" simplePos="0" relativeHeight="251656704" behindDoc="1" locked="0" layoutInCell="1" allowOverlap="1" wp14:anchorId="0C1FA1EE" wp14:editId="3493E427">
                  <wp:simplePos x="0" y="0"/>
                  <wp:positionH relativeFrom="column">
                    <wp:posOffset>182880</wp:posOffset>
                  </wp:positionH>
                  <wp:positionV relativeFrom="paragraph">
                    <wp:posOffset>38100</wp:posOffset>
                  </wp:positionV>
                  <wp:extent cx="933450" cy="914400"/>
                  <wp:effectExtent l="0" t="0" r="0" b="0"/>
                  <wp:wrapNone/>
                  <wp:docPr id="3" name="Picture 3"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U Cour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4" w:type="dxa"/>
            <w:tcBorders>
              <w:top w:val="single" w:sz="4" w:space="0" w:color="auto"/>
              <w:left w:val="single" w:sz="4" w:space="0" w:color="auto"/>
              <w:bottom w:val="single" w:sz="4" w:space="0" w:color="auto"/>
              <w:right w:val="single" w:sz="4" w:space="0" w:color="auto"/>
            </w:tcBorders>
          </w:tcPr>
          <w:p w14:paraId="220FFB91" w14:textId="77777777" w:rsidR="008A5DEC" w:rsidRPr="00474740" w:rsidRDefault="008A5DEC" w:rsidP="006C1B0F">
            <w:pPr>
              <w:rPr>
                <w:b/>
                <w:bCs/>
              </w:rPr>
            </w:pPr>
          </w:p>
          <w:p w14:paraId="5A32B6ED" w14:textId="77777777" w:rsidR="008A5DEC" w:rsidRPr="00474740" w:rsidRDefault="008A5DEC" w:rsidP="006C1B0F">
            <w:pPr>
              <w:rPr>
                <w:b/>
                <w:bCs/>
              </w:rPr>
            </w:pPr>
            <w:r w:rsidRPr="00474740">
              <w:rPr>
                <w:b/>
                <w:sz w:val="28"/>
              </w:rPr>
              <w:t>UNION AFRICAINE</w:t>
            </w:r>
          </w:p>
        </w:tc>
      </w:tr>
      <w:tr w:rsidR="008A5DEC" w:rsidRPr="00474740" w14:paraId="379C260F" w14:textId="77777777" w:rsidTr="000C7D98">
        <w:trPr>
          <w:cantSplit/>
          <w:trHeight w:val="1061"/>
        </w:trPr>
        <w:tc>
          <w:tcPr>
            <w:tcW w:w="3174" w:type="dxa"/>
            <w:tcBorders>
              <w:top w:val="single" w:sz="4" w:space="0" w:color="auto"/>
              <w:left w:val="single" w:sz="4" w:space="0" w:color="auto"/>
              <w:bottom w:val="single" w:sz="4" w:space="0" w:color="auto"/>
              <w:right w:val="single" w:sz="4" w:space="0" w:color="auto"/>
            </w:tcBorders>
            <w:hideMark/>
          </w:tcPr>
          <w:p w14:paraId="374F05E2" w14:textId="77777777" w:rsidR="008A5DEC" w:rsidRPr="00474740" w:rsidRDefault="00000000" w:rsidP="006C1B0F">
            <w:r>
              <w:rPr>
                <w:szCs w:val="22"/>
              </w:rPr>
              <w:object w:dxaOrig="1440" w:dyaOrig="1440" w14:anchorId="2E991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23.35pt;margin-top:9.6pt;width:94.2pt;height:28.2pt;z-index:-251657728;mso-wrap-edited:f;mso-width-percent:0;mso-height-percent:0;mso-position-horizontal-relative:text;mso-position-vertical-relative:text;mso-width-percent:0;mso-height-percent:0;mso-width-relative:page;mso-height-relative:page">
                  <v:imagedata r:id="rId12" o:title=""/>
                </v:shape>
                <o:OLEObject Type="Embed" ProgID="PBrush" ShapeID="_x0000_s2052" DrawAspect="Content" ObjectID="_1812469451" r:id="rId13"/>
              </w:object>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6DA18B1C" w14:textId="77777777" w:rsidR="008A5DEC" w:rsidRPr="00474740" w:rsidRDefault="008A5DEC" w:rsidP="006C1B0F"/>
        </w:tc>
        <w:tc>
          <w:tcPr>
            <w:tcW w:w="3164" w:type="dxa"/>
            <w:tcBorders>
              <w:top w:val="single" w:sz="4" w:space="0" w:color="auto"/>
              <w:left w:val="single" w:sz="4" w:space="0" w:color="auto"/>
              <w:bottom w:val="single" w:sz="4" w:space="0" w:color="auto"/>
              <w:right w:val="single" w:sz="4" w:space="0" w:color="auto"/>
            </w:tcBorders>
          </w:tcPr>
          <w:p w14:paraId="6962B378" w14:textId="77777777" w:rsidR="008A5DEC" w:rsidRPr="00474740" w:rsidRDefault="008A5DEC" w:rsidP="006C1B0F">
            <w:pPr>
              <w:rPr>
                <w:b/>
                <w:bCs/>
                <w:sz w:val="14"/>
              </w:rPr>
            </w:pPr>
          </w:p>
          <w:p w14:paraId="0A8BFE01" w14:textId="77777777" w:rsidR="008A5DEC" w:rsidRPr="00474740" w:rsidRDefault="008A5DEC" w:rsidP="006C1B0F">
            <w:pPr>
              <w:rPr>
                <w:b/>
                <w:bCs/>
              </w:rPr>
            </w:pPr>
            <w:r w:rsidRPr="00474740">
              <w:rPr>
                <w:b/>
                <w:sz w:val="28"/>
              </w:rPr>
              <w:t>UNIÃO AFRICANA</w:t>
            </w:r>
          </w:p>
        </w:tc>
      </w:tr>
      <w:tr w:rsidR="008A5DEC" w:rsidRPr="008E17F2" w14:paraId="490CD3A1" w14:textId="77777777" w:rsidTr="000C7D98">
        <w:trPr>
          <w:cantSplit/>
          <w:trHeight w:val="1169"/>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7C6CE20A" w14:textId="4501C029" w:rsidR="008A5DEC" w:rsidRPr="00474740" w:rsidRDefault="008A5DEC" w:rsidP="006C1B0F">
            <w:pPr>
              <w:rPr>
                <w:b/>
              </w:rPr>
            </w:pPr>
            <w:r w:rsidRPr="00474740">
              <w:rPr>
                <w:b/>
              </w:rPr>
              <w:t>AFRICAN COURT ON HUMAN AND PEOPLES</w:t>
            </w:r>
            <w:r w:rsidR="00AE7C00" w:rsidRPr="00474740">
              <w:rPr>
                <w:b/>
              </w:rPr>
              <w:t>’</w:t>
            </w:r>
            <w:r w:rsidRPr="00474740">
              <w:rPr>
                <w:b/>
              </w:rPr>
              <w:t xml:space="preserve"> RIGHTS</w:t>
            </w:r>
          </w:p>
          <w:p w14:paraId="78289C9B" w14:textId="793F825B" w:rsidR="008A5DEC" w:rsidRPr="00474740" w:rsidRDefault="008A5DEC" w:rsidP="006C1B0F">
            <w:pPr>
              <w:rPr>
                <w:b/>
                <w:lang w:val="fr-FR"/>
              </w:rPr>
            </w:pPr>
            <w:r w:rsidRPr="00474740">
              <w:rPr>
                <w:b/>
                <w:lang w:val="fr-FR"/>
              </w:rPr>
              <w:t>COUR AFRICAINE DES DROITS DE L</w:t>
            </w:r>
            <w:r w:rsidR="00AE7C00" w:rsidRPr="00474740">
              <w:rPr>
                <w:b/>
                <w:lang w:val="fr-FR"/>
              </w:rPr>
              <w:t>’</w:t>
            </w:r>
            <w:r w:rsidRPr="00474740">
              <w:rPr>
                <w:b/>
                <w:lang w:val="fr-FR"/>
              </w:rPr>
              <w:t>HOMME ET DES PEUPLES</w:t>
            </w:r>
          </w:p>
        </w:tc>
      </w:tr>
    </w:tbl>
    <w:p w14:paraId="7D45E3C1" w14:textId="77777777" w:rsidR="00996BF3" w:rsidRPr="00474740" w:rsidRDefault="00996BF3" w:rsidP="006C1B0F">
      <w:pPr>
        <w:rPr>
          <w:b/>
          <w:sz w:val="22"/>
          <w:szCs w:val="22"/>
          <w:lang w:val="fr-FR"/>
        </w:rPr>
      </w:pPr>
    </w:p>
    <w:p w14:paraId="22CE1769" w14:textId="79879ECF" w:rsidR="00404D35" w:rsidRPr="00474740" w:rsidRDefault="00404D35" w:rsidP="006C1B0F">
      <w:pPr>
        <w:rPr>
          <w:b/>
          <w:sz w:val="22"/>
          <w:szCs w:val="22"/>
          <w:lang w:val="fr-FR"/>
        </w:rPr>
      </w:pPr>
    </w:p>
    <w:p w14:paraId="62E456A5" w14:textId="6CDCE40F" w:rsidR="00F71499" w:rsidRPr="00474740" w:rsidRDefault="00F71499" w:rsidP="006C1B0F">
      <w:pPr>
        <w:rPr>
          <w:b/>
          <w:sz w:val="22"/>
          <w:szCs w:val="22"/>
          <w:lang w:val="fr-FR"/>
        </w:rPr>
      </w:pPr>
    </w:p>
    <w:p w14:paraId="66FBC5CC" w14:textId="77777777" w:rsidR="00F71499" w:rsidRPr="00474740" w:rsidRDefault="00F71499" w:rsidP="006C1B0F">
      <w:pPr>
        <w:rPr>
          <w:b/>
          <w:sz w:val="22"/>
          <w:szCs w:val="22"/>
          <w:lang w:val="fr-FR"/>
        </w:rPr>
      </w:pPr>
    </w:p>
    <w:p w14:paraId="20B03C22" w14:textId="77777777" w:rsidR="00996BF3" w:rsidRPr="00474740" w:rsidRDefault="00996BF3" w:rsidP="006C1B0F">
      <w:pPr>
        <w:rPr>
          <w:b/>
        </w:rPr>
      </w:pPr>
      <w:r w:rsidRPr="00474740">
        <w:rPr>
          <w:b/>
        </w:rPr>
        <w:t>THE MATTER OF</w:t>
      </w:r>
    </w:p>
    <w:p w14:paraId="23FF9C2D" w14:textId="77777777" w:rsidR="00996BF3" w:rsidRPr="00474740" w:rsidRDefault="00996BF3" w:rsidP="006C1B0F">
      <w:pPr>
        <w:rPr>
          <w:b/>
        </w:rPr>
      </w:pPr>
    </w:p>
    <w:p w14:paraId="20172A30" w14:textId="77777777" w:rsidR="00996BF3" w:rsidRPr="00474740" w:rsidRDefault="00996BF3" w:rsidP="006C1B0F">
      <w:pPr>
        <w:rPr>
          <w:b/>
        </w:rPr>
      </w:pPr>
    </w:p>
    <w:p w14:paraId="0BCEFE81" w14:textId="29968B3B" w:rsidR="00996BF3" w:rsidRPr="00474740" w:rsidRDefault="00F105D1" w:rsidP="006C1B0F">
      <w:pPr>
        <w:rPr>
          <w:b/>
        </w:rPr>
      </w:pPr>
      <w:r w:rsidRPr="00474740">
        <w:rPr>
          <w:b/>
        </w:rPr>
        <w:t>TIKE MWAMBIPILE AND EQUALITY NOW</w:t>
      </w:r>
    </w:p>
    <w:p w14:paraId="1A9F9707" w14:textId="77777777" w:rsidR="00F105D1" w:rsidRPr="00474740" w:rsidRDefault="00F105D1" w:rsidP="006C1B0F">
      <w:pPr>
        <w:rPr>
          <w:b/>
        </w:rPr>
      </w:pPr>
    </w:p>
    <w:p w14:paraId="1F065A2E" w14:textId="71261BDF" w:rsidR="00996BF3" w:rsidRPr="00474740" w:rsidRDefault="007D32AF" w:rsidP="006C1B0F">
      <w:pPr>
        <w:rPr>
          <w:b/>
        </w:rPr>
      </w:pPr>
      <w:r w:rsidRPr="00474740">
        <w:rPr>
          <w:b/>
        </w:rPr>
        <w:t>V.</w:t>
      </w:r>
    </w:p>
    <w:p w14:paraId="51BE5CD8" w14:textId="77777777" w:rsidR="00996BF3" w:rsidRPr="00474740" w:rsidRDefault="00996BF3" w:rsidP="006C1B0F">
      <w:pPr>
        <w:rPr>
          <w:b/>
        </w:rPr>
      </w:pPr>
    </w:p>
    <w:p w14:paraId="0EFCA4E9" w14:textId="77777777" w:rsidR="00996BF3" w:rsidRPr="00474740" w:rsidRDefault="00996BF3" w:rsidP="006C1B0F">
      <w:pPr>
        <w:rPr>
          <w:b/>
        </w:rPr>
      </w:pPr>
      <w:r w:rsidRPr="00474740">
        <w:rPr>
          <w:b/>
        </w:rPr>
        <w:t>UNITED REPUBLIC OF TANZANIA</w:t>
      </w:r>
    </w:p>
    <w:p w14:paraId="0D4F3B57" w14:textId="77777777" w:rsidR="00996BF3" w:rsidRPr="00474740" w:rsidRDefault="00996BF3" w:rsidP="006C1B0F">
      <w:pPr>
        <w:rPr>
          <w:b/>
        </w:rPr>
      </w:pPr>
    </w:p>
    <w:p w14:paraId="33A43107" w14:textId="4C34655C" w:rsidR="00996BF3" w:rsidRPr="00474740" w:rsidRDefault="00996BF3" w:rsidP="006C1B0F">
      <w:pPr>
        <w:rPr>
          <w:b/>
        </w:rPr>
      </w:pPr>
      <w:r w:rsidRPr="00474740">
        <w:rPr>
          <w:b/>
        </w:rPr>
        <w:t>APPLICATION No. 0</w:t>
      </w:r>
      <w:r w:rsidR="00F105D1" w:rsidRPr="00474740">
        <w:rPr>
          <w:b/>
        </w:rPr>
        <w:t>42</w:t>
      </w:r>
      <w:r w:rsidRPr="00474740">
        <w:rPr>
          <w:b/>
        </w:rPr>
        <w:t>/20</w:t>
      </w:r>
      <w:r w:rsidR="00F105D1" w:rsidRPr="00474740">
        <w:rPr>
          <w:b/>
        </w:rPr>
        <w:t>20</w:t>
      </w:r>
    </w:p>
    <w:p w14:paraId="3CF9AAC4" w14:textId="77777777" w:rsidR="00996BF3" w:rsidRPr="00474740" w:rsidRDefault="00996BF3" w:rsidP="006C1B0F">
      <w:pPr>
        <w:rPr>
          <w:b/>
        </w:rPr>
      </w:pPr>
    </w:p>
    <w:p w14:paraId="5118F725" w14:textId="77777777" w:rsidR="00996BF3" w:rsidRPr="00474740" w:rsidRDefault="00996BF3" w:rsidP="006C1B0F">
      <w:pPr>
        <w:rPr>
          <w:b/>
        </w:rPr>
      </w:pPr>
    </w:p>
    <w:p w14:paraId="45CE2D65" w14:textId="37841DA2" w:rsidR="00996BF3" w:rsidRPr="00474740" w:rsidRDefault="00EA7E50" w:rsidP="006C1B0F">
      <w:pPr>
        <w:rPr>
          <w:b/>
        </w:rPr>
      </w:pPr>
      <w:r w:rsidRPr="00474740">
        <w:rPr>
          <w:b/>
        </w:rPr>
        <w:t>R</w:t>
      </w:r>
      <w:r w:rsidR="005779A7" w:rsidRPr="00474740">
        <w:rPr>
          <w:b/>
        </w:rPr>
        <w:t>ULING</w:t>
      </w:r>
    </w:p>
    <w:p w14:paraId="29BBDCEE" w14:textId="271759E6" w:rsidR="009A3EE3" w:rsidRPr="00474740" w:rsidRDefault="009A3EE3" w:rsidP="006C1B0F">
      <w:pPr>
        <w:rPr>
          <w:b/>
        </w:rPr>
      </w:pPr>
    </w:p>
    <w:p w14:paraId="11B04533" w14:textId="77777777" w:rsidR="00996BF3" w:rsidRPr="00474740" w:rsidRDefault="00996BF3" w:rsidP="006C1B0F">
      <w:pPr>
        <w:rPr>
          <w:b/>
          <w:i/>
          <w:iCs/>
        </w:rPr>
      </w:pPr>
    </w:p>
    <w:p w14:paraId="325B7046" w14:textId="77777777" w:rsidR="00996BF3" w:rsidRPr="00474740" w:rsidRDefault="00996BF3" w:rsidP="006C1B0F">
      <w:pPr>
        <w:rPr>
          <w:b/>
        </w:rPr>
      </w:pPr>
    </w:p>
    <w:p w14:paraId="78EEF07D" w14:textId="1C345A7A" w:rsidR="00996BF3" w:rsidRPr="00474740" w:rsidRDefault="00AE136C" w:rsidP="006C1B0F">
      <w:pPr>
        <w:rPr>
          <w:b/>
        </w:rPr>
      </w:pPr>
      <w:r w:rsidRPr="00474740">
        <w:rPr>
          <w:i/>
          <w:noProof/>
          <w:kern w:val="2"/>
          <w:lang w:val="en-US"/>
        </w:rPr>
        <mc:AlternateContent>
          <mc:Choice Requires="wps">
            <w:drawing>
              <wp:anchor distT="0" distB="0" distL="114300" distR="114300" simplePos="0" relativeHeight="251657728" behindDoc="0" locked="0" layoutInCell="1" allowOverlap="1" wp14:anchorId="668D3653" wp14:editId="162D84AB">
                <wp:simplePos x="0" y="0"/>
                <wp:positionH relativeFrom="margin">
                  <wp:posOffset>2632075</wp:posOffset>
                </wp:positionH>
                <wp:positionV relativeFrom="paragraph">
                  <wp:posOffset>1358900</wp:posOffset>
                </wp:positionV>
                <wp:extent cx="400050" cy="457200"/>
                <wp:effectExtent l="0" t="0" r="0" b="0"/>
                <wp:wrapNone/>
                <wp:docPr id="4" name="Rectangle: Rounded Corners 2"/>
                <wp:cNvGraphicFramePr/>
                <a:graphic xmlns:a="http://schemas.openxmlformats.org/drawingml/2006/main">
                  <a:graphicData uri="http://schemas.microsoft.com/office/word/2010/wordprocessingShape">
                    <wps:wsp>
                      <wps:cNvSpPr/>
                      <wps:spPr>
                        <a:xfrm>
                          <a:off x="0" y="0"/>
                          <a:ext cx="400050" cy="4572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7A4CED" id="Rectangle: Rounded Corners 2" o:spid="_x0000_s1026" style="position:absolute;margin-left:207.25pt;margin-top:107pt;width:31.5pt;height:36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" fillcolor="white [3212]" stroked="f" strokeweight="1pt">
                <v:stroke joinstyle="miter"/>
                <w10:wrap anchorx="margin"/>
              </v:roundrect>
            </w:pict>
          </mc:Fallback>
        </mc:AlternateContent>
      </w:r>
      <w:r w:rsidR="002F75C8" w:rsidRPr="00474740">
        <w:rPr>
          <w:b/>
        </w:rPr>
        <w:t>1</w:t>
      </w:r>
      <w:r w:rsidR="00C81310" w:rsidRPr="00474740">
        <w:rPr>
          <w:b/>
        </w:rPr>
        <w:t xml:space="preserve"> </w:t>
      </w:r>
      <w:r w:rsidR="002F75C8" w:rsidRPr="00474740">
        <w:rPr>
          <w:b/>
        </w:rPr>
        <w:t xml:space="preserve">DECEMBER </w:t>
      </w:r>
      <w:r w:rsidR="00996BF3" w:rsidRPr="00474740">
        <w:rPr>
          <w:b/>
        </w:rPr>
        <w:t>2022</w:t>
      </w:r>
    </w:p>
    <w:p w14:paraId="018CDB0F" w14:textId="77777777" w:rsidR="00996BF3" w:rsidRPr="00474740" w:rsidRDefault="00996BF3" w:rsidP="006C1B0F">
      <w:pPr>
        <w:rPr>
          <w:b/>
        </w:rPr>
        <w:sectPr w:rsidR="00996BF3" w:rsidRPr="00474740" w:rsidSect="006C4E8C">
          <w:footerReference w:type="default" r:id="rId14"/>
          <w:footerReference w:type="first" r:id="rId15"/>
          <w:pgSz w:w="11906" w:h="16838"/>
          <w:pgMar w:top="1440" w:right="1440" w:bottom="1440" w:left="1440" w:header="708" w:footer="708" w:gutter="0"/>
          <w:pgNumType w:start="0"/>
          <w:cols w:space="720"/>
          <w:titlePg/>
          <w:docGrid w:linePitch="326"/>
        </w:sectPr>
      </w:pPr>
    </w:p>
    <w:p w14:paraId="13BC7471" w14:textId="77777777" w:rsidR="00996BF3" w:rsidRPr="00474740" w:rsidRDefault="00996BF3" w:rsidP="006C1B0F">
      <w:bookmarkStart w:id="0" w:name="_Toc120713960"/>
      <w:r w:rsidRPr="00474740">
        <w:lastRenderedPageBreak/>
        <w:t>TABLE OF CONTENTS</w:t>
      </w:r>
      <w:bookmarkEnd w:id="0"/>
    </w:p>
    <w:sdt>
      <w:sdtPr>
        <w:id w:val="-453552634"/>
        <w:docPartObj>
          <w:docPartGallery w:val="Table of Contents"/>
          <w:docPartUnique/>
        </w:docPartObj>
      </w:sdtPr>
      <w:sdtContent>
        <w:p w14:paraId="3FCBCA0D" w14:textId="77777777" w:rsidR="00996BF3" w:rsidRPr="00474740" w:rsidRDefault="00996BF3" w:rsidP="006C1B0F"/>
        <w:p w14:paraId="1FB257DA" w14:textId="31EE17F8" w:rsidR="00241671" w:rsidRPr="00474740" w:rsidRDefault="00996BF3" w:rsidP="006C1B0F">
          <w:pPr>
            <w:rPr>
              <w:rFonts w:eastAsiaTheme="minorEastAsia"/>
              <w:noProof/>
              <w:sz w:val="22"/>
              <w:szCs w:val="22"/>
              <w:lang w:val="fr-FR" w:eastAsia="fr-FR"/>
            </w:rPr>
          </w:pPr>
          <w:r w:rsidRPr="00474740">
            <w:fldChar w:fldCharType="begin"/>
          </w:r>
          <w:r w:rsidRPr="00474740">
            <w:instrText xml:space="preserve"> TOC \o "1-3" \h \z \u </w:instrText>
          </w:r>
          <w:r w:rsidRPr="00474740">
            <w:fldChar w:fldCharType="separate"/>
          </w:r>
          <w:hyperlink w:anchor="_Toc120713960" w:history="1">
            <w:r w:rsidR="00241671" w:rsidRPr="00474740">
              <w:rPr>
                <w:rStyle w:val="Hyperlink"/>
                <w:rFonts w:ascii="Arial" w:hAnsi="Arial" w:cs="Arial"/>
                <w:noProof/>
              </w:rPr>
              <w:t>TABLE OF CONTENTS</w:t>
            </w:r>
            <w:r w:rsidR="00241671" w:rsidRPr="00474740">
              <w:rPr>
                <w:noProof/>
                <w:webHidden/>
              </w:rPr>
              <w:tab/>
            </w:r>
            <w:r w:rsidR="00241671" w:rsidRPr="00474740">
              <w:rPr>
                <w:noProof/>
                <w:webHidden/>
              </w:rPr>
              <w:fldChar w:fldCharType="begin"/>
            </w:r>
            <w:r w:rsidR="00241671" w:rsidRPr="00474740">
              <w:rPr>
                <w:noProof/>
                <w:webHidden/>
              </w:rPr>
              <w:instrText xml:space="preserve"> PAGEREF _Toc120713960 \h </w:instrText>
            </w:r>
            <w:r w:rsidR="00241671" w:rsidRPr="00474740">
              <w:rPr>
                <w:noProof/>
                <w:webHidden/>
              </w:rPr>
            </w:r>
            <w:r w:rsidR="00241671" w:rsidRPr="00474740">
              <w:rPr>
                <w:noProof/>
                <w:webHidden/>
              </w:rPr>
              <w:fldChar w:fldCharType="separate"/>
            </w:r>
            <w:r w:rsidR="00553918">
              <w:rPr>
                <w:noProof/>
                <w:webHidden/>
              </w:rPr>
              <w:t>i</w:t>
            </w:r>
            <w:r w:rsidR="00241671" w:rsidRPr="00474740">
              <w:rPr>
                <w:noProof/>
                <w:webHidden/>
              </w:rPr>
              <w:fldChar w:fldCharType="end"/>
            </w:r>
          </w:hyperlink>
        </w:p>
        <w:p w14:paraId="17E0FA46" w14:textId="382092E5" w:rsidR="00241671" w:rsidRPr="00474740" w:rsidRDefault="00241671" w:rsidP="006C1B0F">
          <w:pPr>
            <w:rPr>
              <w:rFonts w:eastAsiaTheme="minorEastAsia"/>
              <w:noProof/>
              <w:sz w:val="22"/>
              <w:szCs w:val="22"/>
              <w:lang w:val="fr-FR" w:eastAsia="fr-FR"/>
            </w:rPr>
          </w:pPr>
          <w:hyperlink w:anchor="_Toc120713961" w:history="1">
            <w:r w:rsidRPr="00474740">
              <w:rPr>
                <w:rStyle w:val="Hyperlink"/>
                <w:rFonts w:ascii="Arial" w:hAnsi="Arial" w:cs="Arial"/>
                <w:noProof/>
              </w:rPr>
              <w:t>I.</w:t>
            </w:r>
            <w:r w:rsidRPr="00474740">
              <w:rPr>
                <w:rFonts w:eastAsiaTheme="minorEastAsia"/>
                <w:noProof/>
                <w:sz w:val="22"/>
                <w:szCs w:val="22"/>
                <w:lang w:val="fr-FR" w:eastAsia="fr-FR"/>
              </w:rPr>
              <w:tab/>
            </w:r>
            <w:r w:rsidRPr="00474740">
              <w:rPr>
                <w:rStyle w:val="Hyperlink"/>
                <w:rFonts w:ascii="Arial" w:hAnsi="Arial" w:cs="Arial"/>
                <w:noProof/>
              </w:rPr>
              <w:t>THE PARTIES</w:t>
            </w:r>
            <w:r w:rsidRPr="00474740">
              <w:rPr>
                <w:noProof/>
                <w:webHidden/>
              </w:rPr>
              <w:tab/>
            </w:r>
            <w:r w:rsidRPr="00474740">
              <w:rPr>
                <w:noProof/>
                <w:webHidden/>
              </w:rPr>
              <w:fldChar w:fldCharType="begin"/>
            </w:r>
            <w:r w:rsidRPr="00474740">
              <w:rPr>
                <w:noProof/>
                <w:webHidden/>
              </w:rPr>
              <w:instrText xml:space="preserve"> PAGEREF _Toc120713961 \h </w:instrText>
            </w:r>
            <w:r w:rsidRPr="00474740">
              <w:rPr>
                <w:noProof/>
                <w:webHidden/>
              </w:rPr>
            </w:r>
            <w:r w:rsidRPr="00474740">
              <w:rPr>
                <w:noProof/>
                <w:webHidden/>
              </w:rPr>
              <w:fldChar w:fldCharType="separate"/>
            </w:r>
            <w:r w:rsidR="00553918">
              <w:rPr>
                <w:noProof/>
                <w:webHidden/>
              </w:rPr>
              <w:t>2</w:t>
            </w:r>
            <w:r w:rsidRPr="00474740">
              <w:rPr>
                <w:noProof/>
                <w:webHidden/>
              </w:rPr>
              <w:fldChar w:fldCharType="end"/>
            </w:r>
          </w:hyperlink>
        </w:p>
        <w:p w14:paraId="2CEE0C20" w14:textId="4A42B9F9" w:rsidR="00241671" w:rsidRPr="00474740" w:rsidRDefault="00241671" w:rsidP="006C1B0F">
          <w:pPr>
            <w:rPr>
              <w:rFonts w:eastAsiaTheme="minorEastAsia"/>
              <w:noProof/>
              <w:sz w:val="22"/>
              <w:szCs w:val="22"/>
              <w:lang w:val="fr-FR" w:eastAsia="fr-FR"/>
            </w:rPr>
          </w:pPr>
          <w:hyperlink w:anchor="_Toc120713962" w:history="1">
            <w:r w:rsidRPr="00474740">
              <w:rPr>
                <w:rStyle w:val="Hyperlink"/>
                <w:rFonts w:ascii="Arial" w:hAnsi="Arial" w:cs="Arial"/>
                <w:noProof/>
              </w:rPr>
              <w:t>II.</w:t>
            </w:r>
            <w:r w:rsidRPr="00474740">
              <w:rPr>
                <w:rFonts w:eastAsiaTheme="minorEastAsia"/>
                <w:noProof/>
                <w:sz w:val="22"/>
                <w:szCs w:val="22"/>
                <w:lang w:val="fr-FR" w:eastAsia="fr-FR"/>
              </w:rPr>
              <w:tab/>
            </w:r>
            <w:r w:rsidRPr="00474740">
              <w:rPr>
                <w:rStyle w:val="Hyperlink"/>
                <w:rFonts w:ascii="Arial" w:hAnsi="Arial" w:cs="Arial"/>
                <w:noProof/>
              </w:rPr>
              <w:t>SUBJECT OF THE APPLICATION</w:t>
            </w:r>
            <w:r w:rsidRPr="00474740">
              <w:rPr>
                <w:noProof/>
                <w:webHidden/>
              </w:rPr>
              <w:tab/>
            </w:r>
            <w:r w:rsidRPr="00474740">
              <w:rPr>
                <w:noProof/>
                <w:webHidden/>
              </w:rPr>
              <w:fldChar w:fldCharType="begin"/>
            </w:r>
            <w:r w:rsidRPr="00474740">
              <w:rPr>
                <w:noProof/>
                <w:webHidden/>
              </w:rPr>
              <w:instrText xml:space="preserve"> PAGEREF _Toc120713962 \h </w:instrText>
            </w:r>
            <w:r w:rsidRPr="00474740">
              <w:rPr>
                <w:noProof/>
                <w:webHidden/>
              </w:rPr>
            </w:r>
            <w:r w:rsidRPr="00474740">
              <w:rPr>
                <w:noProof/>
                <w:webHidden/>
              </w:rPr>
              <w:fldChar w:fldCharType="separate"/>
            </w:r>
            <w:r w:rsidR="00553918">
              <w:rPr>
                <w:noProof/>
                <w:webHidden/>
              </w:rPr>
              <w:t>2</w:t>
            </w:r>
            <w:r w:rsidRPr="00474740">
              <w:rPr>
                <w:noProof/>
                <w:webHidden/>
              </w:rPr>
              <w:fldChar w:fldCharType="end"/>
            </w:r>
          </w:hyperlink>
        </w:p>
        <w:p w14:paraId="4353E00C" w14:textId="72A0DFA2" w:rsidR="00241671" w:rsidRPr="00474740" w:rsidRDefault="00241671" w:rsidP="006C1B0F">
          <w:pPr>
            <w:rPr>
              <w:rFonts w:eastAsiaTheme="minorEastAsia"/>
              <w:noProof/>
              <w:sz w:val="22"/>
              <w:szCs w:val="22"/>
              <w:lang w:val="fr-FR" w:eastAsia="fr-FR"/>
            </w:rPr>
          </w:pPr>
          <w:hyperlink w:anchor="_Toc120713963" w:history="1">
            <w:r w:rsidRPr="00474740">
              <w:rPr>
                <w:rStyle w:val="Hyperlink"/>
                <w:rFonts w:ascii="Arial" w:hAnsi="Arial" w:cs="Arial"/>
                <w:noProof/>
              </w:rPr>
              <w:t>A.</w:t>
            </w:r>
            <w:r w:rsidRPr="00474740">
              <w:rPr>
                <w:rFonts w:eastAsiaTheme="minorEastAsia"/>
                <w:noProof/>
                <w:sz w:val="22"/>
                <w:szCs w:val="22"/>
                <w:lang w:val="fr-FR" w:eastAsia="fr-FR"/>
              </w:rPr>
              <w:tab/>
            </w:r>
            <w:r w:rsidRPr="00474740">
              <w:rPr>
                <w:rStyle w:val="Hyperlink"/>
                <w:rFonts w:ascii="Arial" w:hAnsi="Arial" w:cs="Arial"/>
                <w:noProof/>
              </w:rPr>
              <w:t>Facts of the matter</w:t>
            </w:r>
            <w:r w:rsidRPr="00474740">
              <w:rPr>
                <w:noProof/>
                <w:webHidden/>
              </w:rPr>
              <w:tab/>
            </w:r>
            <w:r w:rsidRPr="00474740">
              <w:rPr>
                <w:noProof/>
                <w:webHidden/>
              </w:rPr>
              <w:fldChar w:fldCharType="begin"/>
            </w:r>
            <w:r w:rsidRPr="00474740">
              <w:rPr>
                <w:noProof/>
                <w:webHidden/>
              </w:rPr>
              <w:instrText xml:space="preserve"> PAGEREF _Toc120713963 \h </w:instrText>
            </w:r>
            <w:r w:rsidRPr="00474740">
              <w:rPr>
                <w:noProof/>
                <w:webHidden/>
              </w:rPr>
            </w:r>
            <w:r w:rsidRPr="00474740">
              <w:rPr>
                <w:noProof/>
                <w:webHidden/>
              </w:rPr>
              <w:fldChar w:fldCharType="separate"/>
            </w:r>
            <w:r w:rsidR="00553918">
              <w:rPr>
                <w:noProof/>
                <w:webHidden/>
              </w:rPr>
              <w:t>2</w:t>
            </w:r>
            <w:r w:rsidRPr="00474740">
              <w:rPr>
                <w:noProof/>
                <w:webHidden/>
              </w:rPr>
              <w:fldChar w:fldCharType="end"/>
            </w:r>
          </w:hyperlink>
        </w:p>
        <w:p w14:paraId="03C6FD96" w14:textId="13CF6708" w:rsidR="00241671" w:rsidRPr="00474740" w:rsidRDefault="00241671" w:rsidP="006C1B0F">
          <w:pPr>
            <w:rPr>
              <w:rFonts w:eastAsiaTheme="minorEastAsia"/>
              <w:noProof/>
              <w:sz w:val="22"/>
              <w:szCs w:val="22"/>
              <w:lang w:val="fr-FR" w:eastAsia="fr-FR"/>
            </w:rPr>
          </w:pPr>
          <w:hyperlink w:anchor="_Toc120713964" w:history="1">
            <w:r w:rsidRPr="00474740">
              <w:rPr>
                <w:rStyle w:val="Hyperlink"/>
                <w:rFonts w:ascii="Arial" w:hAnsi="Arial" w:cs="Arial"/>
                <w:noProof/>
              </w:rPr>
              <w:t>B.</w:t>
            </w:r>
            <w:r w:rsidRPr="00474740">
              <w:rPr>
                <w:rFonts w:eastAsiaTheme="minorEastAsia"/>
                <w:noProof/>
                <w:sz w:val="22"/>
                <w:szCs w:val="22"/>
                <w:lang w:val="fr-FR" w:eastAsia="fr-FR"/>
              </w:rPr>
              <w:tab/>
            </w:r>
            <w:r w:rsidRPr="00474740">
              <w:rPr>
                <w:rStyle w:val="Hyperlink"/>
                <w:rFonts w:ascii="Arial" w:hAnsi="Arial" w:cs="Arial"/>
                <w:noProof/>
              </w:rPr>
              <w:t>Alleged violations</w:t>
            </w:r>
            <w:r w:rsidRPr="00474740">
              <w:rPr>
                <w:noProof/>
                <w:webHidden/>
              </w:rPr>
              <w:tab/>
            </w:r>
            <w:r w:rsidRPr="00474740">
              <w:rPr>
                <w:noProof/>
                <w:webHidden/>
              </w:rPr>
              <w:fldChar w:fldCharType="begin"/>
            </w:r>
            <w:r w:rsidRPr="00474740">
              <w:rPr>
                <w:noProof/>
                <w:webHidden/>
              </w:rPr>
              <w:instrText xml:space="preserve"> PAGEREF _Toc120713964 \h </w:instrText>
            </w:r>
            <w:r w:rsidRPr="00474740">
              <w:rPr>
                <w:noProof/>
                <w:webHidden/>
              </w:rPr>
            </w:r>
            <w:r w:rsidRPr="00474740">
              <w:rPr>
                <w:noProof/>
                <w:webHidden/>
              </w:rPr>
              <w:fldChar w:fldCharType="separate"/>
            </w:r>
            <w:r w:rsidR="00553918">
              <w:rPr>
                <w:noProof/>
                <w:webHidden/>
              </w:rPr>
              <w:t>3</w:t>
            </w:r>
            <w:r w:rsidRPr="00474740">
              <w:rPr>
                <w:noProof/>
                <w:webHidden/>
              </w:rPr>
              <w:fldChar w:fldCharType="end"/>
            </w:r>
          </w:hyperlink>
        </w:p>
        <w:p w14:paraId="03FB1313" w14:textId="5A8714EB" w:rsidR="00241671" w:rsidRPr="00474740" w:rsidRDefault="00241671" w:rsidP="006C1B0F">
          <w:pPr>
            <w:rPr>
              <w:rFonts w:eastAsiaTheme="minorEastAsia"/>
              <w:noProof/>
              <w:sz w:val="22"/>
              <w:szCs w:val="22"/>
              <w:lang w:val="fr-FR" w:eastAsia="fr-FR"/>
            </w:rPr>
          </w:pPr>
          <w:hyperlink w:anchor="_Toc120713965" w:history="1">
            <w:r w:rsidRPr="00474740">
              <w:rPr>
                <w:rStyle w:val="Hyperlink"/>
                <w:rFonts w:ascii="Arial" w:hAnsi="Arial" w:cs="Arial"/>
                <w:noProof/>
              </w:rPr>
              <w:t>III.</w:t>
            </w:r>
            <w:r w:rsidRPr="00474740">
              <w:rPr>
                <w:rFonts w:eastAsiaTheme="minorEastAsia"/>
                <w:noProof/>
                <w:sz w:val="22"/>
                <w:szCs w:val="22"/>
                <w:lang w:val="fr-FR" w:eastAsia="fr-FR"/>
              </w:rPr>
              <w:tab/>
            </w:r>
            <w:r w:rsidRPr="00474740">
              <w:rPr>
                <w:rStyle w:val="Hyperlink"/>
                <w:rFonts w:ascii="Arial" w:hAnsi="Arial" w:cs="Arial"/>
                <w:noProof/>
              </w:rPr>
              <w:t>SUMMARY OF THE PROCEDURE BEFORE THE COURT</w:t>
            </w:r>
            <w:r w:rsidRPr="00474740">
              <w:rPr>
                <w:noProof/>
                <w:webHidden/>
              </w:rPr>
              <w:tab/>
            </w:r>
            <w:r w:rsidRPr="00474740">
              <w:rPr>
                <w:noProof/>
                <w:webHidden/>
              </w:rPr>
              <w:fldChar w:fldCharType="begin"/>
            </w:r>
            <w:r w:rsidRPr="00474740">
              <w:rPr>
                <w:noProof/>
                <w:webHidden/>
              </w:rPr>
              <w:instrText xml:space="preserve"> PAGEREF _Toc120713965 \h </w:instrText>
            </w:r>
            <w:r w:rsidRPr="00474740">
              <w:rPr>
                <w:noProof/>
                <w:webHidden/>
              </w:rPr>
            </w:r>
            <w:r w:rsidRPr="00474740">
              <w:rPr>
                <w:noProof/>
                <w:webHidden/>
              </w:rPr>
              <w:fldChar w:fldCharType="separate"/>
            </w:r>
            <w:r w:rsidR="00553918">
              <w:rPr>
                <w:noProof/>
                <w:webHidden/>
              </w:rPr>
              <w:t>4</w:t>
            </w:r>
            <w:r w:rsidRPr="00474740">
              <w:rPr>
                <w:noProof/>
                <w:webHidden/>
              </w:rPr>
              <w:fldChar w:fldCharType="end"/>
            </w:r>
          </w:hyperlink>
        </w:p>
        <w:p w14:paraId="5217807D" w14:textId="05AAD5B5" w:rsidR="00241671" w:rsidRPr="00474740" w:rsidRDefault="00241671" w:rsidP="006C1B0F">
          <w:pPr>
            <w:rPr>
              <w:rFonts w:eastAsiaTheme="minorEastAsia"/>
              <w:noProof/>
              <w:sz w:val="22"/>
              <w:szCs w:val="22"/>
              <w:lang w:val="fr-FR" w:eastAsia="fr-FR"/>
            </w:rPr>
          </w:pPr>
          <w:hyperlink w:anchor="_Toc120713966" w:history="1">
            <w:r w:rsidRPr="00474740">
              <w:rPr>
                <w:rStyle w:val="Hyperlink"/>
                <w:rFonts w:ascii="Arial" w:hAnsi="Arial" w:cs="Arial"/>
                <w:noProof/>
              </w:rPr>
              <w:t>IV.</w:t>
            </w:r>
            <w:r w:rsidRPr="00474740">
              <w:rPr>
                <w:rFonts w:eastAsiaTheme="minorEastAsia"/>
                <w:noProof/>
                <w:sz w:val="22"/>
                <w:szCs w:val="22"/>
                <w:lang w:val="fr-FR" w:eastAsia="fr-FR"/>
              </w:rPr>
              <w:tab/>
            </w:r>
            <w:r w:rsidRPr="00474740">
              <w:rPr>
                <w:rStyle w:val="Hyperlink"/>
                <w:rFonts w:ascii="Arial" w:hAnsi="Arial" w:cs="Arial"/>
                <w:noProof/>
              </w:rPr>
              <w:t>PRAYERS OF THE PARTIES</w:t>
            </w:r>
            <w:r w:rsidRPr="00474740">
              <w:rPr>
                <w:noProof/>
                <w:webHidden/>
              </w:rPr>
              <w:tab/>
            </w:r>
            <w:r w:rsidRPr="00474740">
              <w:rPr>
                <w:noProof/>
                <w:webHidden/>
              </w:rPr>
              <w:fldChar w:fldCharType="begin"/>
            </w:r>
            <w:r w:rsidRPr="00474740">
              <w:rPr>
                <w:noProof/>
                <w:webHidden/>
              </w:rPr>
              <w:instrText xml:space="preserve"> PAGEREF _Toc120713966 \h </w:instrText>
            </w:r>
            <w:r w:rsidRPr="00474740">
              <w:rPr>
                <w:noProof/>
                <w:webHidden/>
              </w:rPr>
            </w:r>
            <w:r w:rsidRPr="00474740">
              <w:rPr>
                <w:noProof/>
                <w:webHidden/>
              </w:rPr>
              <w:fldChar w:fldCharType="separate"/>
            </w:r>
            <w:r w:rsidR="00553918">
              <w:rPr>
                <w:noProof/>
                <w:webHidden/>
              </w:rPr>
              <w:t>6</w:t>
            </w:r>
            <w:r w:rsidRPr="00474740">
              <w:rPr>
                <w:noProof/>
                <w:webHidden/>
              </w:rPr>
              <w:fldChar w:fldCharType="end"/>
            </w:r>
          </w:hyperlink>
        </w:p>
        <w:p w14:paraId="6AA92B47" w14:textId="72B60242" w:rsidR="00241671" w:rsidRPr="00474740" w:rsidRDefault="00241671" w:rsidP="006C1B0F">
          <w:pPr>
            <w:rPr>
              <w:rFonts w:eastAsiaTheme="minorEastAsia"/>
              <w:noProof/>
              <w:sz w:val="22"/>
              <w:szCs w:val="22"/>
              <w:lang w:val="fr-FR" w:eastAsia="fr-FR"/>
            </w:rPr>
          </w:pPr>
          <w:hyperlink w:anchor="_Toc120713967" w:history="1">
            <w:r w:rsidRPr="00474740">
              <w:rPr>
                <w:rStyle w:val="Hyperlink"/>
                <w:rFonts w:ascii="Arial" w:hAnsi="Arial" w:cs="Arial"/>
                <w:noProof/>
              </w:rPr>
              <w:t>V.</w:t>
            </w:r>
            <w:r w:rsidRPr="00474740">
              <w:rPr>
                <w:rFonts w:eastAsiaTheme="minorEastAsia"/>
                <w:noProof/>
                <w:sz w:val="22"/>
                <w:szCs w:val="22"/>
                <w:lang w:val="fr-FR" w:eastAsia="fr-FR"/>
              </w:rPr>
              <w:tab/>
            </w:r>
            <w:r w:rsidRPr="00474740">
              <w:rPr>
                <w:rStyle w:val="Hyperlink"/>
                <w:rFonts w:ascii="Arial" w:hAnsi="Arial" w:cs="Arial"/>
                <w:noProof/>
              </w:rPr>
              <w:t>JURISDICTION</w:t>
            </w:r>
            <w:r w:rsidRPr="00474740">
              <w:rPr>
                <w:noProof/>
                <w:webHidden/>
              </w:rPr>
              <w:tab/>
            </w:r>
            <w:r w:rsidRPr="00474740">
              <w:rPr>
                <w:noProof/>
                <w:webHidden/>
              </w:rPr>
              <w:fldChar w:fldCharType="begin"/>
            </w:r>
            <w:r w:rsidRPr="00474740">
              <w:rPr>
                <w:noProof/>
                <w:webHidden/>
              </w:rPr>
              <w:instrText xml:space="preserve"> PAGEREF _Toc120713967 \h </w:instrText>
            </w:r>
            <w:r w:rsidRPr="00474740">
              <w:rPr>
                <w:noProof/>
                <w:webHidden/>
              </w:rPr>
            </w:r>
            <w:r w:rsidRPr="00474740">
              <w:rPr>
                <w:noProof/>
                <w:webHidden/>
              </w:rPr>
              <w:fldChar w:fldCharType="separate"/>
            </w:r>
            <w:r w:rsidR="00553918">
              <w:rPr>
                <w:noProof/>
                <w:webHidden/>
              </w:rPr>
              <w:t>8</w:t>
            </w:r>
            <w:r w:rsidRPr="00474740">
              <w:rPr>
                <w:noProof/>
                <w:webHidden/>
              </w:rPr>
              <w:fldChar w:fldCharType="end"/>
            </w:r>
          </w:hyperlink>
        </w:p>
        <w:p w14:paraId="76EE23E6" w14:textId="7F940C41" w:rsidR="00241671" w:rsidRPr="00474740" w:rsidRDefault="00241671" w:rsidP="006C1B0F">
          <w:pPr>
            <w:rPr>
              <w:rFonts w:eastAsiaTheme="minorEastAsia"/>
              <w:noProof/>
              <w:sz w:val="22"/>
              <w:szCs w:val="22"/>
              <w:lang w:val="fr-FR" w:eastAsia="fr-FR"/>
            </w:rPr>
          </w:pPr>
          <w:hyperlink w:anchor="_Toc120713968" w:history="1">
            <w:r w:rsidRPr="00474740">
              <w:rPr>
                <w:rStyle w:val="Hyperlink"/>
                <w:rFonts w:ascii="Arial" w:hAnsi="Arial" w:cs="Arial"/>
                <w:noProof/>
              </w:rPr>
              <w:t>VI.</w:t>
            </w:r>
            <w:r w:rsidRPr="00474740">
              <w:rPr>
                <w:rFonts w:eastAsiaTheme="minorEastAsia"/>
                <w:noProof/>
                <w:sz w:val="22"/>
                <w:szCs w:val="22"/>
                <w:lang w:val="fr-FR" w:eastAsia="fr-FR"/>
              </w:rPr>
              <w:tab/>
            </w:r>
            <w:r w:rsidRPr="00474740">
              <w:rPr>
                <w:rStyle w:val="Hyperlink"/>
                <w:rFonts w:ascii="Arial" w:hAnsi="Arial" w:cs="Arial"/>
                <w:noProof/>
              </w:rPr>
              <w:t>ADMISSIBILITY</w:t>
            </w:r>
            <w:r w:rsidRPr="00474740">
              <w:rPr>
                <w:noProof/>
                <w:webHidden/>
              </w:rPr>
              <w:tab/>
            </w:r>
            <w:r w:rsidRPr="00474740">
              <w:rPr>
                <w:noProof/>
                <w:webHidden/>
              </w:rPr>
              <w:fldChar w:fldCharType="begin"/>
            </w:r>
            <w:r w:rsidRPr="00474740">
              <w:rPr>
                <w:noProof/>
                <w:webHidden/>
              </w:rPr>
              <w:instrText xml:space="preserve"> PAGEREF _Toc120713968 \h </w:instrText>
            </w:r>
            <w:r w:rsidRPr="00474740">
              <w:rPr>
                <w:noProof/>
                <w:webHidden/>
              </w:rPr>
            </w:r>
            <w:r w:rsidRPr="00474740">
              <w:rPr>
                <w:noProof/>
                <w:webHidden/>
              </w:rPr>
              <w:fldChar w:fldCharType="separate"/>
            </w:r>
            <w:r w:rsidR="00553918">
              <w:rPr>
                <w:noProof/>
                <w:webHidden/>
              </w:rPr>
              <w:t>10</w:t>
            </w:r>
            <w:r w:rsidRPr="00474740">
              <w:rPr>
                <w:noProof/>
                <w:webHidden/>
              </w:rPr>
              <w:fldChar w:fldCharType="end"/>
            </w:r>
          </w:hyperlink>
        </w:p>
        <w:p w14:paraId="28E417FB" w14:textId="37C89633" w:rsidR="00241671" w:rsidRPr="00474740" w:rsidRDefault="00241671" w:rsidP="006C1B0F">
          <w:pPr>
            <w:rPr>
              <w:rFonts w:eastAsiaTheme="minorEastAsia"/>
              <w:noProof/>
              <w:sz w:val="22"/>
              <w:szCs w:val="22"/>
              <w:lang w:val="fr-FR" w:eastAsia="fr-FR"/>
            </w:rPr>
          </w:pPr>
          <w:hyperlink w:anchor="_Toc120713969" w:history="1">
            <w:r w:rsidRPr="00474740">
              <w:rPr>
                <w:rStyle w:val="Hyperlink"/>
                <w:rFonts w:ascii="Arial" w:eastAsia="Times New Roman" w:hAnsi="Arial" w:cs="Arial"/>
                <w:noProof/>
                <w:lang w:val="en-US"/>
              </w:rPr>
              <w:t>A.</w:t>
            </w:r>
            <w:r w:rsidRPr="00474740">
              <w:rPr>
                <w:rFonts w:eastAsiaTheme="minorEastAsia"/>
                <w:noProof/>
                <w:sz w:val="22"/>
                <w:szCs w:val="22"/>
                <w:lang w:val="fr-FR" w:eastAsia="fr-FR"/>
              </w:rPr>
              <w:tab/>
            </w:r>
            <w:r w:rsidRPr="00474740">
              <w:rPr>
                <w:rStyle w:val="Hyperlink"/>
                <w:rFonts w:ascii="Arial" w:eastAsia="Times New Roman" w:hAnsi="Arial" w:cs="Arial"/>
                <w:noProof/>
                <w:lang w:val="en-US"/>
              </w:rPr>
              <w:t>Objections to the admissibility of the Application</w:t>
            </w:r>
            <w:r w:rsidRPr="00474740">
              <w:rPr>
                <w:noProof/>
                <w:webHidden/>
              </w:rPr>
              <w:tab/>
            </w:r>
            <w:r w:rsidRPr="00474740">
              <w:rPr>
                <w:noProof/>
                <w:webHidden/>
              </w:rPr>
              <w:fldChar w:fldCharType="begin"/>
            </w:r>
            <w:r w:rsidRPr="00474740">
              <w:rPr>
                <w:noProof/>
                <w:webHidden/>
              </w:rPr>
              <w:instrText xml:space="preserve"> PAGEREF _Toc120713969 \h </w:instrText>
            </w:r>
            <w:r w:rsidRPr="00474740">
              <w:rPr>
                <w:noProof/>
                <w:webHidden/>
              </w:rPr>
            </w:r>
            <w:r w:rsidRPr="00474740">
              <w:rPr>
                <w:noProof/>
                <w:webHidden/>
              </w:rPr>
              <w:fldChar w:fldCharType="separate"/>
            </w:r>
            <w:r w:rsidR="00553918">
              <w:rPr>
                <w:noProof/>
                <w:webHidden/>
              </w:rPr>
              <w:t>11</w:t>
            </w:r>
            <w:r w:rsidRPr="00474740">
              <w:rPr>
                <w:noProof/>
                <w:webHidden/>
              </w:rPr>
              <w:fldChar w:fldCharType="end"/>
            </w:r>
          </w:hyperlink>
        </w:p>
        <w:p w14:paraId="5178C18A" w14:textId="4303A7DF" w:rsidR="00241671" w:rsidRPr="00474740" w:rsidRDefault="00241671" w:rsidP="006C1B0F">
          <w:pPr>
            <w:rPr>
              <w:rFonts w:eastAsiaTheme="minorEastAsia"/>
              <w:noProof/>
              <w:sz w:val="22"/>
              <w:szCs w:val="22"/>
              <w:lang w:val="fr-FR" w:eastAsia="fr-FR"/>
            </w:rPr>
          </w:pPr>
          <w:hyperlink w:anchor="_Toc120713970" w:history="1">
            <w:r w:rsidRPr="00474740">
              <w:rPr>
                <w:rStyle w:val="Hyperlink"/>
                <w:rFonts w:ascii="Arial" w:eastAsia="Times New Roman" w:hAnsi="Arial" w:cs="Arial"/>
                <w:noProof/>
                <w:lang w:val="en-US"/>
              </w:rPr>
              <w:t>B.</w:t>
            </w:r>
            <w:r w:rsidRPr="00474740">
              <w:rPr>
                <w:rFonts w:eastAsiaTheme="minorEastAsia"/>
                <w:noProof/>
                <w:sz w:val="22"/>
                <w:szCs w:val="22"/>
                <w:lang w:val="fr-FR" w:eastAsia="fr-FR"/>
              </w:rPr>
              <w:tab/>
            </w:r>
            <w:r w:rsidRPr="00474740">
              <w:rPr>
                <w:rStyle w:val="Hyperlink"/>
                <w:rFonts w:ascii="Arial" w:eastAsia="Times New Roman" w:hAnsi="Arial" w:cs="Arial"/>
                <w:noProof/>
                <w:lang w:val="en-US"/>
              </w:rPr>
              <w:t>Other conditions of admissibility</w:t>
            </w:r>
            <w:r w:rsidRPr="00474740">
              <w:rPr>
                <w:noProof/>
                <w:webHidden/>
              </w:rPr>
              <w:tab/>
            </w:r>
            <w:r w:rsidRPr="00474740">
              <w:rPr>
                <w:noProof/>
                <w:webHidden/>
              </w:rPr>
              <w:fldChar w:fldCharType="begin"/>
            </w:r>
            <w:r w:rsidRPr="00474740">
              <w:rPr>
                <w:noProof/>
                <w:webHidden/>
              </w:rPr>
              <w:instrText xml:space="preserve"> PAGEREF _Toc120713970 \h </w:instrText>
            </w:r>
            <w:r w:rsidRPr="00474740">
              <w:rPr>
                <w:noProof/>
                <w:webHidden/>
              </w:rPr>
            </w:r>
            <w:r w:rsidRPr="00474740">
              <w:rPr>
                <w:noProof/>
                <w:webHidden/>
              </w:rPr>
              <w:fldChar w:fldCharType="separate"/>
            </w:r>
            <w:r w:rsidR="00553918">
              <w:rPr>
                <w:noProof/>
                <w:webHidden/>
              </w:rPr>
              <w:t>18</w:t>
            </w:r>
            <w:r w:rsidRPr="00474740">
              <w:rPr>
                <w:noProof/>
                <w:webHidden/>
              </w:rPr>
              <w:fldChar w:fldCharType="end"/>
            </w:r>
          </w:hyperlink>
        </w:p>
        <w:p w14:paraId="20A59E4E" w14:textId="15D4D803" w:rsidR="00241671" w:rsidRPr="00474740" w:rsidRDefault="00241671" w:rsidP="006C1B0F">
          <w:pPr>
            <w:rPr>
              <w:rFonts w:eastAsiaTheme="minorEastAsia"/>
              <w:noProof/>
              <w:sz w:val="22"/>
              <w:szCs w:val="22"/>
              <w:lang w:val="fr-FR" w:eastAsia="fr-FR"/>
            </w:rPr>
          </w:pPr>
          <w:hyperlink w:anchor="_Toc120713971" w:history="1">
            <w:r w:rsidRPr="00474740">
              <w:rPr>
                <w:rStyle w:val="Hyperlink"/>
                <w:rFonts w:ascii="Arial" w:eastAsia="Times New Roman" w:hAnsi="Arial" w:cs="Arial"/>
                <w:noProof/>
              </w:rPr>
              <w:t>VII.</w:t>
            </w:r>
            <w:r w:rsidRPr="00474740">
              <w:rPr>
                <w:rFonts w:eastAsiaTheme="minorEastAsia"/>
                <w:noProof/>
                <w:sz w:val="22"/>
                <w:szCs w:val="22"/>
                <w:lang w:val="fr-FR" w:eastAsia="fr-FR"/>
              </w:rPr>
              <w:tab/>
            </w:r>
            <w:r w:rsidRPr="00474740">
              <w:rPr>
                <w:rStyle w:val="Hyperlink"/>
                <w:rFonts w:ascii="Arial" w:eastAsia="Times New Roman" w:hAnsi="Arial" w:cs="Arial"/>
                <w:noProof/>
              </w:rPr>
              <w:t>ON THE REQUEST FOR PROVISIONAL MEASURES</w:t>
            </w:r>
            <w:r w:rsidRPr="00474740">
              <w:rPr>
                <w:noProof/>
                <w:webHidden/>
              </w:rPr>
              <w:tab/>
            </w:r>
            <w:r w:rsidRPr="00474740">
              <w:rPr>
                <w:noProof/>
                <w:webHidden/>
              </w:rPr>
              <w:fldChar w:fldCharType="begin"/>
            </w:r>
            <w:r w:rsidRPr="00474740">
              <w:rPr>
                <w:noProof/>
                <w:webHidden/>
              </w:rPr>
              <w:instrText xml:space="preserve"> PAGEREF _Toc120713971 \h </w:instrText>
            </w:r>
            <w:r w:rsidRPr="00474740">
              <w:rPr>
                <w:noProof/>
                <w:webHidden/>
              </w:rPr>
            </w:r>
            <w:r w:rsidRPr="00474740">
              <w:rPr>
                <w:noProof/>
                <w:webHidden/>
              </w:rPr>
              <w:fldChar w:fldCharType="separate"/>
            </w:r>
            <w:r w:rsidR="00553918">
              <w:rPr>
                <w:noProof/>
                <w:webHidden/>
              </w:rPr>
              <w:t>19</w:t>
            </w:r>
            <w:r w:rsidRPr="00474740">
              <w:rPr>
                <w:noProof/>
                <w:webHidden/>
              </w:rPr>
              <w:fldChar w:fldCharType="end"/>
            </w:r>
          </w:hyperlink>
        </w:p>
        <w:p w14:paraId="0CB6E1A4" w14:textId="70591F85" w:rsidR="00241671" w:rsidRPr="00474740" w:rsidRDefault="00241671" w:rsidP="006C1B0F">
          <w:pPr>
            <w:rPr>
              <w:rFonts w:eastAsiaTheme="minorEastAsia"/>
              <w:noProof/>
              <w:sz w:val="22"/>
              <w:szCs w:val="22"/>
              <w:lang w:val="fr-FR" w:eastAsia="fr-FR"/>
            </w:rPr>
          </w:pPr>
          <w:hyperlink w:anchor="_Toc120713972" w:history="1">
            <w:r w:rsidRPr="00474740">
              <w:rPr>
                <w:rStyle w:val="Hyperlink"/>
                <w:rFonts w:ascii="Arial" w:hAnsi="Arial" w:cs="Arial"/>
                <w:noProof/>
              </w:rPr>
              <w:t>VIII.</w:t>
            </w:r>
            <w:r w:rsidRPr="00474740">
              <w:rPr>
                <w:rFonts w:eastAsiaTheme="minorEastAsia"/>
                <w:noProof/>
                <w:sz w:val="22"/>
                <w:szCs w:val="22"/>
                <w:lang w:val="fr-FR" w:eastAsia="fr-FR"/>
              </w:rPr>
              <w:tab/>
            </w:r>
            <w:r w:rsidRPr="00474740">
              <w:rPr>
                <w:rStyle w:val="Hyperlink"/>
                <w:rFonts w:ascii="Arial" w:hAnsi="Arial" w:cs="Arial"/>
                <w:noProof/>
              </w:rPr>
              <w:t>COSTS</w:t>
            </w:r>
            <w:r w:rsidRPr="00474740">
              <w:rPr>
                <w:noProof/>
                <w:webHidden/>
              </w:rPr>
              <w:tab/>
            </w:r>
            <w:r w:rsidRPr="00474740">
              <w:rPr>
                <w:noProof/>
                <w:webHidden/>
              </w:rPr>
              <w:fldChar w:fldCharType="begin"/>
            </w:r>
            <w:r w:rsidRPr="00474740">
              <w:rPr>
                <w:noProof/>
                <w:webHidden/>
              </w:rPr>
              <w:instrText xml:space="preserve"> PAGEREF _Toc120713972 \h </w:instrText>
            </w:r>
            <w:r w:rsidRPr="00474740">
              <w:rPr>
                <w:noProof/>
                <w:webHidden/>
              </w:rPr>
            </w:r>
            <w:r w:rsidRPr="00474740">
              <w:rPr>
                <w:noProof/>
                <w:webHidden/>
              </w:rPr>
              <w:fldChar w:fldCharType="separate"/>
            </w:r>
            <w:r w:rsidR="00553918">
              <w:rPr>
                <w:noProof/>
                <w:webHidden/>
              </w:rPr>
              <w:t>19</w:t>
            </w:r>
            <w:r w:rsidRPr="00474740">
              <w:rPr>
                <w:noProof/>
                <w:webHidden/>
              </w:rPr>
              <w:fldChar w:fldCharType="end"/>
            </w:r>
          </w:hyperlink>
        </w:p>
        <w:p w14:paraId="5EFB191B" w14:textId="17AAB719" w:rsidR="00241671" w:rsidRPr="00474740" w:rsidRDefault="00241671" w:rsidP="006C1B0F">
          <w:pPr>
            <w:rPr>
              <w:rFonts w:eastAsiaTheme="minorEastAsia"/>
              <w:noProof/>
              <w:sz w:val="22"/>
              <w:szCs w:val="22"/>
              <w:lang w:val="fr-FR" w:eastAsia="fr-FR"/>
            </w:rPr>
          </w:pPr>
          <w:hyperlink w:anchor="_Toc120713973" w:history="1">
            <w:r w:rsidRPr="00474740">
              <w:rPr>
                <w:rStyle w:val="Hyperlink"/>
                <w:rFonts w:ascii="Arial" w:hAnsi="Arial" w:cs="Arial"/>
                <w:noProof/>
              </w:rPr>
              <w:t>IX.</w:t>
            </w:r>
            <w:r w:rsidRPr="00474740">
              <w:rPr>
                <w:rFonts w:eastAsiaTheme="minorEastAsia"/>
                <w:noProof/>
                <w:sz w:val="22"/>
                <w:szCs w:val="22"/>
                <w:lang w:val="fr-FR" w:eastAsia="fr-FR"/>
              </w:rPr>
              <w:tab/>
            </w:r>
            <w:r w:rsidRPr="00474740">
              <w:rPr>
                <w:rStyle w:val="Hyperlink"/>
                <w:rFonts w:ascii="Arial" w:hAnsi="Arial" w:cs="Arial"/>
                <w:noProof/>
              </w:rPr>
              <w:t>OPERATIVE PART</w:t>
            </w:r>
            <w:r w:rsidRPr="00474740">
              <w:rPr>
                <w:noProof/>
                <w:webHidden/>
              </w:rPr>
              <w:tab/>
            </w:r>
            <w:r w:rsidRPr="00474740">
              <w:rPr>
                <w:noProof/>
                <w:webHidden/>
              </w:rPr>
              <w:fldChar w:fldCharType="begin"/>
            </w:r>
            <w:r w:rsidRPr="00474740">
              <w:rPr>
                <w:noProof/>
                <w:webHidden/>
              </w:rPr>
              <w:instrText xml:space="preserve"> PAGEREF _Toc120713973 \h </w:instrText>
            </w:r>
            <w:r w:rsidRPr="00474740">
              <w:rPr>
                <w:noProof/>
                <w:webHidden/>
              </w:rPr>
            </w:r>
            <w:r w:rsidRPr="00474740">
              <w:rPr>
                <w:noProof/>
                <w:webHidden/>
              </w:rPr>
              <w:fldChar w:fldCharType="separate"/>
            </w:r>
            <w:r w:rsidR="00553918">
              <w:rPr>
                <w:noProof/>
                <w:webHidden/>
              </w:rPr>
              <w:t>20</w:t>
            </w:r>
            <w:r w:rsidRPr="00474740">
              <w:rPr>
                <w:noProof/>
                <w:webHidden/>
              </w:rPr>
              <w:fldChar w:fldCharType="end"/>
            </w:r>
          </w:hyperlink>
        </w:p>
        <w:p w14:paraId="76E15396" w14:textId="22830D32" w:rsidR="00996BF3" w:rsidRPr="00474740" w:rsidRDefault="00996BF3" w:rsidP="006C1B0F">
          <w:r w:rsidRPr="00474740">
            <w:rPr>
              <w:noProof/>
            </w:rPr>
            <w:fldChar w:fldCharType="end"/>
          </w:r>
        </w:p>
      </w:sdtContent>
    </w:sdt>
    <w:p w14:paraId="3D509302" w14:textId="77777777" w:rsidR="00996BF3" w:rsidRPr="00474740" w:rsidRDefault="00996BF3" w:rsidP="006C1B0F"/>
    <w:p w14:paraId="572494C2" w14:textId="77777777" w:rsidR="00996BF3" w:rsidRPr="00474740" w:rsidRDefault="00996BF3" w:rsidP="006C1B0F">
      <w:pPr>
        <w:rPr>
          <w:rFonts w:eastAsia="Arial"/>
          <w:b/>
        </w:rPr>
        <w:sectPr w:rsidR="00996BF3" w:rsidRPr="00474740" w:rsidSect="006C4E8C">
          <w:pgSz w:w="11906" w:h="16838"/>
          <w:pgMar w:top="1440" w:right="1440" w:bottom="1440" w:left="1440" w:header="706" w:footer="706" w:gutter="0"/>
          <w:pgNumType w:fmt="lowerRoman" w:start="1"/>
          <w:cols w:space="720"/>
          <w:docGrid w:linePitch="326"/>
        </w:sectPr>
      </w:pPr>
    </w:p>
    <w:p w14:paraId="316BB8EF" w14:textId="309D973E" w:rsidR="00996BF3" w:rsidRPr="00474740" w:rsidRDefault="00996BF3" w:rsidP="006C1B0F">
      <w:r w:rsidRPr="00474740">
        <w:rPr>
          <w:rFonts w:eastAsia="Arial"/>
          <w:b/>
        </w:rPr>
        <w:lastRenderedPageBreak/>
        <w:t>The Court composed of</w:t>
      </w:r>
      <w:r w:rsidRPr="00474740">
        <w:rPr>
          <w:rFonts w:eastAsia="Arial"/>
        </w:rPr>
        <w:t xml:space="preserve">: </w:t>
      </w:r>
      <w:r w:rsidRPr="00474740">
        <w:t>Blaise TCHIKAYA, Vice-President; Ben KIOKO, Rafaâ BEN ACHOUR, Suzanne MENGUE, Tujilane R. CHIZUMILA, Chafika BENSAOULA, Stella I. ANUKAM, Dumisa B. NTSEBEZA</w:t>
      </w:r>
      <w:r w:rsidR="00DB3FE2" w:rsidRPr="00474740">
        <w:t xml:space="preserve">, </w:t>
      </w:r>
      <w:r w:rsidRPr="00474740">
        <w:t>Modibo SACKO</w:t>
      </w:r>
      <w:r w:rsidR="00D16E84" w:rsidRPr="00474740">
        <w:t xml:space="preserve">, </w:t>
      </w:r>
      <w:r w:rsidR="00DB3FE2" w:rsidRPr="00474740">
        <w:t>Dennis D. ADJEI</w:t>
      </w:r>
      <w:r w:rsidR="00C717C8" w:rsidRPr="00474740">
        <w:t xml:space="preserve"> </w:t>
      </w:r>
      <w:r w:rsidR="0042297C" w:rsidRPr="00474740">
        <w:t>–</w:t>
      </w:r>
      <w:r w:rsidRPr="00474740">
        <w:t xml:space="preserve"> Judges; and Robert ENO, Registrar.</w:t>
      </w:r>
    </w:p>
    <w:p w14:paraId="0CA2763B" w14:textId="77777777" w:rsidR="00996BF3" w:rsidRPr="00474740" w:rsidRDefault="00996BF3" w:rsidP="006C1B0F">
      <w:pPr>
        <w:rPr>
          <w:rFonts w:eastAsia="Calibri"/>
        </w:rPr>
      </w:pPr>
      <w:r w:rsidRPr="00474740">
        <w:rPr>
          <w:rFonts w:eastAsia="Calibri"/>
        </w:rPr>
        <w:t xml:space="preserve"> </w:t>
      </w:r>
    </w:p>
    <w:p w14:paraId="4F9E5AE6" w14:textId="25AAE848" w:rsidR="00996BF3" w:rsidRPr="00474740" w:rsidRDefault="00996BF3" w:rsidP="006C1B0F">
      <w:r w:rsidRPr="00474740">
        <w:t>In accordance with Article 22 of the Protocol to the African Charter on Human and Peoples</w:t>
      </w:r>
      <w:r w:rsidR="00AE7C00" w:rsidRPr="00474740">
        <w:t>’</w:t>
      </w:r>
      <w:r w:rsidRPr="00474740">
        <w:t xml:space="preserve"> Rights on the Establishment of an African Court on Human and Peoples</w:t>
      </w:r>
      <w:r w:rsidR="00AE7C00" w:rsidRPr="00474740">
        <w:t>’</w:t>
      </w:r>
      <w:r w:rsidRPr="00474740">
        <w:t xml:space="preserve"> Rights (hereinafter referred to as </w:t>
      </w:r>
      <w:r w:rsidR="000F47AA" w:rsidRPr="00474740">
        <w:t>“</w:t>
      </w:r>
      <w:r w:rsidRPr="00474740">
        <w:t>the Protocol</w:t>
      </w:r>
      <w:r w:rsidR="000F47AA" w:rsidRPr="00474740">
        <w:t>”</w:t>
      </w:r>
      <w:r w:rsidRPr="00474740">
        <w:t xml:space="preserve">) and Rule 9(2) of the Rules of Court (hereinafter referred to as </w:t>
      </w:r>
      <w:r w:rsidR="000F47AA" w:rsidRPr="00474740">
        <w:t>“</w:t>
      </w:r>
      <w:r w:rsidRPr="00474740">
        <w:t>the Rules</w:t>
      </w:r>
      <w:r w:rsidR="000F47AA" w:rsidRPr="00474740">
        <w:t>”</w:t>
      </w:r>
      <w:r w:rsidRPr="00474740">
        <w:t>), Justice Imani D. ABOUD, President of the Court and a national of Tanzania, did not hear the Application.</w:t>
      </w:r>
    </w:p>
    <w:p w14:paraId="0911FC81" w14:textId="77777777" w:rsidR="00996BF3" w:rsidRPr="00474740" w:rsidRDefault="00996BF3" w:rsidP="006C1B0F">
      <w:pPr>
        <w:rPr>
          <w:rFonts w:eastAsia="Calibri"/>
          <w:kern w:val="20"/>
          <w:lang w:eastAsia="ja-JP"/>
        </w:rPr>
      </w:pPr>
    </w:p>
    <w:p w14:paraId="12109744" w14:textId="77777777" w:rsidR="00996BF3" w:rsidRPr="00474740" w:rsidRDefault="00996BF3" w:rsidP="006C1B0F">
      <w:r w:rsidRPr="00474740">
        <w:t>In the Matter of:</w:t>
      </w:r>
    </w:p>
    <w:p w14:paraId="2187BA3C" w14:textId="77777777" w:rsidR="00996BF3" w:rsidRPr="00474740" w:rsidRDefault="00996BF3" w:rsidP="006C1B0F"/>
    <w:p w14:paraId="3EBFD916" w14:textId="77777777" w:rsidR="00F105D1" w:rsidRPr="00474740" w:rsidRDefault="00F105D1" w:rsidP="006C1B0F">
      <w:r w:rsidRPr="00474740">
        <w:t>Tike MWAMBIPILE and EQUALITY NOW</w:t>
      </w:r>
    </w:p>
    <w:p w14:paraId="60F7EF5E" w14:textId="77777777" w:rsidR="00F105D1" w:rsidRPr="00474740" w:rsidRDefault="00F105D1" w:rsidP="006C1B0F">
      <w:pPr>
        <w:rPr>
          <w:i/>
          <w:iCs/>
        </w:rPr>
      </w:pPr>
    </w:p>
    <w:p w14:paraId="469EDDF6" w14:textId="77777777" w:rsidR="003E752A" w:rsidRPr="00474740" w:rsidRDefault="00F105D1" w:rsidP="006C1B0F">
      <w:pPr>
        <w:rPr>
          <w:i/>
          <w:iCs/>
          <w:szCs w:val="22"/>
        </w:rPr>
      </w:pPr>
      <w:r w:rsidRPr="00474740">
        <w:rPr>
          <w:i/>
          <w:iCs/>
          <w:szCs w:val="22"/>
        </w:rPr>
        <w:t>Represented by</w:t>
      </w:r>
      <w:r w:rsidR="003E752A" w:rsidRPr="00474740">
        <w:rPr>
          <w:i/>
          <w:iCs/>
          <w:szCs w:val="22"/>
        </w:rPr>
        <w:t>:</w:t>
      </w:r>
    </w:p>
    <w:p w14:paraId="7AEB11AA" w14:textId="77777777" w:rsidR="003E752A" w:rsidRPr="00474740" w:rsidRDefault="003E752A" w:rsidP="006C1B0F">
      <w:pPr>
        <w:rPr>
          <w:szCs w:val="22"/>
        </w:rPr>
      </w:pPr>
    </w:p>
    <w:p w14:paraId="47911F06" w14:textId="77777777" w:rsidR="00E033B1" w:rsidRPr="00474740" w:rsidRDefault="00AF5ED5" w:rsidP="006C1B0F">
      <w:pPr>
        <w:rPr>
          <w:bCs/>
        </w:rPr>
      </w:pPr>
      <w:r w:rsidRPr="00474740">
        <w:t xml:space="preserve">Advocate </w:t>
      </w:r>
      <w:r w:rsidR="00F105D1" w:rsidRPr="00474740">
        <w:rPr>
          <w:bCs/>
        </w:rPr>
        <w:t>Jebra KAMBOLE,</w:t>
      </w:r>
      <w:r w:rsidRPr="00474740">
        <w:rPr>
          <w:bCs/>
        </w:rPr>
        <w:t xml:space="preserve"> </w:t>
      </w:r>
    </w:p>
    <w:p w14:paraId="22A6C2D7" w14:textId="3389C681" w:rsidR="00F105D1" w:rsidRPr="00474740" w:rsidRDefault="00AF5ED5" w:rsidP="006C1B0F">
      <w:pPr>
        <w:rPr>
          <w:bCs/>
        </w:rPr>
      </w:pPr>
      <w:r w:rsidRPr="00474740">
        <w:rPr>
          <w:bCs/>
        </w:rPr>
        <w:t>Law Guards Advocates</w:t>
      </w:r>
    </w:p>
    <w:p w14:paraId="728D75D6" w14:textId="77777777" w:rsidR="00F105D1" w:rsidRPr="00474740" w:rsidRDefault="00F105D1" w:rsidP="006C1B0F"/>
    <w:p w14:paraId="37EE9ABD" w14:textId="77777777" w:rsidR="00F105D1" w:rsidRPr="00474740" w:rsidRDefault="00F105D1" w:rsidP="006C1B0F">
      <w:r w:rsidRPr="00474740">
        <w:t>Versus</w:t>
      </w:r>
    </w:p>
    <w:p w14:paraId="57B31236" w14:textId="77777777" w:rsidR="00F105D1" w:rsidRPr="00474740" w:rsidRDefault="00F105D1" w:rsidP="006C1B0F"/>
    <w:p w14:paraId="0BCE7B63" w14:textId="77777777" w:rsidR="00F105D1" w:rsidRPr="00474740" w:rsidRDefault="00F105D1" w:rsidP="006C1B0F">
      <w:r w:rsidRPr="00474740">
        <w:t xml:space="preserve">UNITED REPUBLIC OF TANZANIA </w:t>
      </w:r>
    </w:p>
    <w:p w14:paraId="0B60294F" w14:textId="77777777" w:rsidR="00F105D1" w:rsidRPr="00474740" w:rsidRDefault="00F105D1" w:rsidP="006C1B0F">
      <w:pPr>
        <w:rPr>
          <w:i/>
          <w:iCs/>
        </w:rPr>
      </w:pPr>
    </w:p>
    <w:p w14:paraId="02C3B0C8" w14:textId="77777777" w:rsidR="003E752A" w:rsidRPr="00474740" w:rsidRDefault="00F105D1" w:rsidP="006C1B0F">
      <w:pPr>
        <w:rPr>
          <w:i/>
          <w:iCs/>
          <w:szCs w:val="22"/>
        </w:rPr>
      </w:pPr>
      <w:r w:rsidRPr="00474740">
        <w:rPr>
          <w:i/>
          <w:iCs/>
          <w:szCs w:val="22"/>
        </w:rPr>
        <w:t>Represented by</w:t>
      </w:r>
      <w:r w:rsidR="003E752A" w:rsidRPr="00474740">
        <w:rPr>
          <w:i/>
          <w:iCs/>
          <w:szCs w:val="22"/>
        </w:rPr>
        <w:t>:</w:t>
      </w:r>
    </w:p>
    <w:p w14:paraId="43A136AC" w14:textId="77777777" w:rsidR="003E752A" w:rsidRPr="00474740" w:rsidRDefault="003E752A" w:rsidP="006C1B0F">
      <w:pPr>
        <w:rPr>
          <w:szCs w:val="22"/>
        </w:rPr>
      </w:pPr>
    </w:p>
    <w:p w14:paraId="031D72DA" w14:textId="05052E98" w:rsidR="00F105D1" w:rsidRPr="00474740" w:rsidRDefault="002903A1" w:rsidP="006C1B0F">
      <w:r w:rsidRPr="00474740">
        <w:t>D</w:t>
      </w:r>
      <w:r w:rsidR="00F105D1" w:rsidRPr="00474740">
        <w:t xml:space="preserve">r. </w:t>
      </w:r>
      <w:r w:rsidRPr="00F110E2">
        <w:t>Boni</w:t>
      </w:r>
      <w:r w:rsidRPr="00A942E9">
        <w:t>face</w:t>
      </w:r>
      <w:r w:rsidRPr="00474740">
        <w:t xml:space="preserve"> Nalija Luhende, </w:t>
      </w:r>
      <w:r w:rsidR="00F105D1" w:rsidRPr="00474740">
        <w:t>Solicitor General, Office of the Solicitor General</w:t>
      </w:r>
    </w:p>
    <w:p w14:paraId="1BCBBCAF" w14:textId="77777777" w:rsidR="00F105D1" w:rsidRPr="00474740" w:rsidRDefault="00F105D1" w:rsidP="006C1B0F">
      <w:pPr>
        <w:rPr>
          <w:rFonts w:eastAsia="Calibri"/>
        </w:rPr>
      </w:pPr>
    </w:p>
    <w:p w14:paraId="721254D9" w14:textId="77777777" w:rsidR="00F105D1" w:rsidRPr="00474740" w:rsidRDefault="00F105D1" w:rsidP="006C1B0F">
      <w:r w:rsidRPr="00474740">
        <w:t>after deliberation,</w:t>
      </w:r>
    </w:p>
    <w:p w14:paraId="5C386F2B" w14:textId="77777777" w:rsidR="00996BF3" w:rsidRPr="00474740" w:rsidRDefault="00996BF3" w:rsidP="006C1B0F">
      <w:pPr>
        <w:rPr>
          <w:b/>
        </w:rPr>
      </w:pPr>
    </w:p>
    <w:p w14:paraId="7FE00D74" w14:textId="01D77143" w:rsidR="00996BF3" w:rsidRPr="00474740" w:rsidRDefault="00996BF3" w:rsidP="006C1B0F">
      <w:r w:rsidRPr="00474740">
        <w:rPr>
          <w:i/>
        </w:rPr>
        <w:t xml:space="preserve">renders the following </w:t>
      </w:r>
      <w:r w:rsidR="00A47E91" w:rsidRPr="00474740">
        <w:rPr>
          <w:i/>
        </w:rPr>
        <w:t>Ruling</w:t>
      </w:r>
      <w:r w:rsidRPr="00474740">
        <w:t>:</w:t>
      </w:r>
    </w:p>
    <w:p w14:paraId="3AD873A8" w14:textId="77777777" w:rsidR="00F105D1" w:rsidRPr="00474740" w:rsidRDefault="00F105D1" w:rsidP="006C1B0F">
      <w:pPr>
        <w:rPr>
          <w:rFonts w:eastAsiaTheme="majorEastAsia"/>
          <w:b/>
          <w:bCs/>
          <w:lang w:val="en-US"/>
        </w:rPr>
      </w:pPr>
      <w:r w:rsidRPr="00474740">
        <w:br w:type="page"/>
      </w:r>
    </w:p>
    <w:p w14:paraId="150C2F0B" w14:textId="511557DC" w:rsidR="00996BF3" w:rsidRPr="00474740" w:rsidRDefault="00996BF3" w:rsidP="006C1B0F">
      <w:bookmarkStart w:id="1" w:name="_Toc120713961"/>
      <w:r w:rsidRPr="00474740">
        <w:lastRenderedPageBreak/>
        <w:t>THE PARTIES</w:t>
      </w:r>
      <w:bookmarkEnd w:id="1"/>
      <w:r w:rsidRPr="00474740">
        <w:t xml:space="preserve"> </w:t>
      </w:r>
    </w:p>
    <w:p w14:paraId="0F7576AA" w14:textId="77777777" w:rsidR="00996BF3" w:rsidRPr="00474740" w:rsidRDefault="00996BF3" w:rsidP="006C1B0F">
      <w:pPr>
        <w:rPr>
          <w:lang w:val="en-US"/>
        </w:rPr>
      </w:pPr>
    </w:p>
    <w:p w14:paraId="4070D8BC" w14:textId="254E825F" w:rsidR="00F105D1" w:rsidRPr="00474740" w:rsidRDefault="00F105D1" w:rsidP="006C1B0F">
      <w:r w:rsidRPr="00474740">
        <w:rPr>
          <w:bCs/>
        </w:rPr>
        <w:t>The Applicants are Tike Mwambipile</w:t>
      </w:r>
      <w:r w:rsidRPr="00474740">
        <w:t xml:space="preserve">, a </w:t>
      </w:r>
      <w:r w:rsidR="009702C3" w:rsidRPr="00474740">
        <w:t xml:space="preserve">female </w:t>
      </w:r>
      <w:r w:rsidRPr="00474740">
        <w:t>national of the United Republic of Tanzania and Equality Now, a Non-Governmental Organisation</w:t>
      </w:r>
      <w:r w:rsidR="004439D2" w:rsidRPr="00474740">
        <w:t xml:space="preserve"> (NGO)</w:t>
      </w:r>
      <w:r w:rsidRPr="00474740">
        <w:t xml:space="preserve"> with Observer Status before the</w:t>
      </w:r>
      <w:r w:rsidRPr="00474740">
        <w:rPr>
          <w:b/>
          <w:bCs/>
        </w:rPr>
        <w:t xml:space="preserve"> </w:t>
      </w:r>
      <w:r w:rsidRPr="00474740">
        <w:t>African Commission on Human and Peoples</w:t>
      </w:r>
      <w:r w:rsidR="00AE7C00" w:rsidRPr="00474740">
        <w:t>’</w:t>
      </w:r>
      <w:r w:rsidRPr="00474740">
        <w:t xml:space="preserve"> Rights</w:t>
      </w:r>
      <w:r w:rsidR="00750A36" w:rsidRPr="00474740">
        <w:t xml:space="preserve"> (hereinafter referred to as “the African Commission”)</w:t>
      </w:r>
      <w:r w:rsidRPr="00474740">
        <w:t>. They challenge the Respondent State</w:t>
      </w:r>
      <w:r w:rsidR="00AE7C00" w:rsidRPr="00474740">
        <w:t>’</w:t>
      </w:r>
      <w:r w:rsidRPr="00474740">
        <w:t>s policies that exclude pregnant and parenting girls from public schools.</w:t>
      </w:r>
    </w:p>
    <w:p w14:paraId="0ACB4E03" w14:textId="77777777" w:rsidR="00996BF3" w:rsidRPr="00474740" w:rsidRDefault="00996BF3" w:rsidP="006C1B0F">
      <w:pPr>
        <w:rPr>
          <w:lang w:val="en-US"/>
        </w:rPr>
      </w:pPr>
    </w:p>
    <w:p w14:paraId="2082DC71" w14:textId="1506D6E9" w:rsidR="002F75C8" w:rsidRPr="00474740" w:rsidRDefault="002F75C8" w:rsidP="006C1B0F">
      <w:r w:rsidRPr="00474740">
        <w:t xml:space="preserve">The Application is filed against the </w:t>
      </w:r>
      <w:r w:rsidRPr="00474740">
        <w:rPr>
          <w:bCs/>
        </w:rPr>
        <w:t>United Republic of Tanzania</w:t>
      </w:r>
      <w:r w:rsidRPr="00474740">
        <w:t xml:space="preserve"> (</w:t>
      </w:r>
      <w:r w:rsidR="00750A36" w:rsidRPr="00474740">
        <w:t>hereinafter referred to as</w:t>
      </w:r>
      <w:r w:rsidRPr="00474740">
        <w:t xml:space="preserve"> “the Respondent State”), which became a Party to the African Charter on Human and Peoples</w:t>
      </w:r>
      <w:r w:rsidR="00AE7C00" w:rsidRPr="00474740">
        <w:t>’</w:t>
      </w:r>
      <w:r w:rsidRPr="00474740">
        <w:t xml:space="preserve"> Rights (</w:t>
      </w:r>
      <w:r w:rsidR="00750A36" w:rsidRPr="00474740">
        <w:t>hereinafter referred to as</w:t>
      </w:r>
      <w:r w:rsidRPr="00474740">
        <w:t xml:space="preserve"> “the Charter”) on 21 October 1986 and to the Protocol on 10 February 2006. Furthermore, the Respondent State, on 29 March 2010, deposited the Declaration provided for under Article 34(6) of the Protocol (</w:t>
      </w:r>
      <w:r w:rsidR="00750A36" w:rsidRPr="00474740">
        <w:t>hereinafter referred to as</w:t>
      </w:r>
      <w:r w:rsidRPr="00474740">
        <w:t xml:space="preserve"> “the Declaration”), by virtue of which it accepted the jurisdiction of the Court to receive applications from individuals and Non-Governmental Organisations. </w:t>
      </w:r>
      <w:r w:rsidRPr="00474740">
        <w:rPr>
          <w:bCs/>
        </w:rPr>
        <w:t xml:space="preserve">On 21 November 2019, the Respondent State deposited with the Chairperson of the African Union Commission an instrument withdrawing its Declaration. The Court has held that this withdrawal has no bearing on pending cases and new cases filed before the withdrawal came into effect, that is, one </w:t>
      </w:r>
      <w:r w:rsidR="00474740">
        <w:rPr>
          <w:bCs/>
        </w:rPr>
        <w:t xml:space="preserve">(1) </w:t>
      </w:r>
      <w:r w:rsidRPr="00474740">
        <w:rPr>
          <w:bCs/>
        </w:rPr>
        <w:t>year after its deposit, which is on 22 November 2020.</w:t>
      </w:r>
      <w:r w:rsidRPr="00474740">
        <w:rPr>
          <w:bCs/>
          <w:vertAlign w:val="superscript"/>
        </w:rPr>
        <w:footnoteReference w:id="1"/>
      </w:r>
    </w:p>
    <w:p w14:paraId="5364A29E" w14:textId="4B28CF7E" w:rsidR="007B752B" w:rsidRPr="00474740" w:rsidRDefault="007B752B" w:rsidP="006C1B0F"/>
    <w:p w14:paraId="77ACEB03" w14:textId="77777777" w:rsidR="00DF4B42" w:rsidRPr="00474740" w:rsidRDefault="00DF4B42" w:rsidP="006C1B0F"/>
    <w:p w14:paraId="40500512" w14:textId="77777777" w:rsidR="00996BF3" w:rsidRPr="00474740" w:rsidRDefault="00996BF3" w:rsidP="006C1B0F">
      <w:bookmarkStart w:id="2" w:name="_Toc120713962"/>
      <w:bookmarkStart w:id="3" w:name="_Toc39148228"/>
      <w:r w:rsidRPr="00474740">
        <w:t>SUBJECT OF THE APPLICATION</w:t>
      </w:r>
      <w:bookmarkEnd w:id="2"/>
      <w:r w:rsidRPr="00474740">
        <w:t xml:space="preserve"> </w:t>
      </w:r>
    </w:p>
    <w:p w14:paraId="58DF47DF" w14:textId="77777777" w:rsidR="00996BF3" w:rsidRPr="00474740" w:rsidRDefault="00996BF3" w:rsidP="006C1B0F">
      <w:pPr>
        <w:rPr>
          <w:lang w:val="en-US"/>
        </w:rPr>
      </w:pPr>
    </w:p>
    <w:p w14:paraId="08D52908" w14:textId="77777777" w:rsidR="00996BF3" w:rsidRPr="00474740" w:rsidRDefault="00996BF3" w:rsidP="006C1B0F">
      <w:bookmarkStart w:id="4" w:name="_Toc120713963"/>
      <w:r w:rsidRPr="00474740">
        <w:t>Facts of the matter</w:t>
      </w:r>
      <w:bookmarkEnd w:id="4"/>
    </w:p>
    <w:p w14:paraId="7493C469" w14:textId="77777777" w:rsidR="00996BF3" w:rsidRPr="00474740" w:rsidRDefault="00996BF3" w:rsidP="006C1B0F"/>
    <w:p w14:paraId="35828DD2" w14:textId="339DF5D8" w:rsidR="00996BF3" w:rsidRPr="00474740" w:rsidRDefault="00A01763" w:rsidP="006C1B0F">
      <w:r w:rsidRPr="00474740">
        <w:t>The Application concerns an alleged ban by the Respondent State of pregnant girls from attending public primary and secondary schools and preventing them from re-accessing the schools even after delivery</w:t>
      </w:r>
      <w:r w:rsidR="00AF5ED5" w:rsidRPr="00474740">
        <w:t>. The Applicants allege that the ban</w:t>
      </w:r>
      <w:r w:rsidRPr="00474740">
        <w:t xml:space="preserve"> violates the rights to education and non-discrimination.</w:t>
      </w:r>
    </w:p>
    <w:p w14:paraId="17ABB157" w14:textId="77777777" w:rsidR="00750A36" w:rsidRPr="00474740" w:rsidRDefault="00750A36" w:rsidP="006C1B0F"/>
    <w:p w14:paraId="6C878B80" w14:textId="77777777" w:rsidR="00996BF3" w:rsidRPr="00474740" w:rsidRDefault="00996BF3" w:rsidP="006C1B0F">
      <w:bookmarkStart w:id="5" w:name="_Toc120713964"/>
      <w:r w:rsidRPr="00474740">
        <w:t>Alleged violations</w:t>
      </w:r>
      <w:bookmarkEnd w:id="5"/>
    </w:p>
    <w:p w14:paraId="26FFA204" w14:textId="77777777" w:rsidR="00996BF3" w:rsidRPr="00474740" w:rsidRDefault="00996BF3" w:rsidP="006C1B0F"/>
    <w:bookmarkEnd w:id="3"/>
    <w:p w14:paraId="37F73850" w14:textId="7039EF67" w:rsidR="00996BF3" w:rsidRPr="00474740" w:rsidRDefault="00996BF3" w:rsidP="006C1B0F">
      <w:r w:rsidRPr="00474740">
        <w:t>The Applicant</w:t>
      </w:r>
      <w:r w:rsidR="00377B3A" w:rsidRPr="00474740">
        <w:t>s</w:t>
      </w:r>
      <w:r w:rsidRPr="00474740">
        <w:t xml:space="preserve"> allege that the Respondent State violated </w:t>
      </w:r>
      <w:r w:rsidR="00377B3A" w:rsidRPr="00474740">
        <w:t xml:space="preserve">the </w:t>
      </w:r>
      <w:r w:rsidRPr="00474740">
        <w:t>rights</w:t>
      </w:r>
      <w:r w:rsidR="00377B3A" w:rsidRPr="00474740">
        <w:t xml:space="preserve"> of all girls in th</w:t>
      </w:r>
      <w:r w:rsidR="003E05EB" w:rsidRPr="00474740">
        <w:t>e Respondent State</w:t>
      </w:r>
      <w:r w:rsidRPr="00474740">
        <w:t>, notably:</w:t>
      </w:r>
    </w:p>
    <w:p w14:paraId="22382C22" w14:textId="77777777" w:rsidR="00996BF3" w:rsidRPr="00474740" w:rsidRDefault="00996BF3" w:rsidP="006C1B0F"/>
    <w:p w14:paraId="3A6863AD" w14:textId="2C969AEE" w:rsidR="00A01763" w:rsidRPr="00474740" w:rsidRDefault="00A01763" w:rsidP="006C1B0F">
      <w:pPr>
        <w:rPr>
          <w:bCs/>
          <w:sz w:val="22"/>
          <w:szCs w:val="22"/>
        </w:rPr>
      </w:pPr>
      <w:r w:rsidRPr="00474740">
        <w:rPr>
          <w:sz w:val="22"/>
          <w:szCs w:val="22"/>
        </w:rPr>
        <w:t xml:space="preserve">The </w:t>
      </w:r>
      <w:r w:rsidR="00892881" w:rsidRPr="00474740">
        <w:rPr>
          <w:bCs/>
          <w:sz w:val="22"/>
          <w:szCs w:val="22"/>
        </w:rPr>
        <w:t xml:space="preserve">right </w:t>
      </w:r>
      <w:r w:rsidRPr="00474740">
        <w:rPr>
          <w:bCs/>
          <w:sz w:val="22"/>
          <w:szCs w:val="22"/>
        </w:rPr>
        <w:t>to education protected by:</w:t>
      </w:r>
    </w:p>
    <w:p w14:paraId="28C26285" w14:textId="77777777" w:rsidR="00DF0876" w:rsidRPr="00474740" w:rsidRDefault="00DF0876" w:rsidP="006C1B0F">
      <w:pPr>
        <w:rPr>
          <w:bCs/>
          <w:sz w:val="22"/>
          <w:szCs w:val="22"/>
        </w:rPr>
      </w:pPr>
    </w:p>
    <w:p w14:paraId="51C4BF1C" w14:textId="2B39243A" w:rsidR="00A01763" w:rsidRPr="00474740" w:rsidRDefault="00A01763" w:rsidP="006C1B0F">
      <w:pPr>
        <w:rPr>
          <w:bCs/>
          <w:sz w:val="22"/>
          <w:szCs w:val="22"/>
        </w:rPr>
      </w:pPr>
      <w:r w:rsidRPr="00474740">
        <w:rPr>
          <w:bCs/>
          <w:sz w:val="22"/>
          <w:szCs w:val="22"/>
        </w:rPr>
        <w:t xml:space="preserve">Articles 1 and 17(1) of the Charter; </w:t>
      </w:r>
    </w:p>
    <w:p w14:paraId="03E47828" w14:textId="49E9D9B5" w:rsidR="00A01763" w:rsidRPr="00474740" w:rsidRDefault="00A01763" w:rsidP="006C1B0F">
      <w:pPr>
        <w:rPr>
          <w:bCs/>
          <w:sz w:val="22"/>
          <w:szCs w:val="22"/>
        </w:rPr>
      </w:pPr>
      <w:r w:rsidRPr="00474740">
        <w:rPr>
          <w:bCs/>
          <w:sz w:val="22"/>
          <w:szCs w:val="22"/>
        </w:rPr>
        <w:t>Article 11 of the African Charter on the Rights and Welfare of the Child (hereinafter referred to as “the African Children</w:t>
      </w:r>
      <w:r w:rsidR="00AE7C00" w:rsidRPr="00474740">
        <w:rPr>
          <w:bCs/>
          <w:sz w:val="22"/>
          <w:szCs w:val="22"/>
        </w:rPr>
        <w:t>’</w:t>
      </w:r>
      <w:r w:rsidRPr="00474740">
        <w:rPr>
          <w:bCs/>
          <w:sz w:val="22"/>
          <w:szCs w:val="22"/>
        </w:rPr>
        <w:t>s Charter”);</w:t>
      </w:r>
    </w:p>
    <w:p w14:paraId="6EE247FB" w14:textId="7E43F9CF" w:rsidR="00A01763" w:rsidRPr="00474740" w:rsidRDefault="00A01763" w:rsidP="006C1B0F">
      <w:pPr>
        <w:rPr>
          <w:bCs/>
          <w:sz w:val="22"/>
          <w:szCs w:val="22"/>
        </w:rPr>
      </w:pPr>
      <w:r w:rsidRPr="00474740">
        <w:rPr>
          <w:bCs/>
          <w:sz w:val="22"/>
          <w:szCs w:val="22"/>
        </w:rPr>
        <w:t>Article 12 of the Protocol to the African Charter on Human and Peoples</w:t>
      </w:r>
      <w:r w:rsidR="00AE7C00" w:rsidRPr="00474740">
        <w:rPr>
          <w:bCs/>
          <w:sz w:val="22"/>
          <w:szCs w:val="22"/>
        </w:rPr>
        <w:t>’</w:t>
      </w:r>
      <w:r w:rsidRPr="00474740">
        <w:rPr>
          <w:bCs/>
          <w:sz w:val="22"/>
          <w:szCs w:val="22"/>
        </w:rPr>
        <w:t xml:space="preserve"> Rights on the Rights of Women in Africa (hereinafter referred to as “the Maputo Protocol”);</w:t>
      </w:r>
    </w:p>
    <w:p w14:paraId="79F063E3" w14:textId="77777777" w:rsidR="00A01763" w:rsidRPr="00474740" w:rsidRDefault="00A01763" w:rsidP="006C1B0F">
      <w:pPr>
        <w:rPr>
          <w:bCs/>
          <w:sz w:val="22"/>
          <w:szCs w:val="22"/>
        </w:rPr>
      </w:pPr>
      <w:r w:rsidRPr="00474740">
        <w:rPr>
          <w:bCs/>
          <w:sz w:val="22"/>
          <w:szCs w:val="22"/>
        </w:rPr>
        <w:t>Articles 13 and 23 of the African Youth Charter;</w:t>
      </w:r>
    </w:p>
    <w:p w14:paraId="1634F779" w14:textId="77777777" w:rsidR="00A01763" w:rsidRPr="00474740" w:rsidRDefault="00A01763" w:rsidP="006C1B0F">
      <w:pPr>
        <w:rPr>
          <w:bCs/>
          <w:sz w:val="22"/>
          <w:szCs w:val="22"/>
        </w:rPr>
      </w:pPr>
      <w:r w:rsidRPr="00474740">
        <w:rPr>
          <w:bCs/>
          <w:sz w:val="22"/>
          <w:szCs w:val="22"/>
        </w:rPr>
        <w:t>Article 10 of the Convention on the Elimination of All Forms of Discrimination against Women (hereinafter referred to as “CEDAW”);</w:t>
      </w:r>
    </w:p>
    <w:p w14:paraId="0906A81D" w14:textId="77777777" w:rsidR="00A01763" w:rsidRPr="00474740" w:rsidRDefault="00A01763" w:rsidP="006C1B0F">
      <w:pPr>
        <w:rPr>
          <w:sz w:val="22"/>
          <w:szCs w:val="22"/>
        </w:rPr>
      </w:pPr>
      <w:r w:rsidRPr="00474740">
        <w:rPr>
          <w:sz w:val="22"/>
          <w:szCs w:val="22"/>
        </w:rPr>
        <w:t>Articles 28 and 29 of the Convention on the Rights of the Child (hereinafter referred to as “the CRC”);</w:t>
      </w:r>
    </w:p>
    <w:p w14:paraId="5F6C1B21" w14:textId="77777777" w:rsidR="00A01763" w:rsidRPr="00474740" w:rsidRDefault="00A01763" w:rsidP="006C1B0F">
      <w:pPr>
        <w:rPr>
          <w:sz w:val="22"/>
          <w:szCs w:val="22"/>
        </w:rPr>
      </w:pPr>
      <w:r w:rsidRPr="00474740">
        <w:rPr>
          <w:sz w:val="22"/>
          <w:szCs w:val="22"/>
        </w:rPr>
        <w:lastRenderedPageBreak/>
        <w:t>Article 13 of the International Covenant on Economic, Social and Cultural Rights (hereinafter referred to as “ICESCR”);</w:t>
      </w:r>
    </w:p>
    <w:p w14:paraId="51599C7A" w14:textId="77777777" w:rsidR="00A01763" w:rsidRPr="00474740" w:rsidRDefault="00A01763" w:rsidP="006C1B0F">
      <w:pPr>
        <w:rPr>
          <w:sz w:val="22"/>
          <w:szCs w:val="22"/>
        </w:rPr>
      </w:pPr>
      <w:r w:rsidRPr="00474740">
        <w:rPr>
          <w:sz w:val="22"/>
          <w:szCs w:val="22"/>
        </w:rPr>
        <w:t>Article 18(4) of the International Covenant on Civil and Political Rights (hereinafter referred to as “ICCPR”);</w:t>
      </w:r>
    </w:p>
    <w:p w14:paraId="75D4C5D7" w14:textId="77777777" w:rsidR="00A01763" w:rsidRPr="00474740" w:rsidRDefault="00A01763" w:rsidP="006C1B0F">
      <w:pPr>
        <w:rPr>
          <w:sz w:val="22"/>
          <w:szCs w:val="22"/>
        </w:rPr>
      </w:pPr>
      <w:r w:rsidRPr="00474740">
        <w:rPr>
          <w:sz w:val="22"/>
          <w:szCs w:val="22"/>
        </w:rPr>
        <w:t>Articles 1, 3 and 4 of the United Nations Educational, Scientific and Cultural Organization Convention against Discrimination in Education (hereinafter referred to as “the Convention against Discrimination in Education”); and</w:t>
      </w:r>
    </w:p>
    <w:p w14:paraId="7EB6BAEB" w14:textId="77777777" w:rsidR="00A01763" w:rsidRPr="00474740" w:rsidRDefault="00A01763" w:rsidP="006C1B0F">
      <w:pPr>
        <w:rPr>
          <w:bCs/>
          <w:sz w:val="22"/>
          <w:szCs w:val="22"/>
        </w:rPr>
      </w:pPr>
      <w:r w:rsidRPr="00474740">
        <w:rPr>
          <w:bCs/>
          <w:sz w:val="22"/>
          <w:szCs w:val="22"/>
        </w:rPr>
        <w:t>Article 26 of the Universal Declaration of Human Rights.</w:t>
      </w:r>
    </w:p>
    <w:p w14:paraId="087352E4" w14:textId="77777777" w:rsidR="00A01763" w:rsidRPr="00474740" w:rsidRDefault="00A01763" w:rsidP="006C1B0F">
      <w:pPr>
        <w:rPr>
          <w:bCs/>
          <w:sz w:val="22"/>
          <w:szCs w:val="22"/>
        </w:rPr>
      </w:pPr>
    </w:p>
    <w:p w14:paraId="432DC647" w14:textId="77AF9302" w:rsidR="00A01763" w:rsidRPr="00474740" w:rsidRDefault="00A01763" w:rsidP="006C1B0F">
      <w:pPr>
        <w:rPr>
          <w:bCs/>
          <w:sz w:val="22"/>
          <w:szCs w:val="22"/>
        </w:rPr>
      </w:pPr>
      <w:r w:rsidRPr="00474740">
        <w:rPr>
          <w:bCs/>
          <w:sz w:val="22"/>
          <w:szCs w:val="22"/>
        </w:rPr>
        <w:t xml:space="preserve">The </w:t>
      </w:r>
      <w:r w:rsidR="00892881" w:rsidRPr="00474740">
        <w:rPr>
          <w:bCs/>
          <w:sz w:val="22"/>
          <w:szCs w:val="22"/>
        </w:rPr>
        <w:t xml:space="preserve">right </w:t>
      </w:r>
      <w:r w:rsidRPr="00474740">
        <w:rPr>
          <w:bCs/>
          <w:sz w:val="22"/>
          <w:szCs w:val="22"/>
        </w:rPr>
        <w:t xml:space="preserve">to </w:t>
      </w:r>
      <w:r w:rsidR="00892881" w:rsidRPr="00474740">
        <w:rPr>
          <w:bCs/>
          <w:sz w:val="22"/>
          <w:szCs w:val="22"/>
        </w:rPr>
        <w:t>non</w:t>
      </w:r>
      <w:r w:rsidRPr="00474740">
        <w:rPr>
          <w:bCs/>
          <w:sz w:val="22"/>
          <w:szCs w:val="22"/>
        </w:rPr>
        <w:t>-discrimination protected by:</w:t>
      </w:r>
    </w:p>
    <w:p w14:paraId="25A7B7C1" w14:textId="77777777" w:rsidR="00DF0876" w:rsidRPr="00474740" w:rsidRDefault="00DF0876" w:rsidP="006C1B0F">
      <w:pPr>
        <w:rPr>
          <w:bCs/>
          <w:sz w:val="22"/>
          <w:szCs w:val="22"/>
        </w:rPr>
      </w:pPr>
    </w:p>
    <w:p w14:paraId="4E1C63D7" w14:textId="77777777" w:rsidR="00A01763" w:rsidRPr="00474740" w:rsidRDefault="00A01763" w:rsidP="006C1B0F">
      <w:pPr>
        <w:rPr>
          <w:bCs/>
          <w:sz w:val="22"/>
          <w:szCs w:val="22"/>
        </w:rPr>
      </w:pPr>
      <w:r w:rsidRPr="00474740">
        <w:rPr>
          <w:bCs/>
          <w:sz w:val="22"/>
          <w:szCs w:val="22"/>
        </w:rPr>
        <w:t>Articles 1, 2, 17(1) and 18(3) of the Charter;</w:t>
      </w:r>
    </w:p>
    <w:p w14:paraId="322F04F9" w14:textId="190C159F" w:rsidR="00A01763" w:rsidRPr="00474740" w:rsidRDefault="00A01763" w:rsidP="006C1B0F">
      <w:pPr>
        <w:rPr>
          <w:bCs/>
          <w:sz w:val="22"/>
          <w:szCs w:val="22"/>
        </w:rPr>
      </w:pPr>
      <w:r w:rsidRPr="00474740">
        <w:rPr>
          <w:bCs/>
          <w:sz w:val="22"/>
          <w:szCs w:val="22"/>
        </w:rPr>
        <w:t>Articles 1, 3, 4, 11 and 24 of the African Children</w:t>
      </w:r>
      <w:r w:rsidR="00AE7C00" w:rsidRPr="00474740">
        <w:rPr>
          <w:bCs/>
          <w:sz w:val="22"/>
          <w:szCs w:val="22"/>
        </w:rPr>
        <w:t>’</w:t>
      </w:r>
      <w:r w:rsidRPr="00474740">
        <w:rPr>
          <w:bCs/>
          <w:sz w:val="22"/>
          <w:szCs w:val="22"/>
        </w:rPr>
        <w:t>s Charter;</w:t>
      </w:r>
    </w:p>
    <w:p w14:paraId="50DEA471" w14:textId="77777777" w:rsidR="00A01763" w:rsidRPr="00474740" w:rsidRDefault="00A01763" w:rsidP="006C1B0F">
      <w:pPr>
        <w:rPr>
          <w:bCs/>
          <w:sz w:val="22"/>
          <w:szCs w:val="22"/>
        </w:rPr>
      </w:pPr>
      <w:r w:rsidRPr="00474740">
        <w:rPr>
          <w:bCs/>
          <w:sz w:val="22"/>
          <w:szCs w:val="22"/>
        </w:rPr>
        <w:t>Articles 2 and 12 of the Maputo Protocol; and</w:t>
      </w:r>
    </w:p>
    <w:p w14:paraId="085750AE" w14:textId="7830D34E" w:rsidR="00A01763" w:rsidRPr="00474740" w:rsidRDefault="00A01763" w:rsidP="006C1B0F">
      <w:pPr>
        <w:rPr>
          <w:bCs/>
          <w:sz w:val="22"/>
          <w:szCs w:val="22"/>
        </w:rPr>
      </w:pPr>
      <w:r w:rsidRPr="00474740">
        <w:rPr>
          <w:bCs/>
          <w:sz w:val="22"/>
          <w:szCs w:val="22"/>
        </w:rPr>
        <w:t>Articles 1, 2, 3 and 4 of the Convention against Discrimination in Education.</w:t>
      </w:r>
    </w:p>
    <w:p w14:paraId="042754D8" w14:textId="787AB034" w:rsidR="00750A36" w:rsidRPr="00474740" w:rsidRDefault="00750A36" w:rsidP="006C1B0F">
      <w:pPr>
        <w:rPr>
          <w:bCs/>
          <w:sz w:val="22"/>
          <w:szCs w:val="22"/>
        </w:rPr>
      </w:pPr>
    </w:p>
    <w:p w14:paraId="15C6BFE4" w14:textId="77777777" w:rsidR="00F32C9F" w:rsidRPr="00474740" w:rsidRDefault="00F32C9F" w:rsidP="006C1B0F">
      <w:pPr>
        <w:rPr>
          <w:bCs/>
          <w:sz w:val="22"/>
          <w:szCs w:val="22"/>
        </w:rPr>
      </w:pPr>
    </w:p>
    <w:p w14:paraId="516E8717" w14:textId="77777777" w:rsidR="00996BF3" w:rsidRPr="00474740" w:rsidRDefault="00996BF3" w:rsidP="006C1B0F">
      <w:bookmarkStart w:id="6" w:name="_Toc120713965"/>
      <w:r w:rsidRPr="00474740">
        <w:t>SUMMARY OF THE PROCEDURE BEFORE THE COURT</w:t>
      </w:r>
      <w:bookmarkEnd w:id="6"/>
    </w:p>
    <w:p w14:paraId="18415134" w14:textId="77777777" w:rsidR="00996BF3" w:rsidRPr="00474740" w:rsidRDefault="00996BF3" w:rsidP="006C1B0F"/>
    <w:p w14:paraId="71C990E8" w14:textId="734F7A2C" w:rsidR="00013403" w:rsidRPr="00474740" w:rsidRDefault="00541221" w:rsidP="006C1B0F">
      <w:r w:rsidRPr="00474740">
        <w:t>The Application was filed on 19 November 2020 together with a request for provisional measures.</w:t>
      </w:r>
    </w:p>
    <w:p w14:paraId="58BFBA4E" w14:textId="77777777" w:rsidR="004714CB" w:rsidRPr="00474740" w:rsidRDefault="004714CB" w:rsidP="006C1B0F"/>
    <w:p w14:paraId="1E14C019" w14:textId="4B0ED056" w:rsidR="00040AB6" w:rsidRPr="00474740" w:rsidRDefault="00040AB6" w:rsidP="006C1B0F">
      <w:r w:rsidRPr="00474740">
        <w:t xml:space="preserve">On 22 December 2020, the main Application together with the request for provisional measures and additional evidentiary documents were served on the Respondent State. </w:t>
      </w:r>
    </w:p>
    <w:p w14:paraId="1A7F3EA9" w14:textId="77777777" w:rsidR="0024774B" w:rsidRPr="00474740" w:rsidRDefault="0024774B" w:rsidP="006C1B0F"/>
    <w:p w14:paraId="3A76951B" w14:textId="1E8BD698" w:rsidR="008D137B" w:rsidRPr="00474740" w:rsidRDefault="008D137B" w:rsidP="006C1B0F">
      <w:r w:rsidRPr="00474740">
        <w:t xml:space="preserve">On 23 April 2021, the Registry wrote to the African Committee of Experts on the Rights and Welfare of the Child (hereinafter referred to as </w:t>
      </w:r>
      <w:r w:rsidR="00E033B1" w:rsidRPr="00474740">
        <w:t>“</w:t>
      </w:r>
      <w:r w:rsidRPr="00474740">
        <w:t xml:space="preserve">the ACERWC”) and to the African Commission to seek </w:t>
      </w:r>
      <w:r w:rsidRPr="00F110E2">
        <w:t>confirmation</w:t>
      </w:r>
      <w:r w:rsidRPr="00474740">
        <w:t xml:space="preserve"> whether the subject matter of this Application is related to a matter being examined by them. It also requested whether the ACERWC or the Commission, or through any of their Special Mechanisms</w:t>
      </w:r>
      <w:r w:rsidR="004714CB" w:rsidRPr="00474740">
        <w:t>,</w:t>
      </w:r>
      <w:r w:rsidRPr="00474740">
        <w:t xml:space="preserve"> would be interested to act as </w:t>
      </w:r>
      <w:r w:rsidR="00F110E2">
        <w:rPr>
          <w:i/>
        </w:rPr>
        <w:t>a</w:t>
      </w:r>
      <w:r w:rsidRPr="00820D21">
        <w:rPr>
          <w:i/>
        </w:rPr>
        <w:t xml:space="preserve">micus </w:t>
      </w:r>
      <w:r w:rsidR="00F110E2">
        <w:rPr>
          <w:i/>
        </w:rPr>
        <w:t>c</w:t>
      </w:r>
      <w:r w:rsidRPr="00820D21">
        <w:rPr>
          <w:i/>
        </w:rPr>
        <w:t>uriae</w:t>
      </w:r>
      <w:r w:rsidRPr="00474740">
        <w:t xml:space="preserve"> in the case.</w:t>
      </w:r>
    </w:p>
    <w:p w14:paraId="305C5078" w14:textId="77777777" w:rsidR="008D137B" w:rsidRPr="00474740" w:rsidRDefault="008D137B" w:rsidP="006C1B0F"/>
    <w:p w14:paraId="777E9E2F" w14:textId="5DEAD450" w:rsidR="00E83420" w:rsidRPr="00474740" w:rsidRDefault="003E05EB" w:rsidP="006C1B0F">
      <w:r w:rsidRPr="00474740">
        <w:t xml:space="preserve">On 29 July 2021, the ACERWC </w:t>
      </w:r>
      <w:r w:rsidR="00AD42C2" w:rsidRPr="00474740">
        <w:t xml:space="preserve">informed the Court that it </w:t>
      </w:r>
      <w:r w:rsidR="00AF5ED5" w:rsidRPr="00474740">
        <w:t xml:space="preserve">had </w:t>
      </w:r>
      <w:r w:rsidR="00AD42C2" w:rsidRPr="00474740">
        <w:t>received a similar communication as the present Application</w:t>
      </w:r>
      <w:r w:rsidR="00040AB6" w:rsidRPr="00474740">
        <w:t xml:space="preserve"> which was pending determination</w:t>
      </w:r>
      <w:r w:rsidR="00AD42C2" w:rsidRPr="00474740">
        <w:t>.</w:t>
      </w:r>
      <w:r w:rsidR="008D137B" w:rsidRPr="00474740">
        <w:t xml:space="preserve"> The ACERWC further informed the Court that it ha</w:t>
      </w:r>
      <w:r w:rsidR="00892FB7" w:rsidRPr="00474740">
        <w:t>d</w:t>
      </w:r>
      <w:r w:rsidR="008D137B" w:rsidRPr="00474740">
        <w:t xml:space="preserve"> already declared the Communication submitted to it admissible and ha</w:t>
      </w:r>
      <w:r w:rsidR="00892FB7" w:rsidRPr="00474740">
        <w:t>d</w:t>
      </w:r>
      <w:r w:rsidR="008D137B" w:rsidRPr="00474740">
        <w:t xml:space="preserve"> communicated to the Applicants and the Respondent State that it w</w:t>
      </w:r>
      <w:r w:rsidR="00892FB7" w:rsidRPr="00474740">
        <w:t>ould</w:t>
      </w:r>
      <w:r w:rsidR="008D137B" w:rsidRPr="00474740">
        <w:t xml:space="preserve"> hold </w:t>
      </w:r>
      <w:r w:rsidR="00E83420" w:rsidRPr="00474740">
        <w:t xml:space="preserve">a </w:t>
      </w:r>
      <w:r w:rsidR="008D137B" w:rsidRPr="00474740">
        <w:t xml:space="preserve">hearing of the case in its upcoming Session </w:t>
      </w:r>
      <w:r w:rsidR="00892FB7" w:rsidRPr="00474740">
        <w:t xml:space="preserve">to </w:t>
      </w:r>
      <w:r w:rsidR="008D137B" w:rsidRPr="00474740">
        <w:t>be held in November 2021. The hearing was scheduled during its previous 37</w:t>
      </w:r>
      <w:r w:rsidR="008D137B" w:rsidRPr="00474740">
        <w:rPr>
          <w:vertAlign w:val="superscript"/>
        </w:rPr>
        <w:t>th</w:t>
      </w:r>
      <w:r w:rsidR="00E83420" w:rsidRPr="00474740">
        <w:t xml:space="preserve"> </w:t>
      </w:r>
      <w:r w:rsidR="008D137B" w:rsidRPr="00474740">
        <w:t xml:space="preserve">Session, however, it was </w:t>
      </w:r>
      <w:r w:rsidR="004714CB" w:rsidRPr="00474740">
        <w:t>deferred</w:t>
      </w:r>
      <w:r w:rsidR="008D137B" w:rsidRPr="00474740">
        <w:t xml:space="preserve"> to the </w:t>
      </w:r>
      <w:r w:rsidR="00E83420" w:rsidRPr="00474740">
        <w:t>38</w:t>
      </w:r>
      <w:r w:rsidR="00E83420" w:rsidRPr="00474740">
        <w:rPr>
          <w:vertAlign w:val="superscript"/>
        </w:rPr>
        <w:t>th</w:t>
      </w:r>
      <w:r w:rsidR="008D137B" w:rsidRPr="00474740">
        <w:t xml:space="preserve"> </w:t>
      </w:r>
      <w:r w:rsidR="00B935BE" w:rsidRPr="00474740">
        <w:t>S</w:t>
      </w:r>
      <w:r w:rsidR="008D137B" w:rsidRPr="00474740">
        <w:t xml:space="preserve">ession due to the sudden passing of the late president of the </w:t>
      </w:r>
      <w:r w:rsidR="00FD294B" w:rsidRPr="00474740">
        <w:t>Respondent State</w:t>
      </w:r>
      <w:r w:rsidR="008D137B" w:rsidRPr="00474740">
        <w:t xml:space="preserve"> in the week of the hearing. The ACERWC also informed the Court that since it </w:t>
      </w:r>
      <w:r w:rsidR="00892FB7" w:rsidRPr="00474740">
        <w:t>was</w:t>
      </w:r>
      <w:r w:rsidR="008D137B" w:rsidRPr="00474740">
        <w:t xml:space="preserve"> already considering the matter under its jurisdiction</w:t>
      </w:r>
      <w:r w:rsidR="00B935BE" w:rsidRPr="00474740">
        <w:t xml:space="preserve">, </w:t>
      </w:r>
      <w:r w:rsidR="008D137B" w:rsidRPr="00474740">
        <w:t>it ha</w:t>
      </w:r>
      <w:r w:rsidR="00892FB7" w:rsidRPr="00474740">
        <w:t>d</w:t>
      </w:r>
      <w:r w:rsidR="008D137B" w:rsidRPr="00474740">
        <w:t xml:space="preserve"> decided that it w</w:t>
      </w:r>
      <w:r w:rsidR="00892FB7" w:rsidRPr="00474740">
        <w:t>ould</w:t>
      </w:r>
      <w:r w:rsidR="008D137B" w:rsidRPr="00474740">
        <w:t xml:space="preserve"> not be in the position to </w:t>
      </w:r>
      <w:r w:rsidR="009F5EAA">
        <w:t>act as</w:t>
      </w:r>
      <w:r w:rsidR="008D137B" w:rsidRPr="00474740">
        <w:t xml:space="preserve"> </w:t>
      </w:r>
      <w:r w:rsidR="00DF3005">
        <w:rPr>
          <w:i/>
          <w:iCs/>
        </w:rPr>
        <w:t>a</w:t>
      </w:r>
      <w:r w:rsidR="008D137B" w:rsidRPr="00474740">
        <w:rPr>
          <w:i/>
          <w:iCs/>
        </w:rPr>
        <w:t xml:space="preserve">micus </w:t>
      </w:r>
      <w:r w:rsidR="00DF3005">
        <w:rPr>
          <w:i/>
          <w:iCs/>
        </w:rPr>
        <w:t>c</w:t>
      </w:r>
      <w:r w:rsidR="008D137B" w:rsidRPr="00474740">
        <w:rPr>
          <w:i/>
          <w:iCs/>
        </w:rPr>
        <w:t>uriae</w:t>
      </w:r>
      <w:r w:rsidR="008D137B" w:rsidRPr="00474740">
        <w:t>.</w:t>
      </w:r>
    </w:p>
    <w:p w14:paraId="3FB8FED3" w14:textId="283C717A" w:rsidR="008D137B" w:rsidRPr="00474740" w:rsidRDefault="00E83420" w:rsidP="006C1B0F">
      <w:r w:rsidRPr="00474740">
        <w:t xml:space="preserve">The </w:t>
      </w:r>
      <w:r w:rsidR="00750A36" w:rsidRPr="00474740">
        <w:t xml:space="preserve">African </w:t>
      </w:r>
      <w:r w:rsidRPr="00474740">
        <w:t>Commission did not respond to the Court</w:t>
      </w:r>
      <w:r w:rsidR="00AE7C00" w:rsidRPr="00474740">
        <w:t>’</w:t>
      </w:r>
      <w:r w:rsidRPr="00474740">
        <w:t xml:space="preserve">s request. </w:t>
      </w:r>
    </w:p>
    <w:p w14:paraId="68B79BCF" w14:textId="77777777" w:rsidR="008D137B" w:rsidRPr="00474740" w:rsidRDefault="008D137B" w:rsidP="006C1B0F"/>
    <w:p w14:paraId="0F249860" w14:textId="61732BEA" w:rsidR="008D137B" w:rsidRPr="00474740" w:rsidRDefault="008D137B" w:rsidP="006C1B0F">
      <w:r w:rsidRPr="00474740">
        <w:t xml:space="preserve">On 24 September 2021, the Court wrote to the Registrar of the </w:t>
      </w:r>
      <w:r w:rsidR="004714CB" w:rsidRPr="00474740">
        <w:t xml:space="preserve">East African Court of Justice </w:t>
      </w:r>
      <w:r w:rsidRPr="00474740">
        <w:t xml:space="preserve">to </w:t>
      </w:r>
      <w:r w:rsidR="004714CB" w:rsidRPr="00474740">
        <w:t xml:space="preserve">seek confirmation whether the subject matter of this Application </w:t>
      </w:r>
      <w:r w:rsidR="00766CDD" w:rsidRPr="00474740">
        <w:t xml:space="preserve">was </w:t>
      </w:r>
      <w:r w:rsidR="004714CB" w:rsidRPr="00474740">
        <w:t>related to a matter being examined by the East African Court of Justice</w:t>
      </w:r>
      <w:r w:rsidR="00FD294B" w:rsidRPr="00474740">
        <w:t>.</w:t>
      </w:r>
    </w:p>
    <w:p w14:paraId="1190A5F2" w14:textId="77777777" w:rsidR="008D137B" w:rsidRPr="00474740" w:rsidRDefault="008D137B" w:rsidP="006C1B0F"/>
    <w:p w14:paraId="00E02861" w14:textId="03FADD0C" w:rsidR="003E05EB" w:rsidRPr="00474740" w:rsidRDefault="003E05EB" w:rsidP="006C1B0F">
      <w:r w:rsidRPr="00474740">
        <w:lastRenderedPageBreak/>
        <w:t xml:space="preserve">On 4 October 2021, the Registrar of the East African Court of Justice informed the Court that there </w:t>
      </w:r>
      <w:r w:rsidR="0052106A" w:rsidRPr="00474740">
        <w:t>was</w:t>
      </w:r>
      <w:r w:rsidRPr="00474740">
        <w:t xml:space="preserve"> a reference filed with the East African Court of Justice on the same subject matter as the present Application challenging the expulsion of pregnant girls backed by the Education (Expulsion and Exclusion of Pupils from Schools) Regulations</w:t>
      </w:r>
      <w:r w:rsidR="00040AB6" w:rsidRPr="00474740">
        <w:t xml:space="preserve"> which was pending determination</w:t>
      </w:r>
      <w:r w:rsidRPr="00474740">
        <w:t>.</w:t>
      </w:r>
    </w:p>
    <w:p w14:paraId="340F8941" w14:textId="77777777" w:rsidR="003E05EB" w:rsidRPr="00474740" w:rsidRDefault="003E05EB" w:rsidP="006C1B0F"/>
    <w:p w14:paraId="4D08AC5D" w14:textId="6F0BB9B2" w:rsidR="00541221" w:rsidRPr="00474740" w:rsidRDefault="00541221" w:rsidP="006C1B0F">
      <w:r w:rsidRPr="00474740">
        <w:t>On 29 November 2021, the Court decided to consider the request for provisional measures together with the merits of the Application.</w:t>
      </w:r>
    </w:p>
    <w:p w14:paraId="61E39635" w14:textId="77777777" w:rsidR="00270C7F" w:rsidRPr="00474740" w:rsidRDefault="00270C7F" w:rsidP="006C1B0F"/>
    <w:p w14:paraId="448EE4BA" w14:textId="2FDFE3F7" w:rsidR="00270C7F" w:rsidRPr="00474740" w:rsidRDefault="00270C7F" w:rsidP="006C1B0F">
      <w:r w:rsidRPr="00474740">
        <w:t>On 21 February 2022, the Court requested the Respondent State to inform the Court about recent developments, if any, relating to this matter since the submission of its Response.</w:t>
      </w:r>
    </w:p>
    <w:p w14:paraId="6857EAA8" w14:textId="77777777" w:rsidR="00270C7F" w:rsidRPr="00474740" w:rsidRDefault="00270C7F" w:rsidP="006C1B0F"/>
    <w:p w14:paraId="149C15D0" w14:textId="159E7A32" w:rsidR="00270C7F" w:rsidRPr="00474740" w:rsidRDefault="00270C7F" w:rsidP="006C1B0F">
      <w:r w:rsidRPr="00474740">
        <w:t xml:space="preserve">On 22 July 2022, the Respondent State filed submissions </w:t>
      </w:r>
      <w:r w:rsidR="009F5EAA">
        <w:t>on</w:t>
      </w:r>
      <w:r w:rsidR="00BD5F97" w:rsidRPr="00474740">
        <w:t xml:space="preserve"> the measures it </w:t>
      </w:r>
      <w:r w:rsidR="009F5EAA">
        <w:t>had</w:t>
      </w:r>
      <w:r w:rsidR="00BD5F97" w:rsidRPr="00474740">
        <w:t xml:space="preserve"> taken to address the issues raised by the Applicant</w:t>
      </w:r>
      <w:r w:rsidR="000C7D98" w:rsidRPr="00474740">
        <w:t>s</w:t>
      </w:r>
      <w:r w:rsidR="00BD5F97" w:rsidRPr="00474740">
        <w:t xml:space="preserve"> in the </w:t>
      </w:r>
      <w:r w:rsidR="00E83420" w:rsidRPr="00474740">
        <w:t>present</w:t>
      </w:r>
      <w:r w:rsidR="00BD5F97" w:rsidRPr="00474740">
        <w:t xml:space="preserve"> Application. </w:t>
      </w:r>
    </w:p>
    <w:p w14:paraId="5950F6E2" w14:textId="77777777" w:rsidR="002A3B7B" w:rsidRPr="00474740" w:rsidRDefault="002A3B7B" w:rsidP="006C1B0F"/>
    <w:p w14:paraId="7C73423F" w14:textId="3B394FC6" w:rsidR="00AF5ED5" w:rsidRPr="00474740" w:rsidRDefault="00AF5ED5" w:rsidP="006C1B0F">
      <w:r w:rsidRPr="00474740">
        <w:t>The Parties filed their pleadings within the time stipulated by the Court.</w:t>
      </w:r>
    </w:p>
    <w:p w14:paraId="4A214617" w14:textId="77777777" w:rsidR="002A3B7B" w:rsidRPr="00474740" w:rsidRDefault="002A3B7B" w:rsidP="006C1B0F"/>
    <w:p w14:paraId="48A33BA9" w14:textId="0DEB440E" w:rsidR="00DB3162" w:rsidRPr="00474740" w:rsidRDefault="00DB3162" w:rsidP="006C1B0F">
      <w:r w:rsidRPr="00474740">
        <w:t xml:space="preserve">On 16 September 2022, </w:t>
      </w:r>
      <w:r w:rsidR="00B536E6" w:rsidRPr="00474740">
        <w:t xml:space="preserve">the </w:t>
      </w:r>
      <w:r w:rsidR="00AD42C2" w:rsidRPr="00474740">
        <w:t>ACERWC</w:t>
      </w:r>
      <w:r w:rsidRPr="00474740">
        <w:t xml:space="preserve"> submitted to the Court its decision in </w:t>
      </w:r>
      <w:r w:rsidRPr="00820D21">
        <w:rPr>
          <w:i/>
          <w:iCs/>
        </w:rPr>
        <w:t>Communication No: 0012/Com/001/2019 in the matter between Legal and Human Rights Centre and Centre for Reproductive Rights (on behalf of Tanzanian girls) against the United Republic of Tanzania</w:t>
      </w:r>
      <w:r w:rsidR="004714CB" w:rsidRPr="00474740">
        <w:t xml:space="preserve">, regarding the expulsion of pregnant girls and mothers from schools in </w:t>
      </w:r>
      <w:r w:rsidR="007C121D" w:rsidRPr="00474740">
        <w:t>the Respondent State</w:t>
      </w:r>
      <w:r w:rsidR="00C55EA0" w:rsidRPr="00474740">
        <w:t>, which it adopted during its 39th Ordinary Session held from 21 March to 1 April 2022</w:t>
      </w:r>
      <w:r w:rsidRPr="00474740">
        <w:t>.</w:t>
      </w:r>
    </w:p>
    <w:p w14:paraId="39E1DAE8" w14:textId="7BC290F9" w:rsidR="00541221" w:rsidRPr="00474740" w:rsidRDefault="009E71B1" w:rsidP="006C1B0F">
      <w:r w:rsidRPr="00474740">
        <w:t>During the proceedings</w:t>
      </w:r>
      <w:r w:rsidR="00F110E2">
        <w:t xml:space="preserve"> before this Court</w:t>
      </w:r>
      <w:r w:rsidR="00170A41" w:rsidRPr="00474740">
        <w:t>,</w:t>
      </w:r>
      <w:r w:rsidR="00541221" w:rsidRPr="00474740">
        <w:t xml:space="preserve"> </w:t>
      </w:r>
      <w:r w:rsidR="000A150C" w:rsidRPr="00474740">
        <w:t xml:space="preserve">seven </w:t>
      </w:r>
      <w:r w:rsidR="00541221" w:rsidRPr="00474740">
        <w:t>(</w:t>
      </w:r>
      <w:r w:rsidR="000A150C" w:rsidRPr="00474740">
        <w:t>7</w:t>
      </w:r>
      <w:r w:rsidR="00541221" w:rsidRPr="00474740">
        <w:t xml:space="preserve">) organisations filed </w:t>
      </w:r>
      <w:r w:rsidR="00541221" w:rsidRPr="00474740">
        <w:rPr>
          <w:i/>
          <w:iCs/>
        </w:rPr>
        <w:t>amic</w:t>
      </w:r>
      <w:r w:rsidRPr="00474740">
        <w:rPr>
          <w:i/>
          <w:iCs/>
        </w:rPr>
        <w:t>us</w:t>
      </w:r>
      <w:r w:rsidR="00541221" w:rsidRPr="00474740">
        <w:rPr>
          <w:i/>
          <w:iCs/>
        </w:rPr>
        <w:t xml:space="preserve"> curiae</w:t>
      </w:r>
      <w:r w:rsidR="00541221" w:rsidRPr="00474740">
        <w:t xml:space="preserve"> briefs</w:t>
      </w:r>
      <w:r w:rsidR="004714CB" w:rsidRPr="00474740">
        <w:t xml:space="preserve"> which were duly notified to the Parties</w:t>
      </w:r>
      <w:r w:rsidR="00541221" w:rsidRPr="00474740">
        <w:t>. These are: (i) Tanzanian Commission for Human Rights and Good Governance; (ii) Amnesty International; (iii) UNESCO; (iv) Tanzania Women Lawyers Association (TAWLA); (</w:t>
      </w:r>
      <w:r w:rsidR="007D32AF" w:rsidRPr="00474740">
        <w:t>v.</w:t>
      </w:r>
      <w:r w:rsidR="00541221" w:rsidRPr="00474740">
        <w:t>) Msichana Initiative; (vi) Clooney Foundation for Justice</w:t>
      </w:r>
      <w:r w:rsidRPr="00474740">
        <w:t>; and (vi</w:t>
      </w:r>
      <w:r w:rsidR="00727509" w:rsidRPr="00474740">
        <w:t>i</w:t>
      </w:r>
      <w:r w:rsidRPr="00474740">
        <w:t>) a</w:t>
      </w:r>
      <w:r w:rsidR="00541221" w:rsidRPr="00474740">
        <w:t xml:space="preserve"> joint </w:t>
      </w:r>
      <w:r w:rsidR="00C9729E">
        <w:t>brief</w:t>
      </w:r>
      <w:r w:rsidR="00C9729E" w:rsidRPr="00474740">
        <w:t xml:space="preserve"> </w:t>
      </w:r>
      <w:r w:rsidR="00541221" w:rsidRPr="00474740">
        <w:t>by the Initiative for Strategic Litigation in Africa (ISLA), Human Rights Watch (HRW) and Women</w:t>
      </w:r>
      <w:r w:rsidR="00AE7C00" w:rsidRPr="00474740">
        <w:t>’</w:t>
      </w:r>
      <w:r w:rsidR="00541221" w:rsidRPr="00474740">
        <w:t>s Link Worldwide.</w:t>
      </w:r>
    </w:p>
    <w:p w14:paraId="3387A349" w14:textId="2BC5C6A4" w:rsidR="00715235" w:rsidRPr="00474740" w:rsidRDefault="00715235" w:rsidP="006C1B0F"/>
    <w:p w14:paraId="23E97DC8" w14:textId="6FBAC7B8" w:rsidR="00996BF3" w:rsidRPr="00474740" w:rsidRDefault="00996BF3" w:rsidP="006C1B0F">
      <w:r w:rsidRPr="00474740">
        <w:t xml:space="preserve">Pleadings were closed on </w:t>
      </w:r>
      <w:r w:rsidR="00DB3162" w:rsidRPr="00474740">
        <w:t>22 September</w:t>
      </w:r>
      <w:r w:rsidR="00774E86" w:rsidRPr="00474740">
        <w:t xml:space="preserve"> 2022</w:t>
      </w:r>
      <w:r w:rsidRPr="00474740">
        <w:t xml:space="preserve"> and the parties were duly notified.</w:t>
      </w:r>
    </w:p>
    <w:p w14:paraId="41807275" w14:textId="3FA74CD1" w:rsidR="00346F48" w:rsidRPr="00474740" w:rsidRDefault="00346F48" w:rsidP="006C1B0F"/>
    <w:p w14:paraId="103ACE5D" w14:textId="77777777" w:rsidR="005426D7" w:rsidRPr="00474740" w:rsidRDefault="005426D7" w:rsidP="006C1B0F"/>
    <w:p w14:paraId="120EFB0C" w14:textId="77777777" w:rsidR="00996BF3" w:rsidRPr="00474740" w:rsidRDefault="00996BF3" w:rsidP="006C1B0F">
      <w:bookmarkStart w:id="7" w:name="_Toc39148230"/>
      <w:bookmarkStart w:id="8" w:name="_Toc120713966"/>
      <w:r w:rsidRPr="00474740">
        <w:t>PRAYERS OF THE PARTIES</w:t>
      </w:r>
      <w:bookmarkEnd w:id="7"/>
      <w:bookmarkEnd w:id="8"/>
    </w:p>
    <w:p w14:paraId="63C1B20E" w14:textId="77777777" w:rsidR="00996BF3" w:rsidRPr="00474740" w:rsidRDefault="00996BF3" w:rsidP="006C1B0F"/>
    <w:p w14:paraId="6E5888DC" w14:textId="33967978" w:rsidR="00774E86" w:rsidRPr="00474740" w:rsidRDefault="00774E86" w:rsidP="006C1B0F">
      <w:r w:rsidRPr="00474740">
        <w:t>The Applicants pray the Court to:</w:t>
      </w:r>
    </w:p>
    <w:p w14:paraId="2EBEB47B" w14:textId="77777777" w:rsidR="00774E86" w:rsidRPr="00474740" w:rsidRDefault="00774E86" w:rsidP="006C1B0F"/>
    <w:p w14:paraId="4351D676" w14:textId="77777777" w:rsidR="00774E86" w:rsidRPr="00474740" w:rsidRDefault="00774E86" w:rsidP="006C1B0F">
      <w:pPr>
        <w:rPr>
          <w:sz w:val="22"/>
          <w:szCs w:val="22"/>
        </w:rPr>
      </w:pPr>
      <w:r w:rsidRPr="00474740">
        <w:rPr>
          <w:sz w:val="22"/>
          <w:szCs w:val="22"/>
        </w:rPr>
        <w:t>Declare that the expulsion and exclusion of pregnant girls and adolescent mothers from accessing public education in the Respondent State violates their right to education.</w:t>
      </w:r>
    </w:p>
    <w:p w14:paraId="359D4715" w14:textId="350F9D2E" w:rsidR="00774E86" w:rsidRPr="00474740" w:rsidRDefault="00774E86" w:rsidP="006C1B0F">
      <w:pPr>
        <w:rPr>
          <w:sz w:val="22"/>
          <w:szCs w:val="22"/>
        </w:rPr>
      </w:pPr>
      <w:r w:rsidRPr="00474740">
        <w:rPr>
          <w:sz w:val="22"/>
          <w:szCs w:val="22"/>
        </w:rPr>
        <w:t xml:space="preserve">Declare that the current policy implemented by the Respondent State that prohibits pregnant girls and adolescent </w:t>
      </w:r>
      <w:r w:rsidRPr="00F110E2">
        <w:rPr>
          <w:sz w:val="22"/>
          <w:szCs w:val="22"/>
        </w:rPr>
        <w:t>girls</w:t>
      </w:r>
      <w:r w:rsidRPr="00474740">
        <w:rPr>
          <w:sz w:val="22"/>
          <w:szCs w:val="22"/>
        </w:rPr>
        <w:t xml:space="preserve"> from attending school both in written policy and in State declarations is grossly unlawful, discriminatory, not in the best interest of the child and that it violates their right to non-discrimination.</w:t>
      </w:r>
    </w:p>
    <w:p w14:paraId="6DBCBEC7" w14:textId="77777777" w:rsidR="00774E86" w:rsidRPr="00474740" w:rsidRDefault="00774E86" w:rsidP="006C1B0F">
      <w:pPr>
        <w:rPr>
          <w:sz w:val="22"/>
          <w:szCs w:val="22"/>
        </w:rPr>
      </w:pPr>
      <w:r w:rsidRPr="00474740">
        <w:rPr>
          <w:sz w:val="22"/>
          <w:szCs w:val="22"/>
        </w:rPr>
        <w:t>Order the Respondent State to immediately revoke the prohibitive policy (both the expulsion regulation and implementation of declarations) and amend its legislation to protect the right to education.</w:t>
      </w:r>
    </w:p>
    <w:p w14:paraId="7CEFC370" w14:textId="77777777" w:rsidR="00774E86" w:rsidRPr="00474740" w:rsidRDefault="00774E86" w:rsidP="006C1B0F">
      <w:pPr>
        <w:rPr>
          <w:sz w:val="22"/>
          <w:szCs w:val="22"/>
        </w:rPr>
      </w:pPr>
      <w:r w:rsidRPr="00474740">
        <w:rPr>
          <w:sz w:val="22"/>
          <w:szCs w:val="22"/>
        </w:rPr>
        <w:t xml:space="preserve">Order the Respondent State to immediately repeal Regulation No. 4 of the Education Regulations (Expulsion and Exclusion of Pupils from Schools) of 2002 to remove “wedlock” as a ground for </w:t>
      </w:r>
      <w:r w:rsidRPr="00474740">
        <w:rPr>
          <w:sz w:val="22"/>
          <w:szCs w:val="22"/>
        </w:rPr>
        <w:lastRenderedPageBreak/>
        <w:t xml:space="preserve">expulsion and amend the Marriage Act of 1971 to harmonize the age of marriage to 18 for both boys and girls. </w:t>
      </w:r>
    </w:p>
    <w:p w14:paraId="1529964D" w14:textId="2F716324" w:rsidR="00774E86" w:rsidRPr="00474740" w:rsidRDefault="00774E86" w:rsidP="006C1B0F">
      <w:pPr>
        <w:rPr>
          <w:sz w:val="22"/>
          <w:szCs w:val="22"/>
        </w:rPr>
      </w:pPr>
      <w:r w:rsidRPr="00474740">
        <w:rPr>
          <w:sz w:val="22"/>
          <w:szCs w:val="22"/>
        </w:rPr>
        <w:t>Order the Respondent State to develop strategies, programmes and nationwide campaigns that focus on addressing the issue of teenage pregnancies through public education or awareness on sexual and reproductive health and rights as well as on ending child marriages, as this increased community knowledge on family planning and contraceptives will support efforts to address the high rate of teenage pregnancies.</w:t>
      </w:r>
    </w:p>
    <w:p w14:paraId="7777D020" w14:textId="2BF53312" w:rsidR="00774E86" w:rsidRPr="00474740" w:rsidRDefault="00774E86" w:rsidP="006C1B0F">
      <w:pPr>
        <w:rPr>
          <w:sz w:val="22"/>
          <w:szCs w:val="22"/>
        </w:rPr>
      </w:pPr>
      <w:r w:rsidRPr="00474740">
        <w:rPr>
          <w:sz w:val="22"/>
          <w:szCs w:val="22"/>
        </w:rPr>
        <w:t>Order the Respondent State to develop strategies and nationwide campaigns to enable teenage mothers to attend school. This may range from providing subsidies to enable girls with children to attend school, to developing alternative schooling offering the same quality and standard of education as offered in mainstream schools as well as developing and implementing relevant re-entry policies for girls who have given birth.</w:t>
      </w:r>
    </w:p>
    <w:p w14:paraId="4A7858C1" w14:textId="3B73F98F" w:rsidR="00774E86" w:rsidRPr="00474740" w:rsidRDefault="00774E86" w:rsidP="006C1B0F">
      <w:pPr>
        <w:rPr>
          <w:sz w:val="22"/>
          <w:szCs w:val="22"/>
        </w:rPr>
      </w:pPr>
      <w:r w:rsidRPr="00474740">
        <w:rPr>
          <w:sz w:val="22"/>
          <w:szCs w:val="22"/>
        </w:rPr>
        <w:t>Order the Respondent State to put in place constitutional, legislative and administrative measures to guarantee the right to education, including its enforceability domestically, as well as a right to remedies, including reparations, and eradicate discriminatory laws and policies that impede the right to education within six (6) months.</w:t>
      </w:r>
    </w:p>
    <w:p w14:paraId="05F1CB25" w14:textId="77777777" w:rsidR="00774E86" w:rsidRPr="00474740" w:rsidRDefault="00774E86" w:rsidP="006C1B0F">
      <w:pPr>
        <w:rPr>
          <w:sz w:val="22"/>
          <w:szCs w:val="22"/>
        </w:rPr>
      </w:pPr>
      <w:r w:rsidRPr="00474740">
        <w:rPr>
          <w:sz w:val="22"/>
          <w:szCs w:val="22"/>
        </w:rPr>
        <w:t>Order the Respondent State to report to the Court within a period of six (6) months from the date of judgment on the implementation of this judgment and consequential orders.</w:t>
      </w:r>
    </w:p>
    <w:p w14:paraId="280AF48E" w14:textId="6B39C866" w:rsidR="00774E86" w:rsidRPr="00474740" w:rsidRDefault="00774E86" w:rsidP="006C1B0F">
      <w:pPr>
        <w:rPr>
          <w:sz w:val="22"/>
          <w:szCs w:val="22"/>
        </w:rPr>
      </w:pPr>
      <w:r w:rsidRPr="00474740">
        <w:rPr>
          <w:sz w:val="22"/>
          <w:szCs w:val="22"/>
        </w:rPr>
        <w:t xml:space="preserve">Order the Respondent State to publish </w:t>
      </w:r>
      <w:r w:rsidR="00907922" w:rsidRPr="00474740">
        <w:rPr>
          <w:sz w:val="22"/>
          <w:szCs w:val="22"/>
        </w:rPr>
        <w:t xml:space="preserve">the </w:t>
      </w:r>
      <w:r w:rsidRPr="00474740">
        <w:rPr>
          <w:sz w:val="22"/>
          <w:szCs w:val="22"/>
        </w:rPr>
        <w:t xml:space="preserve">judgment </w:t>
      </w:r>
      <w:r w:rsidR="00FA6F43" w:rsidRPr="00474740">
        <w:rPr>
          <w:sz w:val="22"/>
          <w:szCs w:val="22"/>
        </w:rPr>
        <w:t xml:space="preserve">in this matter </w:t>
      </w:r>
      <w:r w:rsidRPr="00474740">
        <w:rPr>
          <w:sz w:val="22"/>
          <w:szCs w:val="22"/>
        </w:rPr>
        <w:t>on the official website of its judiciary and of the Ministr</w:t>
      </w:r>
      <w:r w:rsidR="00FA6F43" w:rsidRPr="00474740">
        <w:rPr>
          <w:sz w:val="22"/>
          <w:szCs w:val="22"/>
        </w:rPr>
        <w:t>y</w:t>
      </w:r>
      <w:r w:rsidRPr="00474740">
        <w:rPr>
          <w:sz w:val="22"/>
          <w:szCs w:val="22"/>
        </w:rPr>
        <w:t xml:space="preserve"> responsible for legal affairs, within two (2) months from date of notification of th</w:t>
      </w:r>
      <w:r w:rsidR="00FA6F43" w:rsidRPr="00474740">
        <w:rPr>
          <w:sz w:val="22"/>
          <w:szCs w:val="22"/>
        </w:rPr>
        <w:t>e</w:t>
      </w:r>
      <w:r w:rsidRPr="00474740">
        <w:rPr>
          <w:sz w:val="22"/>
          <w:szCs w:val="22"/>
        </w:rPr>
        <w:t xml:space="preserve"> decision.</w:t>
      </w:r>
    </w:p>
    <w:p w14:paraId="4754A235" w14:textId="37E3069B" w:rsidR="00774E86" w:rsidRPr="00474740" w:rsidRDefault="00774E86" w:rsidP="006C1B0F">
      <w:pPr>
        <w:rPr>
          <w:sz w:val="22"/>
          <w:szCs w:val="22"/>
        </w:rPr>
      </w:pPr>
      <w:r w:rsidRPr="00474740">
        <w:rPr>
          <w:sz w:val="22"/>
          <w:szCs w:val="22"/>
        </w:rPr>
        <w:t>Declare violations of other human rights which were not specifically mentioned by the Applicants in this Application.</w:t>
      </w:r>
    </w:p>
    <w:p w14:paraId="14DFB50E" w14:textId="77777777" w:rsidR="00774E86" w:rsidRPr="00474740" w:rsidRDefault="00774E86" w:rsidP="006C1B0F">
      <w:pPr>
        <w:rPr>
          <w:sz w:val="22"/>
          <w:szCs w:val="22"/>
        </w:rPr>
      </w:pPr>
      <w:r w:rsidRPr="00474740">
        <w:rPr>
          <w:sz w:val="22"/>
          <w:szCs w:val="22"/>
        </w:rPr>
        <w:t>Issue any other remedy and/or relief that the Court will deem necessary to grant.</w:t>
      </w:r>
    </w:p>
    <w:p w14:paraId="65319FD8" w14:textId="6A81F696" w:rsidR="00774E86" w:rsidRPr="00474740" w:rsidRDefault="00774E86" w:rsidP="006C1B0F">
      <w:pPr>
        <w:rPr>
          <w:sz w:val="22"/>
          <w:szCs w:val="22"/>
        </w:rPr>
      </w:pPr>
      <w:r w:rsidRPr="00474740">
        <w:rPr>
          <w:sz w:val="22"/>
          <w:szCs w:val="22"/>
        </w:rPr>
        <w:t>Order the Respondent State to pay the Applicants</w:t>
      </w:r>
      <w:r w:rsidR="00AE7C00" w:rsidRPr="00474740">
        <w:rPr>
          <w:sz w:val="22"/>
          <w:szCs w:val="22"/>
        </w:rPr>
        <w:t>’</w:t>
      </w:r>
      <w:r w:rsidRPr="00474740">
        <w:rPr>
          <w:sz w:val="22"/>
          <w:szCs w:val="22"/>
        </w:rPr>
        <w:t xml:space="preserve"> costs.</w:t>
      </w:r>
    </w:p>
    <w:p w14:paraId="1B48E094" w14:textId="77777777" w:rsidR="0049797E" w:rsidRPr="00474740" w:rsidRDefault="0049797E" w:rsidP="006C1B0F"/>
    <w:p w14:paraId="2F833C25" w14:textId="72CE5BBA" w:rsidR="009E71B1" w:rsidRPr="00474740" w:rsidRDefault="009E71B1" w:rsidP="006C1B0F">
      <w:pPr>
        <w:rPr>
          <w:rFonts w:eastAsia="Arial Unicode MS"/>
          <w:b/>
          <w:bCs/>
          <w:u w:color="000000"/>
        </w:rPr>
      </w:pPr>
      <w:r w:rsidRPr="00474740">
        <w:rPr>
          <w:rFonts w:eastAsia="Arial Unicode MS"/>
          <w:u w:color="000000"/>
        </w:rPr>
        <w:t>In its Response, with regard to the Court</w:t>
      </w:r>
      <w:r w:rsidR="00AE7C00" w:rsidRPr="00474740">
        <w:rPr>
          <w:rFonts w:eastAsia="Arial Unicode MS"/>
          <w:u w:color="000000"/>
        </w:rPr>
        <w:t>’</w:t>
      </w:r>
      <w:r w:rsidRPr="00474740">
        <w:rPr>
          <w:rFonts w:eastAsia="Arial Unicode MS"/>
          <w:u w:color="000000"/>
        </w:rPr>
        <w:t xml:space="preserve">s jurisdiction and admissibility of the </w:t>
      </w:r>
      <w:r w:rsidRPr="00474740">
        <w:t>Application</w:t>
      </w:r>
      <w:r w:rsidRPr="00474740">
        <w:rPr>
          <w:rFonts w:eastAsia="Arial Unicode MS"/>
          <w:u w:color="000000"/>
        </w:rPr>
        <w:t xml:space="preserve">, the Respondent State prays the Court to order </w:t>
      </w:r>
      <w:r w:rsidRPr="00474740">
        <w:rPr>
          <w:rFonts w:eastAsia="Arial Unicode MS"/>
          <w:bCs/>
          <w:u w:color="000000"/>
        </w:rPr>
        <w:t>as follows:</w:t>
      </w:r>
    </w:p>
    <w:p w14:paraId="2BC2A683" w14:textId="77777777" w:rsidR="00727718" w:rsidRPr="00474740" w:rsidRDefault="00727718" w:rsidP="006C1B0F">
      <w:pPr>
        <w:rPr>
          <w:sz w:val="22"/>
          <w:szCs w:val="22"/>
        </w:rPr>
      </w:pPr>
    </w:p>
    <w:p w14:paraId="7AE506AC" w14:textId="1B812AD9" w:rsidR="00996BF3" w:rsidRPr="00474740" w:rsidRDefault="009E71B1" w:rsidP="006C1B0F">
      <w:pPr>
        <w:rPr>
          <w:sz w:val="22"/>
          <w:szCs w:val="22"/>
        </w:rPr>
      </w:pPr>
      <w:r w:rsidRPr="00474740">
        <w:rPr>
          <w:sz w:val="22"/>
          <w:szCs w:val="22"/>
        </w:rPr>
        <w:t>That the African Court on Human and Peoples</w:t>
      </w:r>
      <w:r w:rsidR="00AE7C00" w:rsidRPr="00474740">
        <w:rPr>
          <w:sz w:val="22"/>
          <w:szCs w:val="22"/>
        </w:rPr>
        <w:t>’</w:t>
      </w:r>
      <w:r w:rsidRPr="00474740">
        <w:rPr>
          <w:sz w:val="22"/>
          <w:szCs w:val="22"/>
        </w:rPr>
        <w:t xml:space="preserve"> Rights is not vested with jurisdiction to adjudicate the Application.</w:t>
      </w:r>
    </w:p>
    <w:p w14:paraId="01EAA65D" w14:textId="6F0057CF" w:rsidR="009E71B1" w:rsidRPr="00474740" w:rsidRDefault="009E71B1" w:rsidP="006C1B0F">
      <w:pPr>
        <w:rPr>
          <w:sz w:val="22"/>
          <w:szCs w:val="22"/>
        </w:rPr>
      </w:pPr>
      <w:r w:rsidRPr="00474740">
        <w:rPr>
          <w:sz w:val="22"/>
          <w:szCs w:val="22"/>
        </w:rPr>
        <w:t xml:space="preserve">The Application has not met the admissibility requirements provided by Article 56 of the Charter and Rule 50 of the Rules. </w:t>
      </w:r>
    </w:p>
    <w:p w14:paraId="0CA7697B" w14:textId="7B3591A3" w:rsidR="009E71B1" w:rsidRPr="00474740" w:rsidRDefault="009E71B1" w:rsidP="006C1B0F">
      <w:pPr>
        <w:rPr>
          <w:sz w:val="22"/>
          <w:szCs w:val="22"/>
        </w:rPr>
      </w:pPr>
      <w:r w:rsidRPr="00474740">
        <w:rPr>
          <w:sz w:val="22"/>
          <w:szCs w:val="22"/>
        </w:rPr>
        <w:t>The Application be declared inadmissible.</w:t>
      </w:r>
    </w:p>
    <w:p w14:paraId="55DD5E69" w14:textId="51211AB7" w:rsidR="009E71B1" w:rsidRPr="00474740" w:rsidRDefault="009E71B1" w:rsidP="006C1B0F">
      <w:pPr>
        <w:rPr>
          <w:sz w:val="22"/>
          <w:szCs w:val="22"/>
        </w:rPr>
      </w:pPr>
      <w:r w:rsidRPr="00474740">
        <w:rPr>
          <w:sz w:val="22"/>
          <w:szCs w:val="22"/>
        </w:rPr>
        <w:t>That the Application be dismissed.</w:t>
      </w:r>
    </w:p>
    <w:p w14:paraId="3F3DA1E2" w14:textId="7F44D151" w:rsidR="009E71B1" w:rsidRPr="00474740" w:rsidRDefault="00ED55BE" w:rsidP="006C1B0F">
      <w:r w:rsidRPr="00474740">
        <w:t>The Respondent State prays the Court to grant the following orders with respect to the merits of the Application:</w:t>
      </w:r>
    </w:p>
    <w:p w14:paraId="304D3BB8" w14:textId="77777777" w:rsidR="007E5238" w:rsidRPr="00474740" w:rsidRDefault="007E5238" w:rsidP="006C1B0F"/>
    <w:p w14:paraId="2A00EFFA" w14:textId="6CEB94B5" w:rsidR="00ED55BE" w:rsidRPr="00474740" w:rsidRDefault="00ED55BE" w:rsidP="006C1B0F">
      <w:pPr>
        <w:rPr>
          <w:sz w:val="22"/>
          <w:szCs w:val="22"/>
        </w:rPr>
      </w:pPr>
      <w:r w:rsidRPr="00474740">
        <w:rPr>
          <w:sz w:val="22"/>
          <w:szCs w:val="22"/>
        </w:rPr>
        <w:t>That the Respondent State has not violated Article 17(1) of the Charter, Article 11 of the African Children</w:t>
      </w:r>
      <w:r w:rsidR="00AE7C00" w:rsidRPr="00474740">
        <w:rPr>
          <w:sz w:val="22"/>
          <w:szCs w:val="22"/>
        </w:rPr>
        <w:t>’</w:t>
      </w:r>
      <w:r w:rsidRPr="00474740">
        <w:rPr>
          <w:sz w:val="22"/>
          <w:szCs w:val="22"/>
        </w:rPr>
        <w:t>s Charter, and Article 12 of the Maputo Protocol.</w:t>
      </w:r>
    </w:p>
    <w:p w14:paraId="0CC37103" w14:textId="24B4DA84" w:rsidR="00ED55BE" w:rsidRPr="00474740" w:rsidRDefault="00ED55BE" w:rsidP="006C1B0F">
      <w:pPr>
        <w:rPr>
          <w:sz w:val="22"/>
          <w:szCs w:val="22"/>
        </w:rPr>
      </w:pPr>
      <w:r w:rsidRPr="00474740">
        <w:rPr>
          <w:sz w:val="22"/>
          <w:szCs w:val="22"/>
        </w:rPr>
        <w:t>That the Application be dismissed for want of merit.</w:t>
      </w:r>
    </w:p>
    <w:p w14:paraId="75874079" w14:textId="492FD00C" w:rsidR="00ED55BE" w:rsidRPr="00474740" w:rsidRDefault="00ED55BE" w:rsidP="006C1B0F">
      <w:r w:rsidRPr="00474740">
        <w:rPr>
          <w:sz w:val="22"/>
          <w:szCs w:val="22"/>
        </w:rPr>
        <w:t>That the cost of the Application be borne by the Applicants.</w:t>
      </w:r>
    </w:p>
    <w:p w14:paraId="0AEEA043" w14:textId="7CD9D539" w:rsidR="007B752B" w:rsidRPr="00474740" w:rsidRDefault="007B752B" w:rsidP="006C1B0F">
      <w:pPr>
        <w:rPr>
          <w:lang w:val="en-US"/>
        </w:rPr>
      </w:pPr>
    </w:p>
    <w:p w14:paraId="4BD5D7FA" w14:textId="77777777" w:rsidR="005426D7" w:rsidRPr="00474740" w:rsidRDefault="005426D7" w:rsidP="006C1B0F">
      <w:pPr>
        <w:rPr>
          <w:lang w:val="en-US"/>
        </w:rPr>
      </w:pPr>
    </w:p>
    <w:p w14:paraId="3F3DEDA5" w14:textId="77777777" w:rsidR="00996BF3" w:rsidRPr="00474740" w:rsidRDefault="00996BF3" w:rsidP="006C1B0F">
      <w:bookmarkStart w:id="9" w:name="_Toc120713967"/>
      <w:r w:rsidRPr="00474740">
        <w:t>JURISDICTION</w:t>
      </w:r>
      <w:bookmarkEnd w:id="9"/>
    </w:p>
    <w:p w14:paraId="4D2695C7" w14:textId="77777777" w:rsidR="0078698D" w:rsidRPr="00474740" w:rsidRDefault="0078698D" w:rsidP="006C1B0F">
      <w:pPr>
        <w:rPr>
          <w:rFonts w:eastAsia="Calibri"/>
          <w:b/>
        </w:rPr>
      </w:pPr>
    </w:p>
    <w:p w14:paraId="5C4CC38A" w14:textId="77777777" w:rsidR="0078698D" w:rsidRPr="00474740" w:rsidRDefault="0078698D" w:rsidP="006C1B0F">
      <w:pPr>
        <w:rPr>
          <w:rFonts w:eastAsia="Calibri"/>
          <w:bCs/>
        </w:rPr>
      </w:pPr>
      <w:r w:rsidRPr="00474740">
        <w:rPr>
          <w:rFonts w:eastAsia="Calibri"/>
          <w:bCs/>
        </w:rPr>
        <w:t xml:space="preserve">The Court </w:t>
      </w:r>
      <w:r w:rsidRPr="00474740">
        <w:t>observes</w:t>
      </w:r>
      <w:r w:rsidRPr="00474740">
        <w:rPr>
          <w:rFonts w:eastAsia="Calibri"/>
          <w:bCs/>
        </w:rPr>
        <w:t xml:space="preserve"> that Article 3 of the Protocol provides as follows:</w:t>
      </w:r>
    </w:p>
    <w:p w14:paraId="07F67395" w14:textId="77777777" w:rsidR="0078698D" w:rsidRPr="00474740" w:rsidRDefault="0078698D" w:rsidP="006C1B0F">
      <w:pPr>
        <w:rPr>
          <w:rFonts w:eastAsia="Calibri"/>
          <w:bCs/>
        </w:rPr>
      </w:pPr>
    </w:p>
    <w:p w14:paraId="14BCC491" w14:textId="77777777" w:rsidR="0078698D" w:rsidRPr="00474740" w:rsidRDefault="0078698D" w:rsidP="006C1B0F">
      <w:pPr>
        <w:rPr>
          <w:rFonts w:eastAsia="Calibri"/>
          <w:bCs/>
          <w:sz w:val="22"/>
          <w:szCs w:val="22"/>
        </w:rPr>
      </w:pPr>
      <w:r w:rsidRPr="00474740">
        <w:rPr>
          <w:rFonts w:eastAsia="Calibri"/>
          <w:bCs/>
          <w:sz w:val="22"/>
          <w:szCs w:val="22"/>
        </w:rPr>
        <w:t>The jurisdiction of the Court shall extend to all cases and disputes submitted to it concerning the interpretation and application of the Charter, this Protocol and any other relevant Human Rights instrument ratified by the States concerned.</w:t>
      </w:r>
    </w:p>
    <w:p w14:paraId="28CDB350" w14:textId="77777777" w:rsidR="0078698D" w:rsidRPr="00474740" w:rsidRDefault="0078698D" w:rsidP="006C1B0F">
      <w:pPr>
        <w:rPr>
          <w:rFonts w:eastAsia="Calibri"/>
          <w:bCs/>
          <w:sz w:val="22"/>
          <w:szCs w:val="22"/>
        </w:rPr>
      </w:pPr>
    </w:p>
    <w:p w14:paraId="7664C639" w14:textId="77777777" w:rsidR="0078698D" w:rsidRPr="00474740" w:rsidRDefault="0078698D" w:rsidP="006C1B0F">
      <w:pPr>
        <w:rPr>
          <w:rFonts w:eastAsia="Calibri"/>
          <w:bCs/>
          <w:sz w:val="22"/>
          <w:szCs w:val="22"/>
        </w:rPr>
      </w:pPr>
      <w:r w:rsidRPr="00474740">
        <w:rPr>
          <w:rFonts w:eastAsia="Calibri"/>
          <w:bCs/>
          <w:sz w:val="22"/>
          <w:szCs w:val="22"/>
        </w:rPr>
        <w:t>In the event of a dispute as to whether the Court has jurisdiction, the Court shall decide.</w:t>
      </w:r>
    </w:p>
    <w:p w14:paraId="13156176" w14:textId="77777777" w:rsidR="0078698D" w:rsidRPr="00474740" w:rsidRDefault="0078698D" w:rsidP="006C1B0F">
      <w:pPr>
        <w:rPr>
          <w:rFonts w:eastAsia="Calibri"/>
          <w:bCs/>
        </w:rPr>
      </w:pPr>
    </w:p>
    <w:p w14:paraId="36489CF2" w14:textId="718E4933" w:rsidR="0078698D" w:rsidRPr="00474740" w:rsidRDefault="0078698D" w:rsidP="006C1B0F">
      <w:pPr>
        <w:rPr>
          <w:rFonts w:eastAsia="Calibri"/>
        </w:rPr>
      </w:pPr>
      <w:r w:rsidRPr="00474740">
        <w:rPr>
          <w:rFonts w:eastAsia="Calibri"/>
        </w:rPr>
        <w:t xml:space="preserve">The </w:t>
      </w:r>
      <w:r w:rsidRPr="00474740">
        <w:t>Court</w:t>
      </w:r>
      <w:r w:rsidRPr="00474740">
        <w:rPr>
          <w:rFonts w:eastAsia="Calibri"/>
        </w:rPr>
        <w:t xml:space="preserve"> further observes that pursuant to Rule 49(1) of the Rules, it “shall conduct a preliminary examination of its jurisdiction […] in accordance with the Charter, the Protocol and these Rules.”</w:t>
      </w:r>
    </w:p>
    <w:p w14:paraId="1AB9C8C8" w14:textId="77777777" w:rsidR="0078698D" w:rsidRPr="00474740" w:rsidRDefault="0078698D" w:rsidP="006C1B0F">
      <w:pPr>
        <w:rPr>
          <w:rFonts w:eastAsia="Calibri"/>
        </w:rPr>
      </w:pPr>
    </w:p>
    <w:p w14:paraId="64586477" w14:textId="77777777" w:rsidR="0078698D" w:rsidRPr="00474740" w:rsidRDefault="0078698D" w:rsidP="006C1B0F">
      <w:pPr>
        <w:rPr>
          <w:rFonts w:eastAsia="Calibri"/>
        </w:rPr>
      </w:pPr>
      <w:r w:rsidRPr="00474740">
        <w:rPr>
          <w:rFonts w:eastAsia="Calibri"/>
          <w:bCs/>
        </w:rPr>
        <w:t xml:space="preserve">In view of the foregoing, the Court must conduct an assessment of its </w:t>
      </w:r>
      <w:r w:rsidRPr="00474740">
        <w:t>jurisdiction</w:t>
      </w:r>
      <w:r w:rsidRPr="00474740">
        <w:rPr>
          <w:rFonts w:eastAsia="Calibri"/>
          <w:bCs/>
        </w:rPr>
        <w:t xml:space="preserve"> and dispose of objections thereto, if any.</w:t>
      </w:r>
    </w:p>
    <w:p w14:paraId="34543737" w14:textId="77777777" w:rsidR="00750A36" w:rsidRPr="00474740" w:rsidRDefault="00750A36" w:rsidP="006C1B0F">
      <w:pPr>
        <w:rPr>
          <w:rFonts w:eastAsia="Calibri"/>
        </w:rPr>
      </w:pPr>
    </w:p>
    <w:p w14:paraId="5A965A0C" w14:textId="192D0A9E" w:rsidR="00635E40" w:rsidRPr="00474740" w:rsidRDefault="00635E40" w:rsidP="006C1B0F">
      <w:pPr>
        <w:rPr>
          <w:rFonts w:eastAsia="Calibri"/>
        </w:rPr>
      </w:pPr>
      <w:r w:rsidRPr="00474740">
        <w:rPr>
          <w:rFonts w:eastAsia="Calibri"/>
        </w:rPr>
        <w:t xml:space="preserve">The Court notes that the Respondent State </w:t>
      </w:r>
      <w:r w:rsidR="004C73A0" w:rsidRPr="00474740">
        <w:rPr>
          <w:rFonts w:eastAsia="Calibri"/>
        </w:rPr>
        <w:t>claims</w:t>
      </w:r>
      <w:r w:rsidRPr="00474740">
        <w:rPr>
          <w:rFonts w:eastAsia="Calibri"/>
        </w:rPr>
        <w:t xml:space="preserve"> that </w:t>
      </w:r>
      <w:r w:rsidR="004C73A0" w:rsidRPr="00474740">
        <w:rPr>
          <w:rFonts w:eastAsia="Calibri"/>
        </w:rPr>
        <w:t>it</w:t>
      </w:r>
      <w:r w:rsidRPr="00474740">
        <w:rPr>
          <w:rFonts w:eastAsia="Calibri"/>
        </w:rPr>
        <w:t xml:space="preserve"> is not vested with </w:t>
      </w:r>
      <w:r w:rsidRPr="00474740">
        <w:t>jurisdiction</w:t>
      </w:r>
      <w:r w:rsidRPr="00474740">
        <w:rPr>
          <w:rFonts w:eastAsia="Calibri"/>
        </w:rPr>
        <w:t xml:space="preserve"> to adjudicate this application because the </w:t>
      </w:r>
      <w:r w:rsidR="00AF5ED5" w:rsidRPr="00474740">
        <w:rPr>
          <w:rFonts w:eastAsia="Calibri"/>
        </w:rPr>
        <w:t>A</w:t>
      </w:r>
      <w:r w:rsidRPr="00474740">
        <w:rPr>
          <w:rFonts w:eastAsia="Calibri"/>
        </w:rPr>
        <w:t>pplicants are aggrieved with the public declarations issued by some of the Respondent State</w:t>
      </w:r>
      <w:r w:rsidR="00AE7C00" w:rsidRPr="00474740">
        <w:rPr>
          <w:rFonts w:eastAsia="Calibri"/>
        </w:rPr>
        <w:t>’</w:t>
      </w:r>
      <w:r w:rsidRPr="00474740">
        <w:rPr>
          <w:rFonts w:eastAsia="Calibri"/>
        </w:rPr>
        <w:t xml:space="preserve">s officials and Regulation No. 4 of the Education Regulations (Expulsion and Exclusion of Pupils from Schools) of 2002 which are both </w:t>
      </w:r>
      <w:r w:rsidRPr="00474740">
        <w:t>challengeable</w:t>
      </w:r>
      <w:r w:rsidRPr="00474740">
        <w:rPr>
          <w:rFonts w:eastAsia="Calibri"/>
        </w:rPr>
        <w:t xml:space="preserve"> under the national courts of the Respondent State in accordance with the provision of the Law Reform (Fatal Accident and Miscellaneous Provision) Act.</w:t>
      </w:r>
    </w:p>
    <w:p w14:paraId="79093A11" w14:textId="77777777" w:rsidR="00635E40" w:rsidRPr="00474740" w:rsidRDefault="00635E40" w:rsidP="006C1B0F">
      <w:pPr>
        <w:rPr>
          <w:rFonts w:eastAsia="Calibri"/>
        </w:rPr>
      </w:pPr>
    </w:p>
    <w:p w14:paraId="05D776C9" w14:textId="3534EA85" w:rsidR="00531CE9" w:rsidRPr="00474740" w:rsidRDefault="00AF5ED5" w:rsidP="006C1B0F">
      <w:pPr>
        <w:rPr>
          <w:rFonts w:eastAsia="Calibri"/>
        </w:rPr>
      </w:pPr>
      <w:r w:rsidRPr="00474740">
        <w:rPr>
          <w:rFonts w:eastAsia="Calibri"/>
        </w:rPr>
        <w:t>The Court</w:t>
      </w:r>
      <w:r w:rsidR="00531CE9" w:rsidRPr="00474740">
        <w:rPr>
          <w:rFonts w:eastAsia="Calibri"/>
        </w:rPr>
        <w:t xml:space="preserve"> recalls that by virtue of Article 3 of the Protocol, it has material jurisdiction so long as “the Application alleges violations of provisions of some of the international </w:t>
      </w:r>
      <w:r w:rsidR="00531CE9" w:rsidRPr="00474740">
        <w:t>instruments</w:t>
      </w:r>
      <w:r w:rsidR="00531CE9" w:rsidRPr="00474740">
        <w:rPr>
          <w:rFonts w:eastAsia="Calibri"/>
        </w:rPr>
        <w:t xml:space="preserve"> to which the Respondent State is a party”.</w:t>
      </w:r>
      <w:r w:rsidR="00531CE9" w:rsidRPr="00474740">
        <w:rPr>
          <w:rStyle w:val="FootnoteReference"/>
          <w:rFonts w:ascii="Arial" w:eastAsia="Calibri" w:hAnsi="Arial" w:cs="Arial"/>
        </w:rPr>
        <w:footnoteReference w:id="2"/>
      </w:r>
      <w:r w:rsidR="00531CE9" w:rsidRPr="00474740">
        <w:rPr>
          <w:rFonts w:eastAsia="Calibri"/>
        </w:rPr>
        <w:t xml:space="preserve"> In the instant matter, the Applicants allege violations of rights guaranteed in the Charter and in other international human rights instruments ratified by the Respondent State.</w:t>
      </w:r>
      <w:r w:rsidR="00531CE9" w:rsidRPr="00474740">
        <w:rPr>
          <w:rStyle w:val="FootnoteReference"/>
          <w:rFonts w:ascii="Arial" w:eastAsia="Calibri" w:hAnsi="Arial" w:cs="Arial"/>
        </w:rPr>
        <w:footnoteReference w:id="3"/>
      </w:r>
      <w:r w:rsidR="00531CE9" w:rsidRPr="00474740">
        <w:rPr>
          <w:rFonts w:eastAsia="Calibri"/>
        </w:rPr>
        <w:t xml:space="preserve"> </w:t>
      </w:r>
    </w:p>
    <w:p w14:paraId="5A7854AE" w14:textId="77777777" w:rsidR="00531CE9" w:rsidRPr="00474740" w:rsidRDefault="00531CE9" w:rsidP="006C1B0F">
      <w:pPr>
        <w:rPr>
          <w:rFonts w:eastAsia="Calibri"/>
          <w:b/>
          <w:bCs/>
        </w:rPr>
      </w:pPr>
    </w:p>
    <w:p w14:paraId="5240FB0D" w14:textId="6FFD1F58" w:rsidR="00B935BE" w:rsidRPr="00474740" w:rsidRDefault="00531CE9" w:rsidP="006C1B0F">
      <w:pPr>
        <w:rPr>
          <w:rFonts w:eastAsia="Calibri"/>
        </w:rPr>
      </w:pPr>
      <w:r w:rsidRPr="00474740">
        <w:rPr>
          <w:rFonts w:eastAsia="Calibri"/>
        </w:rPr>
        <w:t>In light of the above, the Court dismisses the Respondent State</w:t>
      </w:r>
      <w:r w:rsidR="00AE7C00" w:rsidRPr="00474740">
        <w:rPr>
          <w:rFonts w:eastAsia="Calibri"/>
        </w:rPr>
        <w:t>’</w:t>
      </w:r>
      <w:r w:rsidRPr="00474740">
        <w:rPr>
          <w:rFonts w:eastAsia="Calibri"/>
        </w:rPr>
        <w:t xml:space="preserve">s objection and holds that it has material jurisdiction. </w:t>
      </w:r>
    </w:p>
    <w:p w14:paraId="6C6C1447" w14:textId="77777777" w:rsidR="00531CE9" w:rsidRPr="00474740" w:rsidRDefault="00531CE9" w:rsidP="006C1B0F">
      <w:pPr>
        <w:rPr>
          <w:rFonts w:eastAsia="Calibri"/>
        </w:rPr>
      </w:pPr>
    </w:p>
    <w:p w14:paraId="6B462268" w14:textId="5CA86BE7" w:rsidR="00531CE9" w:rsidRPr="00474740" w:rsidRDefault="00531CE9" w:rsidP="006C1B0F">
      <w:pPr>
        <w:rPr>
          <w:rFonts w:eastAsia="Calibri"/>
        </w:rPr>
      </w:pPr>
      <w:r w:rsidRPr="00474740">
        <w:rPr>
          <w:rFonts w:eastAsia="Calibri"/>
        </w:rPr>
        <w:t>Noting that not</w:t>
      </w:r>
      <w:r w:rsidR="000F5165" w:rsidRPr="00474740">
        <w:rPr>
          <w:rFonts w:eastAsia="Calibri"/>
        </w:rPr>
        <w:t>h</w:t>
      </w:r>
      <w:r w:rsidRPr="00474740">
        <w:rPr>
          <w:rFonts w:eastAsia="Calibri"/>
        </w:rPr>
        <w:t xml:space="preserve">ing on record shows that it does not have jurisdiction in respect </w:t>
      </w:r>
      <w:r w:rsidR="009D409A">
        <w:rPr>
          <w:rFonts w:eastAsia="Calibri"/>
        </w:rPr>
        <w:t>of</w:t>
      </w:r>
      <w:r w:rsidR="009D409A" w:rsidRPr="00474740">
        <w:rPr>
          <w:rFonts w:eastAsia="Calibri"/>
        </w:rPr>
        <w:t xml:space="preserve"> </w:t>
      </w:r>
      <w:r w:rsidRPr="00474740">
        <w:rPr>
          <w:rFonts w:eastAsia="Calibri"/>
        </w:rPr>
        <w:t>other aspects of its jurisdiction, the Court holds that</w:t>
      </w:r>
      <w:r w:rsidR="009D409A">
        <w:rPr>
          <w:rFonts w:eastAsia="Calibri"/>
        </w:rPr>
        <w:t xml:space="preserve"> it has</w:t>
      </w:r>
      <w:r w:rsidRPr="00474740">
        <w:rPr>
          <w:rFonts w:eastAsia="Calibri"/>
        </w:rPr>
        <w:t xml:space="preserve">: </w:t>
      </w:r>
    </w:p>
    <w:p w14:paraId="1D51BDBB" w14:textId="77777777" w:rsidR="00F32C9F" w:rsidRPr="00474740" w:rsidRDefault="00F32C9F" w:rsidP="006C1B0F">
      <w:pPr>
        <w:rPr>
          <w:rFonts w:eastAsia="Calibri"/>
        </w:rPr>
      </w:pPr>
    </w:p>
    <w:p w14:paraId="5A24813D" w14:textId="6C50196C" w:rsidR="0078698D" w:rsidRPr="00474740" w:rsidRDefault="009D409A" w:rsidP="006C1B0F">
      <w:pPr>
        <w:rPr>
          <w:rFonts w:eastAsia="Calibri"/>
        </w:rPr>
      </w:pPr>
      <w:r>
        <w:rPr>
          <w:rFonts w:eastAsia="Calibri"/>
        </w:rPr>
        <w:t>P</w:t>
      </w:r>
      <w:r w:rsidR="0078698D" w:rsidRPr="00474740">
        <w:rPr>
          <w:rFonts w:eastAsia="Calibri"/>
        </w:rPr>
        <w:t xml:space="preserve">ersonal jurisdiction, given that the Respondent State is a party to the Protocol and had deposited the Declaration under Article 34(6) thereof, which </w:t>
      </w:r>
      <w:r>
        <w:rPr>
          <w:rFonts w:eastAsia="Calibri"/>
        </w:rPr>
        <w:t>entitled</w:t>
      </w:r>
      <w:r w:rsidRPr="00474740">
        <w:rPr>
          <w:rFonts w:eastAsia="Calibri"/>
        </w:rPr>
        <w:t xml:space="preserve"> </w:t>
      </w:r>
      <w:r w:rsidR="0078698D" w:rsidRPr="00474740">
        <w:rPr>
          <w:rFonts w:eastAsia="Calibri"/>
        </w:rPr>
        <w:t>the Applicant</w:t>
      </w:r>
      <w:r w:rsidR="00377B3A" w:rsidRPr="00474740">
        <w:rPr>
          <w:rFonts w:eastAsia="Calibri"/>
        </w:rPr>
        <w:t>s</w:t>
      </w:r>
      <w:r w:rsidR="0078698D" w:rsidRPr="00474740">
        <w:rPr>
          <w:rFonts w:eastAsia="Calibri"/>
        </w:rPr>
        <w:t xml:space="preserve"> to access the Court in terms of Article 5(3) of the Protocol. In reference to paragraph 2 of this judgment, the Court recalls that </w:t>
      </w:r>
      <w:r w:rsidR="0078698D" w:rsidRPr="00474740">
        <w:rPr>
          <w:rFonts w:eastAsia="Times New Roman"/>
          <w:lang w:eastAsia="en-GB"/>
        </w:rPr>
        <w:t>it has held that the withdrawal of the Declaration does not have any retroactive effect and has no bearing on matters pending prior to the filing of the instrument withdrawing the Declaration, or on new cases filed before the withdrawal takes effect.</w:t>
      </w:r>
      <w:r w:rsidR="0078698D" w:rsidRPr="00474740">
        <w:rPr>
          <w:rFonts w:eastAsia="Times New Roman"/>
          <w:vertAlign w:val="superscript"/>
          <w:lang w:eastAsia="en-GB"/>
        </w:rPr>
        <w:footnoteReference w:id="4"/>
      </w:r>
      <w:r w:rsidR="0078698D" w:rsidRPr="00474740">
        <w:rPr>
          <w:rFonts w:eastAsia="Times New Roman"/>
          <w:lang w:eastAsia="en-GB"/>
        </w:rPr>
        <w:t xml:space="preserve"> This Application, having been filed before the withdrawal </w:t>
      </w:r>
      <w:r w:rsidR="00892881" w:rsidRPr="00474740">
        <w:rPr>
          <w:rFonts w:eastAsia="Times New Roman"/>
          <w:lang w:eastAsia="en-GB"/>
        </w:rPr>
        <w:t>took</w:t>
      </w:r>
      <w:r w:rsidR="0078698D" w:rsidRPr="00474740">
        <w:rPr>
          <w:rFonts w:eastAsia="Times New Roman"/>
          <w:lang w:eastAsia="en-GB"/>
        </w:rPr>
        <w:t xml:space="preserve"> effect, is thus not affected by it.</w:t>
      </w:r>
    </w:p>
    <w:p w14:paraId="457EDEEF" w14:textId="77777777" w:rsidR="0078698D" w:rsidRPr="00474740" w:rsidRDefault="0078698D" w:rsidP="006C1B0F">
      <w:pPr>
        <w:rPr>
          <w:rFonts w:eastAsia="Calibri"/>
        </w:rPr>
      </w:pPr>
    </w:p>
    <w:p w14:paraId="2F3B49D9" w14:textId="150451CC" w:rsidR="0078698D" w:rsidRPr="00474740" w:rsidRDefault="002F1114" w:rsidP="006C1B0F">
      <w:pPr>
        <w:rPr>
          <w:rFonts w:eastAsia="Calibri"/>
        </w:rPr>
      </w:pPr>
      <w:r>
        <w:rPr>
          <w:rFonts w:eastAsia="Calibri"/>
        </w:rPr>
        <w:t>T</w:t>
      </w:r>
      <w:r w:rsidR="0078698D" w:rsidRPr="00474740">
        <w:rPr>
          <w:rFonts w:eastAsia="Calibri"/>
        </w:rPr>
        <w:t>emporal jurisdiction</w:t>
      </w:r>
      <w:r>
        <w:rPr>
          <w:rFonts w:eastAsia="Calibri"/>
        </w:rPr>
        <w:t>,</w:t>
      </w:r>
      <w:r w:rsidR="0078698D" w:rsidRPr="00474740">
        <w:rPr>
          <w:rFonts w:eastAsia="Calibri"/>
        </w:rPr>
        <w:t xml:space="preserve"> given that the alleged violations took place after </w:t>
      </w:r>
      <w:r w:rsidR="00900B6B" w:rsidRPr="00474740">
        <w:rPr>
          <w:rFonts w:eastAsia="Calibri"/>
        </w:rPr>
        <w:t xml:space="preserve">the </w:t>
      </w:r>
      <w:r w:rsidR="0078698D" w:rsidRPr="00474740">
        <w:rPr>
          <w:rFonts w:eastAsia="Calibri"/>
        </w:rPr>
        <w:t xml:space="preserve">ratification of the Charter, the Protocol and </w:t>
      </w:r>
      <w:r w:rsidR="00900B6B" w:rsidRPr="00474740">
        <w:rPr>
          <w:rFonts w:eastAsia="Calibri"/>
        </w:rPr>
        <w:t xml:space="preserve">the </w:t>
      </w:r>
      <w:r w:rsidR="0078698D" w:rsidRPr="00474740">
        <w:rPr>
          <w:rFonts w:eastAsia="Calibri"/>
        </w:rPr>
        <w:t>depositing of the Declaration by the Respondent State</w:t>
      </w:r>
      <w:r w:rsidR="00900B6B" w:rsidRPr="00474740">
        <w:rPr>
          <w:rFonts w:eastAsia="Calibri"/>
        </w:rPr>
        <w:t>.</w:t>
      </w:r>
    </w:p>
    <w:p w14:paraId="108CC734" w14:textId="77777777" w:rsidR="0078698D" w:rsidRPr="00474740" w:rsidRDefault="0078698D" w:rsidP="006C1B0F">
      <w:pPr>
        <w:rPr>
          <w:rFonts w:eastAsia="Calibri"/>
        </w:rPr>
      </w:pPr>
    </w:p>
    <w:p w14:paraId="03C2C04E" w14:textId="69E8233D" w:rsidR="0078698D" w:rsidRPr="00474740" w:rsidRDefault="002F1114" w:rsidP="006C1B0F">
      <w:pPr>
        <w:rPr>
          <w:rFonts w:eastAsia="Calibri"/>
        </w:rPr>
      </w:pPr>
      <w:r>
        <w:rPr>
          <w:rFonts w:eastAsia="Calibri"/>
        </w:rPr>
        <w:t>T</w:t>
      </w:r>
      <w:r w:rsidR="0078698D" w:rsidRPr="00474740">
        <w:rPr>
          <w:rFonts w:eastAsia="Calibri"/>
        </w:rPr>
        <w:t>erritorial jurisdiction</w:t>
      </w:r>
      <w:r>
        <w:rPr>
          <w:rFonts w:eastAsia="Calibri"/>
        </w:rPr>
        <w:t>,</w:t>
      </w:r>
      <w:r w:rsidR="0078698D" w:rsidRPr="00474740">
        <w:rPr>
          <w:rFonts w:eastAsia="Calibri"/>
        </w:rPr>
        <w:t xml:space="preserve"> given that the facts on which the alleged violations are based occurred </w:t>
      </w:r>
      <w:r w:rsidR="00900B6B" w:rsidRPr="00474740">
        <w:rPr>
          <w:rFonts w:eastAsia="Calibri"/>
        </w:rPr>
        <w:t>i</w:t>
      </w:r>
      <w:r w:rsidR="0078698D" w:rsidRPr="00474740">
        <w:rPr>
          <w:rFonts w:eastAsia="Calibri"/>
        </w:rPr>
        <w:t>n the territory of the Respondent State.</w:t>
      </w:r>
    </w:p>
    <w:p w14:paraId="61581C78" w14:textId="77777777" w:rsidR="0078698D" w:rsidRPr="00474740" w:rsidRDefault="0078698D" w:rsidP="006C1B0F">
      <w:pPr>
        <w:rPr>
          <w:rFonts w:eastAsia="Calibri"/>
        </w:rPr>
      </w:pPr>
    </w:p>
    <w:p w14:paraId="0C4900E9" w14:textId="136175FF" w:rsidR="0078698D" w:rsidRPr="00474740" w:rsidRDefault="0078698D" w:rsidP="006C1B0F">
      <w:pPr>
        <w:rPr>
          <w:rFonts w:eastAsia="Calibri"/>
        </w:rPr>
      </w:pPr>
      <w:r w:rsidRPr="00474740">
        <w:rPr>
          <w:rFonts w:eastAsia="Calibri"/>
        </w:rPr>
        <w:t xml:space="preserve">In light of the above, the Court holds that it has jurisdiction to </w:t>
      </w:r>
      <w:r w:rsidR="002F1114">
        <w:rPr>
          <w:rFonts w:eastAsia="Calibri"/>
        </w:rPr>
        <w:t>hear</w:t>
      </w:r>
      <w:r w:rsidR="002F1114" w:rsidRPr="00474740">
        <w:rPr>
          <w:rFonts w:eastAsia="Calibri"/>
        </w:rPr>
        <w:t xml:space="preserve"> </w:t>
      </w:r>
      <w:r w:rsidRPr="00474740">
        <w:rPr>
          <w:rFonts w:eastAsia="Calibri"/>
        </w:rPr>
        <w:t xml:space="preserve">the </w:t>
      </w:r>
      <w:r w:rsidRPr="00474740">
        <w:t>present</w:t>
      </w:r>
      <w:r w:rsidRPr="00474740">
        <w:rPr>
          <w:rFonts w:eastAsia="Calibri"/>
        </w:rPr>
        <w:t xml:space="preserve"> Application. </w:t>
      </w:r>
    </w:p>
    <w:p w14:paraId="73FBCD76" w14:textId="77777777" w:rsidR="00B536E6" w:rsidRPr="00474740" w:rsidRDefault="00B536E6" w:rsidP="006C1B0F"/>
    <w:p w14:paraId="0862E1CB" w14:textId="77777777" w:rsidR="00626807" w:rsidRPr="00474740" w:rsidRDefault="00626807" w:rsidP="006C1B0F"/>
    <w:p w14:paraId="29034F1F" w14:textId="77777777" w:rsidR="00996BF3" w:rsidRPr="00474740" w:rsidRDefault="00996BF3" w:rsidP="006C1B0F">
      <w:bookmarkStart w:id="10" w:name="_Toc120713968"/>
      <w:r w:rsidRPr="00474740">
        <w:t>ADMISSIBILITY</w:t>
      </w:r>
      <w:bookmarkEnd w:id="10"/>
    </w:p>
    <w:p w14:paraId="7EFF171F" w14:textId="77777777" w:rsidR="00996BF3" w:rsidRPr="00474740" w:rsidRDefault="00996BF3" w:rsidP="006C1B0F"/>
    <w:p w14:paraId="13E6BB74" w14:textId="77777777" w:rsidR="0078698D" w:rsidRPr="00474740" w:rsidRDefault="0078698D" w:rsidP="006C1B0F">
      <w:pPr>
        <w:rPr>
          <w:rFonts w:eastAsia="Calibri"/>
        </w:rPr>
      </w:pPr>
      <w:r w:rsidRPr="00474740">
        <w:rPr>
          <w:rFonts w:eastAsia="Calibri"/>
        </w:rPr>
        <w:t xml:space="preserve">Pursuant to Article 6(2) of the Protocol, “The Court shall rule on the </w:t>
      </w:r>
      <w:r w:rsidRPr="00474740">
        <w:t>admissibility</w:t>
      </w:r>
      <w:r w:rsidRPr="00474740">
        <w:rPr>
          <w:rFonts w:eastAsia="Calibri"/>
        </w:rPr>
        <w:t xml:space="preserve"> of cases taking into account the provisions of Article 56 of the Charter”. </w:t>
      </w:r>
    </w:p>
    <w:p w14:paraId="15B217E0" w14:textId="77777777" w:rsidR="0078698D" w:rsidRPr="00474740" w:rsidRDefault="0078698D" w:rsidP="006C1B0F">
      <w:pPr>
        <w:rPr>
          <w:rFonts w:eastAsia="Calibri"/>
          <w:sz w:val="22"/>
          <w:szCs w:val="22"/>
        </w:rPr>
      </w:pPr>
    </w:p>
    <w:p w14:paraId="6C4AB1D5" w14:textId="3D00BDC2" w:rsidR="0078698D" w:rsidRPr="00474740" w:rsidRDefault="0078698D" w:rsidP="006C1B0F">
      <w:pPr>
        <w:rPr>
          <w:rFonts w:eastAsia="Calibri"/>
          <w:iCs/>
        </w:rPr>
      </w:pPr>
      <w:r w:rsidRPr="00474740">
        <w:rPr>
          <w:rFonts w:eastAsia="Calibri"/>
          <w:iCs/>
        </w:rPr>
        <w:t>In line with Rule 50(1) of the Rules, “the Court shall ascertain the admissibility of an Application filed before it in accordance with Article 56 of the Charter, Article 6 (2) of the Protocol and these Rules.”</w:t>
      </w:r>
    </w:p>
    <w:p w14:paraId="089520D5" w14:textId="77777777" w:rsidR="0078698D" w:rsidRPr="00474740" w:rsidRDefault="0078698D" w:rsidP="006C1B0F">
      <w:pPr>
        <w:rPr>
          <w:rFonts w:eastAsia="Calibri"/>
          <w:sz w:val="22"/>
          <w:szCs w:val="22"/>
        </w:rPr>
      </w:pPr>
      <w:r w:rsidRPr="00474740">
        <w:rPr>
          <w:rFonts w:eastAsia="Calibri"/>
          <w:sz w:val="22"/>
          <w:szCs w:val="22"/>
        </w:rPr>
        <w:t xml:space="preserve"> </w:t>
      </w:r>
    </w:p>
    <w:p w14:paraId="5C1946F2" w14:textId="77777777" w:rsidR="0078698D" w:rsidRPr="00474740" w:rsidRDefault="0078698D" w:rsidP="006C1B0F">
      <w:pPr>
        <w:rPr>
          <w:rFonts w:eastAsia="Calibri"/>
        </w:rPr>
      </w:pPr>
      <w:r w:rsidRPr="00474740">
        <w:rPr>
          <w:rFonts w:eastAsia="Calibri"/>
          <w:bCs/>
        </w:rPr>
        <w:t>The Court notes that Rule</w:t>
      </w:r>
      <w:r w:rsidRPr="00474740">
        <w:rPr>
          <w:rFonts w:eastAsia="Calibri"/>
        </w:rPr>
        <w:t xml:space="preserve"> 50(2) of the Rules, which in substance restates the </w:t>
      </w:r>
      <w:r w:rsidRPr="00474740">
        <w:t>provisions</w:t>
      </w:r>
      <w:r w:rsidRPr="00474740">
        <w:rPr>
          <w:rFonts w:eastAsia="Calibri"/>
        </w:rPr>
        <w:t xml:space="preserve"> of Article 56 of the Charter, provides as follows: </w:t>
      </w:r>
    </w:p>
    <w:p w14:paraId="50C39B43" w14:textId="77777777" w:rsidR="0078698D" w:rsidRPr="00474740" w:rsidRDefault="0078698D" w:rsidP="006C1B0F">
      <w:pPr>
        <w:rPr>
          <w:rFonts w:eastAsia="Calibri"/>
          <w:sz w:val="22"/>
          <w:szCs w:val="22"/>
        </w:rPr>
      </w:pPr>
    </w:p>
    <w:p w14:paraId="7B284203" w14:textId="77777777" w:rsidR="0078698D" w:rsidRPr="00474740" w:rsidRDefault="0078698D" w:rsidP="006C1B0F">
      <w:pPr>
        <w:rPr>
          <w:rFonts w:eastAsia="Calibri"/>
          <w:sz w:val="22"/>
          <w:szCs w:val="22"/>
        </w:rPr>
      </w:pPr>
      <w:r w:rsidRPr="00474740">
        <w:rPr>
          <w:rFonts w:eastAsia="Calibri"/>
          <w:sz w:val="22"/>
          <w:szCs w:val="22"/>
        </w:rPr>
        <w:t>Applications filed before the Court shall comply with all of the following conditions:</w:t>
      </w:r>
    </w:p>
    <w:p w14:paraId="527963C7" w14:textId="77777777" w:rsidR="0078698D" w:rsidRPr="00474740" w:rsidRDefault="0078698D" w:rsidP="006C1B0F">
      <w:pPr>
        <w:rPr>
          <w:rFonts w:eastAsia="Calibri"/>
          <w:sz w:val="22"/>
          <w:szCs w:val="22"/>
        </w:rPr>
      </w:pPr>
      <w:r w:rsidRPr="00474740">
        <w:rPr>
          <w:rFonts w:eastAsia="Calibri"/>
          <w:sz w:val="22"/>
          <w:szCs w:val="22"/>
        </w:rPr>
        <w:t>Indicate their authors even if the latter request anonymity;</w:t>
      </w:r>
    </w:p>
    <w:p w14:paraId="15F59858" w14:textId="77777777" w:rsidR="0078698D" w:rsidRPr="00474740" w:rsidRDefault="0078698D" w:rsidP="006C1B0F">
      <w:pPr>
        <w:rPr>
          <w:rFonts w:eastAsia="Calibri"/>
          <w:sz w:val="22"/>
          <w:szCs w:val="22"/>
        </w:rPr>
      </w:pPr>
      <w:r w:rsidRPr="00474740">
        <w:rPr>
          <w:rFonts w:eastAsia="Calibri"/>
          <w:sz w:val="22"/>
          <w:szCs w:val="22"/>
        </w:rPr>
        <w:t xml:space="preserve">Are compatible with the Constitutive Act of the African Union and with the Charter; </w:t>
      </w:r>
    </w:p>
    <w:p w14:paraId="09E233A6" w14:textId="77777777" w:rsidR="0078698D" w:rsidRPr="00474740" w:rsidRDefault="0078698D" w:rsidP="006C1B0F">
      <w:pPr>
        <w:rPr>
          <w:rFonts w:eastAsia="Calibri"/>
          <w:sz w:val="22"/>
          <w:szCs w:val="22"/>
        </w:rPr>
      </w:pPr>
      <w:r w:rsidRPr="00474740">
        <w:rPr>
          <w:rFonts w:eastAsia="Calibri"/>
          <w:sz w:val="22"/>
          <w:szCs w:val="22"/>
        </w:rPr>
        <w:t>Are not written in disparaging or insulting language directed against the State concerned and its institutions or the African Union;</w:t>
      </w:r>
    </w:p>
    <w:p w14:paraId="45E42C50" w14:textId="77777777" w:rsidR="0078698D" w:rsidRPr="00474740" w:rsidRDefault="0078698D" w:rsidP="006C1B0F">
      <w:pPr>
        <w:rPr>
          <w:rFonts w:eastAsia="Calibri"/>
          <w:sz w:val="22"/>
          <w:szCs w:val="22"/>
        </w:rPr>
      </w:pPr>
      <w:r w:rsidRPr="00474740">
        <w:rPr>
          <w:rFonts w:eastAsia="Calibri"/>
          <w:sz w:val="22"/>
          <w:szCs w:val="22"/>
        </w:rPr>
        <w:t>Are not based exclusively on news disseminated through the mass media;</w:t>
      </w:r>
    </w:p>
    <w:p w14:paraId="5D84DE10" w14:textId="77777777" w:rsidR="0078698D" w:rsidRPr="00474740" w:rsidRDefault="0078698D" w:rsidP="006C1B0F">
      <w:pPr>
        <w:rPr>
          <w:rFonts w:eastAsia="Calibri"/>
          <w:sz w:val="22"/>
          <w:szCs w:val="22"/>
        </w:rPr>
      </w:pPr>
      <w:r w:rsidRPr="00474740">
        <w:rPr>
          <w:rFonts w:eastAsia="Calibri"/>
          <w:sz w:val="22"/>
          <w:szCs w:val="22"/>
        </w:rPr>
        <w:t>Are sent after exhausting local remedies, if any, unless it is obvious that this procedure is unduly prolonged;</w:t>
      </w:r>
    </w:p>
    <w:p w14:paraId="4D480652" w14:textId="6B4A2712" w:rsidR="0078698D" w:rsidRPr="00474740" w:rsidRDefault="0078698D" w:rsidP="006C1B0F">
      <w:pPr>
        <w:rPr>
          <w:rFonts w:eastAsia="Calibri"/>
          <w:sz w:val="22"/>
          <w:szCs w:val="22"/>
        </w:rPr>
      </w:pPr>
      <w:r w:rsidRPr="00474740">
        <w:rPr>
          <w:rFonts w:eastAsia="Calibri"/>
          <w:sz w:val="22"/>
          <w:szCs w:val="22"/>
        </w:rPr>
        <w:t xml:space="preserve">Are submitted within a reasonable time from the date local remedies were exhausted or from the date set by the Court as being the commencement of the time limit within which it shall be </w:t>
      </w:r>
      <w:r w:rsidR="00373E12" w:rsidRPr="00474740">
        <w:rPr>
          <w:rFonts w:eastAsia="Calibri"/>
          <w:sz w:val="22"/>
          <w:szCs w:val="22"/>
        </w:rPr>
        <w:t>seized</w:t>
      </w:r>
      <w:r w:rsidRPr="00474740">
        <w:rPr>
          <w:rFonts w:eastAsia="Calibri"/>
          <w:sz w:val="22"/>
          <w:szCs w:val="22"/>
        </w:rPr>
        <w:t xml:space="preserve"> with the matter; and</w:t>
      </w:r>
    </w:p>
    <w:p w14:paraId="5F2750F4" w14:textId="77777777" w:rsidR="0078698D" w:rsidRPr="00474740" w:rsidRDefault="0078698D" w:rsidP="006C1B0F">
      <w:pPr>
        <w:rPr>
          <w:rFonts w:eastAsia="Calibri"/>
          <w:sz w:val="22"/>
          <w:szCs w:val="22"/>
        </w:rPr>
      </w:pPr>
      <w:r w:rsidRPr="00474740">
        <w:rPr>
          <w:rFonts w:eastAsia="Calibri"/>
          <w:sz w:val="22"/>
          <w:szCs w:val="22"/>
        </w:rPr>
        <w:t>Do not deal with cases which have been settled by those States involved in accordance with the principles of the Charter of the United Nations, or the Constitutive Act of African Union or the provisions of the Charter.</w:t>
      </w:r>
    </w:p>
    <w:p w14:paraId="02598054" w14:textId="0CBE7561" w:rsidR="0078698D" w:rsidRPr="00474740" w:rsidRDefault="0078698D" w:rsidP="006C1B0F">
      <w:pPr>
        <w:rPr>
          <w:rFonts w:eastAsia="Calibri"/>
        </w:rPr>
      </w:pPr>
    </w:p>
    <w:p w14:paraId="01A9B986" w14:textId="46966CC4" w:rsidR="00531CE9" w:rsidRPr="00474740" w:rsidRDefault="00531CE9" w:rsidP="006C1B0F">
      <w:pPr>
        <w:rPr>
          <w:rFonts w:eastAsia="Calibri"/>
        </w:rPr>
      </w:pPr>
      <w:r w:rsidRPr="00474740">
        <w:rPr>
          <w:rFonts w:eastAsia="Calibri"/>
          <w:bCs/>
        </w:rPr>
        <w:t>The Court notes that the Respondent State raises three objections to the admissibility of the Application. The Court will</w:t>
      </w:r>
      <w:r w:rsidR="002E26DA" w:rsidRPr="00474740">
        <w:rPr>
          <w:rFonts w:eastAsia="Calibri"/>
          <w:bCs/>
        </w:rPr>
        <w:t>,</w:t>
      </w:r>
      <w:r w:rsidRPr="00474740">
        <w:rPr>
          <w:rFonts w:eastAsia="Calibri"/>
          <w:bCs/>
        </w:rPr>
        <w:t xml:space="preserve"> therefore</w:t>
      </w:r>
      <w:r w:rsidR="002E26DA" w:rsidRPr="00474740">
        <w:rPr>
          <w:rFonts w:eastAsia="Calibri"/>
          <w:bCs/>
        </w:rPr>
        <w:t>,</w:t>
      </w:r>
      <w:r w:rsidRPr="00474740">
        <w:rPr>
          <w:rFonts w:eastAsia="Calibri"/>
          <w:bCs/>
        </w:rPr>
        <w:t xml:space="preserve"> consider </w:t>
      </w:r>
      <w:r w:rsidR="000B6551" w:rsidRPr="00474740">
        <w:rPr>
          <w:rFonts w:eastAsia="Calibri"/>
          <w:bCs/>
        </w:rPr>
        <w:t xml:space="preserve">first </w:t>
      </w:r>
      <w:r w:rsidR="000B6551" w:rsidRPr="00474740">
        <w:rPr>
          <w:rFonts w:eastAsia="Calibri"/>
        </w:rPr>
        <w:t>(A)</w:t>
      </w:r>
      <w:r w:rsidR="000B6551" w:rsidRPr="00474740">
        <w:rPr>
          <w:rFonts w:eastAsia="Calibri"/>
          <w:bCs/>
        </w:rPr>
        <w:t xml:space="preserve"> </w:t>
      </w:r>
      <w:r w:rsidRPr="00474740">
        <w:rPr>
          <w:rFonts w:eastAsia="Calibri"/>
          <w:bCs/>
        </w:rPr>
        <w:t>the said objections</w:t>
      </w:r>
      <w:r w:rsidR="002E26DA" w:rsidRPr="00474740">
        <w:rPr>
          <w:rFonts w:eastAsia="Calibri"/>
          <w:bCs/>
        </w:rPr>
        <w:t>,</w:t>
      </w:r>
      <w:r w:rsidRPr="00474740">
        <w:rPr>
          <w:rFonts w:eastAsia="Calibri"/>
          <w:bCs/>
        </w:rPr>
        <w:t xml:space="preserve"> </w:t>
      </w:r>
      <w:r w:rsidR="00C15514" w:rsidRPr="00474740">
        <w:rPr>
          <w:rFonts w:eastAsia="Calibri"/>
        </w:rPr>
        <w:t xml:space="preserve">and then </w:t>
      </w:r>
      <w:r w:rsidRPr="00474740">
        <w:rPr>
          <w:rFonts w:eastAsia="Calibri"/>
          <w:bCs/>
        </w:rPr>
        <w:t>examin</w:t>
      </w:r>
      <w:r w:rsidR="00C15514" w:rsidRPr="00474740">
        <w:rPr>
          <w:rFonts w:eastAsia="Calibri"/>
        </w:rPr>
        <w:t>e</w:t>
      </w:r>
      <w:r w:rsidRPr="00474740">
        <w:rPr>
          <w:rFonts w:eastAsia="Calibri"/>
          <w:bCs/>
        </w:rPr>
        <w:t xml:space="preserve"> </w:t>
      </w:r>
      <w:r w:rsidR="00C15514" w:rsidRPr="00474740">
        <w:rPr>
          <w:rFonts w:eastAsia="Calibri"/>
        </w:rPr>
        <w:t>(B)</w:t>
      </w:r>
      <w:r w:rsidR="00C15514" w:rsidRPr="00474740">
        <w:rPr>
          <w:rFonts w:eastAsia="Calibri"/>
          <w:bCs/>
        </w:rPr>
        <w:t xml:space="preserve"> </w:t>
      </w:r>
      <w:r w:rsidRPr="00474740">
        <w:rPr>
          <w:rFonts w:eastAsia="Calibri"/>
          <w:bCs/>
        </w:rPr>
        <w:t>other conditions of admissibility</w:t>
      </w:r>
      <w:r w:rsidR="00C15514" w:rsidRPr="00474740">
        <w:rPr>
          <w:rFonts w:eastAsia="Calibri"/>
          <w:bCs/>
        </w:rPr>
        <w:t xml:space="preserve">, </w:t>
      </w:r>
      <w:r w:rsidR="00C15514" w:rsidRPr="00474740">
        <w:rPr>
          <w:rFonts w:eastAsia="Calibri"/>
        </w:rPr>
        <w:t>as applicable</w:t>
      </w:r>
      <w:r w:rsidRPr="00474740">
        <w:rPr>
          <w:rFonts w:eastAsia="Calibri"/>
        </w:rPr>
        <w:t xml:space="preserve">. </w:t>
      </w:r>
    </w:p>
    <w:p w14:paraId="7609E585" w14:textId="77777777" w:rsidR="00531CE9" w:rsidRPr="00474740" w:rsidRDefault="00531CE9" w:rsidP="006C1B0F">
      <w:pPr>
        <w:rPr>
          <w:rFonts w:eastAsia="Calibri"/>
          <w:b/>
        </w:rPr>
      </w:pPr>
    </w:p>
    <w:p w14:paraId="2049EE7F" w14:textId="77777777" w:rsidR="0078698D" w:rsidRPr="00474740" w:rsidRDefault="0078698D" w:rsidP="006C1B0F">
      <w:pPr>
        <w:rPr>
          <w:rFonts w:eastAsia="Times New Roman"/>
          <w:lang w:val="en-US"/>
        </w:rPr>
      </w:pPr>
      <w:bookmarkStart w:id="11" w:name="_Toc84052388"/>
      <w:bookmarkStart w:id="12" w:name="_Toc120713969"/>
      <w:bookmarkStart w:id="13" w:name="_Toc75425018"/>
      <w:bookmarkStart w:id="14" w:name="_Toc79588203"/>
      <w:bookmarkStart w:id="15" w:name="_Toc83390654"/>
      <w:bookmarkStart w:id="16" w:name="_Toc51852442"/>
      <w:r w:rsidRPr="00474740">
        <w:rPr>
          <w:rFonts w:eastAsia="Times New Roman"/>
          <w:lang w:val="en-US"/>
        </w:rPr>
        <w:t>Objections to the admissibility of the Application</w:t>
      </w:r>
      <w:bookmarkEnd w:id="11"/>
      <w:bookmarkEnd w:id="12"/>
    </w:p>
    <w:bookmarkEnd w:id="13"/>
    <w:bookmarkEnd w:id="14"/>
    <w:bookmarkEnd w:id="15"/>
    <w:p w14:paraId="4F4F40D3" w14:textId="270740B2" w:rsidR="0078698D" w:rsidRPr="00474740" w:rsidRDefault="00056BAC" w:rsidP="006C1B0F">
      <w:pPr>
        <w:rPr>
          <w:rFonts w:eastAsia="Calibri"/>
        </w:rPr>
      </w:pPr>
      <w:r w:rsidRPr="00474740">
        <w:rPr>
          <w:rFonts w:eastAsia="Calibri"/>
        </w:rPr>
        <w:t xml:space="preserve"> </w:t>
      </w:r>
      <w:bookmarkEnd w:id="16"/>
    </w:p>
    <w:p w14:paraId="2A99157B" w14:textId="65F3EDD9" w:rsidR="0078698D" w:rsidRPr="00474740" w:rsidRDefault="0078698D" w:rsidP="006C1B0F">
      <w:pPr>
        <w:rPr>
          <w:rFonts w:eastAsia="Calibri"/>
        </w:rPr>
      </w:pPr>
      <w:r w:rsidRPr="00474740">
        <w:rPr>
          <w:rFonts w:eastAsia="Calibri"/>
        </w:rPr>
        <w:t>The Respondent State raise</w:t>
      </w:r>
      <w:r w:rsidR="00B536E6" w:rsidRPr="00474740">
        <w:rPr>
          <w:rFonts w:eastAsia="Calibri"/>
        </w:rPr>
        <w:t>s</w:t>
      </w:r>
      <w:r w:rsidRPr="00474740">
        <w:rPr>
          <w:rFonts w:eastAsia="Calibri"/>
        </w:rPr>
        <w:t xml:space="preserve"> three objections to the admissibility of the </w:t>
      </w:r>
      <w:r w:rsidRPr="00474740">
        <w:t>Application</w:t>
      </w:r>
      <w:r w:rsidRPr="00474740">
        <w:rPr>
          <w:rFonts w:eastAsia="Calibri"/>
        </w:rPr>
        <w:t xml:space="preserve">. </w:t>
      </w:r>
      <w:r w:rsidR="004578C9" w:rsidRPr="00474740">
        <w:rPr>
          <w:rFonts w:eastAsia="Calibri"/>
        </w:rPr>
        <w:t>The first objection relates to</w:t>
      </w:r>
      <w:r w:rsidR="00563CD0" w:rsidRPr="00474740">
        <w:rPr>
          <w:rFonts w:eastAsia="Calibri"/>
        </w:rPr>
        <w:t xml:space="preserve"> the contention that similar applications are already pending </w:t>
      </w:r>
      <w:r w:rsidR="00B536E6" w:rsidRPr="00474740">
        <w:rPr>
          <w:rFonts w:eastAsia="Calibri"/>
        </w:rPr>
        <w:t xml:space="preserve">before </w:t>
      </w:r>
      <w:r w:rsidR="00563CD0" w:rsidRPr="00474740">
        <w:rPr>
          <w:rFonts w:eastAsia="Calibri"/>
        </w:rPr>
        <w:t>the ACERWC and the East African Court of Justice</w:t>
      </w:r>
      <w:r w:rsidR="004578C9" w:rsidRPr="00474740">
        <w:rPr>
          <w:rFonts w:eastAsia="Calibri"/>
        </w:rPr>
        <w:t xml:space="preserve">. </w:t>
      </w:r>
      <w:r w:rsidRPr="00474740">
        <w:rPr>
          <w:rFonts w:eastAsia="Calibri"/>
        </w:rPr>
        <w:t xml:space="preserve">The </w:t>
      </w:r>
      <w:r w:rsidR="004578C9" w:rsidRPr="00474740">
        <w:rPr>
          <w:rFonts w:eastAsia="Calibri"/>
        </w:rPr>
        <w:t>second</w:t>
      </w:r>
      <w:r w:rsidRPr="00474740">
        <w:rPr>
          <w:rFonts w:eastAsia="Calibri"/>
        </w:rPr>
        <w:t xml:space="preserve"> objection relates to the requirement of exhaustion of local remedies and the </w:t>
      </w:r>
      <w:r w:rsidR="004578C9" w:rsidRPr="00474740">
        <w:rPr>
          <w:rFonts w:eastAsia="Calibri"/>
        </w:rPr>
        <w:t>third</w:t>
      </w:r>
      <w:r w:rsidRPr="00474740">
        <w:rPr>
          <w:rFonts w:eastAsia="Calibri"/>
        </w:rPr>
        <w:t xml:space="preserve"> </w:t>
      </w:r>
      <w:r w:rsidR="00E37F30" w:rsidRPr="00474740">
        <w:rPr>
          <w:rFonts w:eastAsia="Calibri"/>
        </w:rPr>
        <w:t>one</w:t>
      </w:r>
      <w:r w:rsidR="004578C9" w:rsidRPr="00474740">
        <w:rPr>
          <w:rFonts w:eastAsia="Calibri"/>
        </w:rPr>
        <w:t xml:space="preserve"> </w:t>
      </w:r>
      <w:r w:rsidR="00B536E6" w:rsidRPr="00474740">
        <w:rPr>
          <w:rFonts w:eastAsia="Calibri"/>
        </w:rPr>
        <w:t xml:space="preserve">concerns the question </w:t>
      </w:r>
      <w:r w:rsidRPr="00474740">
        <w:rPr>
          <w:rFonts w:eastAsia="Calibri"/>
        </w:rPr>
        <w:t>whether the Application was filed within a reasonable time.</w:t>
      </w:r>
    </w:p>
    <w:p w14:paraId="5FE5EA83" w14:textId="3AB846A7" w:rsidR="00946ABC" w:rsidRPr="00474740" w:rsidRDefault="00946ABC" w:rsidP="006C1B0F"/>
    <w:p w14:paraId="02B4618C" w14:textId="314E6D45" w:rsidR="00242A31" w:rsidRPr="00474740" w:rsidRDefault="00C15514" w:rsidP="006C1B0F">
      <w:pPr>
        <w:rPr>
          <w:lang w:eastAsia="en-GB"/>
        </w:rPr>
      </w:pPr>
      <w:r w:rsidRPr="00474740">
        <w:rPr>
          <w:bCs/>
          <w:lang w:eastAsia="en-GB"/>
        </w:rPr>
        <w:t>Concerning</w:t>
      </w:r>
      <w:r w:rsidRPr="00474740">
        <w:rPr>
          <w:lang w:eastAsia="en-GB"/>
        </w:rPr>
        <w:t xml:space="preserve"> </w:t>
      </w:r>
      <w:r w:rsidR="00373E12" w:rsidRPr="00474740">
        <w:rPr>
          <w:lang w:eastAsia="en-GB"/>
        </w:rPr>
        <w:t>the first objection, t</w:t>
      </w:r>
      <w:r w:rsidR="00946ABC" w:rsidRPr="00474740">
        <w:rPr>
          <w:lang w:eastAsia="en-GB"/>
        </w:rPr>
        <w:t xml:space="preserve">he Respondent State </w:t>
      </w:r>
      <w:r w:rsidR="00242A31" w:rsidRPr="00474740">
        <w:rPr>
          <w:lang w:eastAsia="en-GB"/>
        </w:rPr>
        <w:t xml:space="preserve">contends that a </w:t>
      </w:r>
      <w:r w:rsidR="00242A31" w:rsidRPr="00474740">
        <w:t>communication</w:t>
      </w:r>
      <w:r w:rsidR="00242A31" w:rsidRPr="00474740">
        <w:rPr>
          <w:lang w:eastAsia="en-GB"/>
        </w:rPr>
        <w:t xml:space="preserve"> which raises similar allegations to the instant Application ha</w:t>
      </w:r>
      <w:r w:rsidR="00B536E6" w:rsidRPr="00474740">
        <w:rPr>
          <w:lang w:eastAsia="en-GB"/>
        </w:rPr>
        <w:t>d</w:t>
      </w:r>
      <w:r w:rsidR="00242A31" w:rsidRPr="00474740">
        <w:rPr>
          <w:lang w:eastAsia="en-GB"/>
        </w:rPr>
        <w:t xml:space="preserve"> been filed before the ACERWC, namely</w:t>
      </w:r>
      <w:r w:rsidR="00820D21">
        <w:rPr>
          <w:lang w:eastAsia="en-GB"/>
        </w:rPr>
        <w:t>,</w:t>
      </w:r>
      <w:r w:rsidR="00242A31" w:rsidRPr="00474740">
        <w:rPr>
          <w:lang w:eastAsia="en-GB"/>
        </w:rPr>
        <w:t xml:space="preserve"> </w:t>
      </w:r>
      <w:r w:rsidR="00242A31" w:rsidRPr="00474740">
        <w:rPr>
          <w:i/>
          <w:iCs/>
          <w:lang w:eastAsia="en-GB"/>
        </w:rPr>
        <w:t xml:space="preserve">Communication No: 0012/Com/001/2019 in the matter between Legal and Human </w:t>
      </w:r>
      <w:r w:rsidR="00242A31" w:rsidRPr="00474740">
        <w:rPr>
          <w:i/>
          <w:iCs/>
          <w:lang w:eastAsia="en-GB"/>
        </w:rPr>
        <w:lastRenderedPageBreak/>
        <w:t>Rights Centre and Centre for Reproductive Rights (on behalf of Tanzanian girls) against the United Republic of Tanzania</w:t>
      </w:r>
      <w:r w:rsidR="00242A31" w:rsidRPr="00474740">
        <w:rPr>
          <w:lang w:eastAsia="en-GB"/>
        </w:rPr>
        <w:t xml:space="preserve">. </w:t>
      </w:r>
    </w:p>
    <w:p w14:paraId="65EC057F" w14:textId="77777777" w:rsidR="00242A31" w:rsidRPr="00474740" w:rsidRDefault="00242A31" w:rsidP="006C1B0F">
      <w:pPr>
        <w:rPr>
          <w:lang w:eastAsia="en-GB"/>
        </w:rPr>
      </w:pPr>
    </w:p>
    <w:p w14:paraId="718FCCF4" w14:textId="51556045" w:rsidR="00242A31" w:rsidRPr="00474740" w:rsidRDefault="00242A31" w:rsidP="006C1B0F">
      <w:pPr>
        <w:rPr>
          <w:lang w:eastAsia="en-GB"/>
        </w:rPr>
      </w:pPr>
      <w:r w:rsidRPr="00474740">
        <w:rPr>
          <w:lang w:eastAsia="en-GB"/>
        </w:rPr>
        <w:t xml:space="preserve">The </w:t>
      </w:r>
      <w:r w:rsidRPr="00474740">
        <w:t>Respondent</w:t>
      </w:r>
      <w:r w:rsidRPr="00474740">
        <w:rPr>
          <w:lang w:eastAsia="en-GB"/>
        </w:rPr>
        <w:t xml:space="preserve"> State submits that th</w:t>
      </w:r>
      <w:r w:rsidR="00E37F30" w:rsidRPr="00474740">
        <w:rPr>
          <w:lang w:eastAsia="en-GB"/>
        </w:rPr>
        <w:t>e</w:t>
      </w:r>
      <w:r w:rsidRPr="00474740">
        <w:rPr>
          <w:lang w:eastAsia="en-GB"/>
        </w:rPr>
        <w:t xml:space="preserve"> communication </w:t>
      </w:r>
      <w:r w:rsidR="00E37F30" w:rsidRPr="00474740">
        <w:rPr>
          <w:lang w:eastAsia="en-GB"/>
        </w:rPr>
        <w:t xml:space="preserve">before the ACERWC </w:t>
      </w:r>
      <w:r w:rsidRPr="00474740">
        <w:rPr>
          <w:lang w:eastAsia="en-GB"/>
        </w:rPr>
        <w:t>raises allegations with respect to the right to education and non-discrimination as protected by the Charter and other regional and international instruments, including the African Children</w:t>
      </w:r>
      <w:r w:rsidR="00AE7C00" w:rsidRPr="00474740">
        <w:rPr>
          <w:lang w:eastAsia="en-GB"/>
        </w:rPr>
        <w:t>’</w:t>
      </w:r>
      <w:r w:rsidRPr="00474740">
        <w:rPr>
          <w:lang w:eastAsia="en-GB"/>
        </w:rPr>
        <w:t xml:space="preserve">s Charter. The Respondent State refers to some of the allegations in the said communication, including </w:t>
      </w:r>
      <w:r w:rsidR="005A0DA2" w:rsidRPr="00474740">
        <w:rPr>
          <w:lang w:eastAsia="en-GB"/>
        </w:rPr>
        <w:t xml:space="preserve">the allegation </w:t>
      </w:r>
      <w:r w:rsidRPr="00474740">
        <w:rPr>
          <w:lang w:eastAsia="en-GB"/>
        </w:rPr>
        <w:t>that girls in primary and secondary school w</w:t>
      </w:r>
      <w:r w:rsidR="005A0DA2" w:rsidRPr="00474740">
        <w:rPr>
          <w:lang w:eastAsia="en-GB"/>
        </w:rPr>
        <w:t>h</w:t>
      </w:r>
      <w:r w:rsidRPr="00474740">
        <w:rPr>
          <w:lang w:eastAsia="en-GB"/>
        </w:rPr>
        <w:t xml:space="preserve">o are found to be pregnant are expelled from school with no possibility of re-admission. </w:t>
      </w:r>
    </w:p>
    <w:p w14:paraId="33ADF049" w14:textId="77777777" w:rsidR="005A0DA2" w:rsidRPr="00474740" w:rsidRDefault="005A0DA2" w:rsidP="006C1B0F">
      <w:pPr>
        <w:rPr>
          <w:lang w:eastAsia="en-GB"/>
        </w:rPr>
      </w:pPr>
    </w:p>
    <w:p w14:paraId="37DF6219" w14:textId="322ECA26" w:rsidR="005A0DA2" w:rsidRPr="00474740" w:rsidRDefault="005A0DA2" w:rsidP="006C1B0F">
      <w:pPr>
        <w:rPr>
          <w:lang w:eastAsia="en-GB"/>
        </w:rPr>
      </w:pPr>
      <w:r w:rsidRPr="00474740">
        <w:t>Furthermore</w:t>
      </w:r>
      <w:r w:rsidRPr="00474740">
        <w:rPr>
          <w:lang w:eastAsia="en-GB"/>
        </w:rPr>
        <w:t xml:space="preserve">, the Respondent State refers to another Application instituted before the East African Court of Justice, namely </w:t>
      </w:r>
      <w:r w:rsidRPr="00474740">
        <w:rPr>
          <w:i/>
          <w:iCs/>
          <w:lang w:eastAsia="en-GB"/>
        </w:rPr>
        <w:t xml:space="preserve">Reference No. 10 of 2020 Inclusive Development for Citizens and Center for Strategic Litigation versus the Attorney General of the United Republic of Tanzania, </w:t>
      </w:r>
      <w:r w:rsidRPr="00474740">
        <w:rPr>
          <w:lang w:eastAsia="en-GB"/>
        </w:rPr>
        <w:t xml:space="preserve">which it claims also raises similar allegations to the instant Application. </w:t>
      </w:r>
    </w:p>
    <w:p w14:paraId="0E9C63F0" w14:textId="77777777" w:rsidR="005A0DA2" w:rsidRPr="00474740" w:rsidRDefault="005A0DA2" w:rsidP="006C1B0F">
      <w:pPr>
        <w:rPr>
          <w:lang w:eastAsia="en-GB"/>
        </w:rPr>
      </w:pPr>
    </w:p>
    <w:p w14:paraId="41F2C36A" w14:textId="0A08904A" w:rsidR="005A0DA2" w:rsidRPr="00474740" w:rsidRDefault="005A0DA2" w:rsidP="006C1B0F">
      <w:pPr>
        <w:rPr>
          <w:lang w:eastAsia="en-GB"/>
        </w:rPr>
      </w:pPr>
      <w:r w:rsidRPr="00474740">
        <w:rPr>
          <w:lang w:eastAsia="en-GB"/>
        </w:rPr>
        <w:t xml:space="preserve">The </w:t>
      </w:r>
      <w:r w:rsidRPr="00474740">
        <w:t>Respondent</w:t>
      </w:r>
      <w:r w:rsidRPr="00474740">
        <w:rPr>
          <w:lang w:eastAsia="en-GB"/>
        </w:rPr>
        <w:t xml:space="preserve"> State argues that under the circumstances</w:t>
      </w:r>
      <w:r w:rsidR="001E4B8C">
        <w:rPr>
          <w:lang w:eastAsia="en-GB"/>
        </w:rPr>
        <w:t>,</w:t>
      </w:r>
      <w:r w:rsidRPr="00474740">
        <w:rPr>
          <w:lang w:eastAsia="en-GB"/>
        </w:rPr>
        <w:t xml:space="preserve"> the instant Application cannot be admissible as similar allegation</w:t>
      </w:r>
      <w:r w:rsidR="00A51BBC" w:rsidRPr="00474740">
        <w:rPr>
          <w:lang w:eastAsia="en-GB"/>
        </w:rPr>
        <w:t>s</w:t>
      </w:r>
      <w:r w:rsidRPr="00474740">
        <w:rPr>
          <w:lang w:eastAsia="en-GB"/>
        </w:rPr>
        <w:t xml:space="preserve"> have been raised and are awaiting determination before another international forum with jurisdiction to determine it. The Respondent State submits that </w:t>
      </w:r>
      <w:r w:rsidR="00A51BBC" w:rsidRPr="00474740">
        <w:rPr>
          <w:lang w:eastAsia="en-GB"/>
        </w:rPr>
        <w:t xml:space="preserve">this </w:t>
      </w:r>
      <w:r w:rsidRPr="00474740">
        <w:rPr>
          <w:lang w:eastAsia="en-GB"/>
        </w:rPr>
        <w:t xml:space="preserve">Application is a fit case to apply the doctrine of </w:t>
      </w:r>
      <w:r w:rsidRPr="00474740">
        <w:rPr>
          <w:i/>
          <w:iCs/>
          <w:lang w:eastAsia="en-GB"/>
        </w:rPr>
        <w:t xml:space="preserve">res subjudice </w:t>
      </w:r>
      <w:r w:rsidRPr="00474740">
        <w:rPr>
          <w:lang w:eastAsia="en-GB"/>
        </w:rPr>
        <w:t>so as to prohibit two international courts of competent jurisdiction to simultaneously determine a matter raising similar allegations.</w:t>
      </w:r>
    </w:p>
    <w:p w14:paraId="7EF33922" w14:textId="3AB1AE73" w:rsidR="00BD4784" w:rsidRPr="00474740" w:rsidRDefault="00BD4784" w:rsidP="006C1B0F">
      <w:pPr>
        <w:rPr>
          <w:lang w:eastAsia="en-GB"/>
        </w:rPr>
      </w:pPr>
    </w:p>
    <w:p w14:paraId="4D7E3D3B" w14:textId="3C9F6936" w:rsidR="00AB1C6E" w:rsidRPr="00474740" w:rsidRDefault="00AB1C6E" w:rsidP="006C1B0F">
      <w:pPr>
        <w:rPr>
          <w:lang w:eastAsia="en-GB"/>
        </w:rPr>
      </w:pPr>
      <w:r w:rsidRPr="00474740">
        <w:rPr>
          <w:lang w:eastAsia="en-GB"/>
        </w:rPr>
        <w:t>*</w:t>
      </w:r>
    </w:p>
    <w:p w14:paraId="4A941050" w14:textId="77777777" w:rsidR="007D32AF" w:rsidRPr="00474740" w:rsidRDefault="007D32AF" w:rsidP="006C1B0F">
      <w:pPr>
        <w:rPr>
          <w:lang w:eastAsia="en-GB"/>
        </w:rPr>
      </w:pPr>
    </w:p>
    <w:p w14:paraId="202999D9" w14:textId="5907E21F" w:rsidR="00AB1C6E" w:rsidRPr="00474740" w:rsidRDefault="00AB1C6E" w:rsidP="006C1B0F">
      <w:pPr>
        <w:rPr>
          <w:lang w:eastAsia="en-GB"/>
        </w:rPr>
      </w:pPr>
      <w:r w:rsidRPr="00474740">
        <w:rPr>
          <w:lang w:eastAsia="en-GB"/>
        </w:rPr>
        <w:t>The Applicants</w:t>
      </w:r>
      <w:r w:rsidR="00321541" w:rsidRPr="00474740">
        <w:rPr>
          <w:lang w:eastAsia="en-GB"/>
        </w:rPr>
        <w:t xml:space="preserve"> </w:t>
      </w:r>
      <w:r w:rsidR="003D3C21" w:rsidRPr="00474740">
        <w:rPr>
          <w:lang w:eastAsia="en-GB"/>
        </w:rPr>
        <w:t xml:space="preserve">claim that the Rules do not recognise </w:t>
      </w:r>
      <w:r w:rsidR="003D3C21" w:rsidRPr="00474740">
        <w:rPr>
          <w:i/>
          <w:iCs/>
          <w:lang w:eastAsia="en-GB"/>
        </w:rPr>
        <w:t>res subjudice</w:t>
      </w:r>
      <w:r w:rsidR="003D3C21" w:rsidRPr="00474740">
        <w:rPr>
          <w:lang w:eastAsia="en-GB"/>
        </w:rPr>
        <w:t xml:space="preserve"> as per </w:t>
      </w:r>
      <w:r w:rsidR="001E26A6" w:rsidRPr="00474740">
        <w:rPr>
          <w:lang w:eastAsia="en-GB"/>
        </w:rPr>
        <w:t xml:space="preserve">Rule 50(2)(g) of the Rules which restates in substance </w:t>
      </w:r>
      <w:r w:rsidR="003D3C21" w:rsidRPr="00474740">
        <w:rPr>
          <w:lang w:eastAsia="en-GB"/>
        </w:rPr>
        <w:t>Article 56(7) of the Charter.</w:t>
      </w:r>
      <w:r w:rsidR="001E26A6" w:rsidRPr="00474740">
        <w:rPr>
          <w:lang w:eastAsia="en-GB"/>
        </w:rPr>
        <w:t xml:space="preserve"> </w:t>
      </w:r>
    </w:p>
    <w:p w14:paraId="312C7A6C" w14:textId="77777777" w:rsidR="003D3C21" w:rsidRPr="00474740" w:rsidRDefault="003D3C21" w:rsidP="006C1B0F">
      <w:pPr>
        <w:rPr>
          <w:lang w:eastAsia="en-GB"/>
        </w:rPr>
      </w:pPr>
    </w:p>
    <w:p w14:paraId="14486BDB" w14:textId="64BD15E7" w:rsidR="003D3C21" w:rsidRPr="00474740" w:rsidRDefault="003D3C21" w:rsidP="006C1B0F">
      <w:pPr>
        <w:rPr>
          <w:lang w:eastAsia="en-GB"/>
        </w:rPr>
      </w:pPr>
      <w:r w:rsidRPr="00474740">
        <w:rPr>
          <w:lang w:eastAsia="en-GB"/>
        </w:rPr>
        <w:t xml:space="preserve">The </w:t>
      </w:r>
      <w:r w:rsidRPr="00474740">
        <w:t>Applicants</w:t>
      </w:r>
      <w:r w:rsidRPr="00474740">
        <w:rPr>
          <w:lang w:eastAsia="en-GB"/>
        </w:rPr>
        <w:t xml:space="preserve"> submit that the question of the illegality of the education ban premised on Regulation No. 4 of the Education Regulation (</w:t>
      </w:r>
      <w:r w:rsidR="00A51BBC" w:rsidRPr="00474740">
        <w:rPr>
          <w:lang w:eastAsia="en-GB"/>
        </w:rPr>
        <w:t xml:space="preserve">Expulsion </w:t>
      </w:r>
      <w:r w:rsidRPr="00474740">
        <w:rPr>
          <w:lang w:eastAsia="en-GB"/>
        </w:rPr>
        <w:t xml:space="preserve">and Exclusion of Pupils from Schools) and cemented by the public declarations as a government policy are yet to be determined by any forum of equivalent jurisdiction </w:t>
      </w:r>
      <w:r w:rsidR="00A51BBC" w:rsidRPr="00474740">
        <w:rPr>
          <w:lang w:eastAsia="en-GB"/>
        </w:rPr>
        <w:t>to</w:t>
      </w:r>
      <w:r w:rsidRPr="00474740">
        <w:rPr>
          <w:lang w:eastAsia="en-GB"/>
        </w:rPr>
        <w:t xml:space="preserve"> the Court. </w:t>
      </w:r>
    </w:p>
    <w:p w14:paraId="740FF115" w14:textId="77777777" w:rsidR="003D3C21" w:rsidRPr="00474740" w:rsidRDefault="003D3C21" w:rsidP="006C1B0F">
      <w:pPr>
        <w:rPr>
          <w:lang w:eastAsia="en-GB"/>
        </w:rPr>
      </w:pPr>
    </w:p>
    <w:p w14:paraId="16335141" w14:textId="20FD07FB" w:rsidR="003D3C21" w:rsidRPr="00474740" w:rsidRDefault="003D3C21" w:rsidP="006C1B0F">
      <w:pPr>
        <w:rPr>
          <w:lang w:eastAsia="en-GB"/>
        </w:rPr>
      </w:pPr>
      <w:r w:rsidRPr="00474740">
        <w:rPr>
          <w:lang w:eastAsia="en-GB"/>
        </w:rPr>
        <w:t xml:space="preserve">The Applicants maintain that </w:t>
      </w:r>
      <w:r w:rsidR="001E26A6" w:rsidRPr="00474740">
        <w:rPr>
          <w:lang w:eastAsia="en-GB"/>
        </w:rPr>
        <w:t>the cases at issue were lodged by different parties, that they deal with distinguishable matters, are founded on different arguments and that no decision has been made by another body on the merits of the cases.</w:t>
      </w:r>
    </w:p>
    <w:p w14:paraId="35241C39" w14:textId="77777777" w:rsidR="001E26A6" w:rsidRPr="00474740" w:rsidRDefault="001E26A6" w:rsidP="006C1B0F">
      <w:pPr>
        <w:rPr>
          <w:lang w:eastAsia="en-GB"/>
        </w:rPr>
      </w:pPr>
    </w:p>
    <w:p w14:paraId="75EDD87F" w14:textId="2627E1BB" w:rsidR="001E26A6" w:rsidRPr="00474740" w:rsidRDefault="001E26A6" w:rsidP="006C1B0F">
      <w:pPr>
        <w:rPr>
          <w:lang w:eastAsia="en-GB"/>
        </w:rPr>
      </w:pPr>
      <w:r w:rsidRPr="00474740">
        <w:rPr>
          <w:lang w:eastAsia="en-GB"/>
        </w:rPr>
        <w:t xml:space="preserve">The </w:t>
      </w:r>
      <w:r w:rsidRPr="00474740">
        <w:t>Applicants</w:t>
      </w:r>
      <w:r w:rsidRPr="00474740">
        <w:rPr>
          <w:lang w:eastAsia="en-GB"/>
        </w:rPr>
        <w:t>, therefore, contend that since there are no similar applications that have been settled before courts of equivalent jurisdiction, that the Application before the Court does not fall within Article 56(7) of the Charter and is for that reason admissible.</w:t>
      </w:r>
    </w:p>
    <w:p w14:paraId="09166C09" w14:textId="77777777" w:rsidR="007A3188" w:rsidRPr="00474740" w:rsidRDefault="007A3188" w:rsidP="006C1B0F">
      <w:pPr>
        <w:rPr>
          <w:lang w:eastAsia="en-GB"/>
        </w:rPr>
      </w:pPr>
    </w:p>
    <w:p w14:paraId="07F1BCB0" w14:textId="2535E770" w:rsidR="00AB1C6E" w:rsidRPr="00474740" w:rsidRDefault="00AB1C6E" w:rsidP="006C1B0F">
      <w:pPr>
        <w:rPr>
          <w:lang w:eastAsia="en-GB"/>
        </w:rPr>
      </w:pPr>
      <w:r w:rsidRPr="00474740">
        <w:rPr>
          <w:lang w:eastAsia="en-GB"/>
        </w:rPr>
        <w:t>***</w:t>
      </w:r>
    </w:p>
    <w:p w14:paraId="1FFC6D4F" w14:textId="77777777" w:rsidR="00170F02" w:rsidRPr="00474740" w:rsidRDefault="00170F02" w:rsidP="006C1B0F">
      <w:pPr>
        <w:rPr>
          <w:lang w:eastAsia="en-GB"/>
        </w:rPr>
      </w:pPr>
    </w:p>
    <w:p w14:paraId="5CE4A1A7" w14:textId="4BE7EFEC" w:rsidR="005D5B88" w:rsidRPr="00474740" w:rsidRDefault="005D5B88" w:rsidP="006C1B0F">
      <w:pPr>
        <w:rPr>
          <w:lang w:eastAsia="en-GB"/>
        </w:rPr>
      </w:pPr>
      <w:r w:rsidRPr="00474740">
        <w:rPr>
          <w:lang w:eastAsia="en-GB"/>
        </w:rPr>
        <w:t xml:space="preserve">The Court notes </w:t>
      </w:r>
      <w:r w:rsidR="0089601E" w:rsidRPr="00474740">
        <w:rPr>
          <w:lang w:eastAsia="en-GB"/>
        </w:rPr>
        <w:t xml:space="preserve">that the Respondent State avers that the applicable admissibility rule in the instant matter is that of </w:t>
      </w:r>
      <w:r w:rsidR="0089601E" w:rsidRPr="00474740">
        <w:rPr>
          <w:i/>
          <w:iCs/>
        </w:rPr>
        <w:t>res subjudice</w:t>
      </w:r>
      <w:r w:rsidR="0089601E" w:rsidRPr="00474740">
        <w:rPr>
          <w:lang w:eastAsia="en-GB"/>
        </w:rPr>
        <w:t xml:space="preserve">. </w:t>
      </w:r>
      <w:r w:rsidR="00BB0DAC" w:rsidRPr="00474740">
        <w:rPr>
          <w:lang w:eastAsia="en-GB"/>
        </w:rPr>
        <w:t>However, t</w:t>
      </w:r>
      <w:r w:rsidR="0089601E" w:rsidRPr="00474740">
        <w:rPr>
          <w:lang w:eastAsia="en-GB"/>
        </w:rPr>
        <w:t>he Court notes from the record</w:t>
      </w:r>
      <w:r w:rsidR="002E26DA" w:rsidRPr="00474740">
        <w:rPr>
          <w:lang w:eastAsia="en-GB"/>
        </w:rPr>
        <w:t xml:space="preserve"> that</w:t>
      </w:r>
      <w:r w:rsidR="0089601E" w:rsidRPr="00474740">
        <w:rPr>
          <w:lang w:eastAsia="en-GB"/>
        </w:rPr>
        <w:t xml:space="preserve"> </w:t>
      </w:r>
      <w:r w:rsidRPr="00474740">
        <w:rPr>
          <w:lang w:eastAsia="en-GB"/>
        </w:rPr>
        <w:t xml:space="preserve">the ACERWC </w:t>
      </w:r>
      <w:r w:rsidR="002E26DA" w:rsidRPr="00474740">
        <w:rPr>
          <w:lang w:eastAsia="en-GB"/>
        </w:rPr>
        <w:t xml:space="preserve">has already </w:t>
      </w:r>
      <w:r w:rsidR="0089601E" w:rsidRPr="00474740">
        <w:rPr>
          <w:lang w:eastAsia="en-GB"/>
        </w:rPr>
        <w:t xml:space="preserve">adopted </w:t>
      </w:r>
      <w:r w:rsidRPr="00474740">
        <w:t>its</w:t>
      </w:r>
      <w:r w:rsidRPr="00474740">
        <w:rPr>
          <w:lang w:eastAsia="en-GB"/>
        </w:rPr>
        <w:t xml:space="preserve"> decision No. 002/2022 in </w:t>
      </w:r>
      <w:r w:rsidRPr="00820D21">
        <w:rPr>
          <w:i/>
          <w:lang w:eastAsia="en-GB"/>
        </w:rPr>
        <w:t>Communication No: 0012/Com/001/2019</w:t>
      </w:r>
      <w:r w:rsidRPr="00474740">
        <w:rPr>
          <w:lang w:eastAsia="en-GB"/>
        </w:rPr>
        <w:t xml:space="preserve"> </w:t>
      </w:r>
      <w:r w:rsidRPr="00820D21">
        <w:rPr>
          <w:i/>
          <w:lang w:eastAsia="en-GB"/>
        </w:rPr>
        <w:t>in the matter between</w:t>
      </w:r>
      <w:r w:rsidRPr="00474740">
        <w:rPr>
          <w:lang w:eastAsia="en-GB"/>
        </w:rPr>
        <w:t xml:space="preserve"> </w:t>
      </w:r>
      <w:r w:rsidRPr="00820D21">
        <w:rPr>
          <w:i/>
          <w:lang w:eastAsia="en-GB"/>
        </w:rPr>
        <w:t xml:space="preserve">Legal and Human Rights Centre and Centre for </w:t>
      </w:r>
      <w:r w:rsidRPr="00820D21">
        <w:rPr>
          <w:i/>
          <w:lang w:eastAsia="en-GB"/>
        </w:rPr>
        <w:lastRenderedPageBreak/>
        <w:t>Reproductive Rights (on behalf of Tanzanian girls) against the United Republic of Tanzania</w:t>
      </w:r>
      <w:r w:rsidR="00C55EA0" w:rsidRPr="00474740">
        <w:rPr>
          <w:rStyle w:val="FootnoteReference"/>
          <w:rFonts w:ascii="Arial" w:hAnsi="Arial" w:cs="Arial"/>
          <w:lang w:eastAsia="en-GB"/>
        </w:rPr>
        <w:t>,</w:t>
      </w:r>
      <w:r w:rsidR="00C55EA0" w:rsidRPr="00474740">
        <w:rPr>
          <w:lang w:eastAsia="en-GB"/>
        </w:rPr>
        <w:t xml:space="preserve"> during its 3</w:t>
      </w:r>
      <w:r w:rsidRPr="00474740">
        <w:rPr>
          <w:lang w:eastAsia="en-GB"/>
        </w:rPr>
        <w:t>9</w:t>
      </w:r>
      <w:r w:rsidRPr="00474740">
        <w:rPr>
          <w:vertAlign w:val="superscript"/>
          <w:lang w:eastAsia="en-GB"/>
        </w:rPr>
        <w:t>th</w:t>
      </w:r>
      <w:r w:rsidRPr="00474740">
        <w:rPr>
          <w:lang w:eastAsia="en-GB"/>
        </w:rPr>
        <w:t xml:space="preserve"> Ordinary Session held from 21 March to 1 April 2022</w:t>
      </w:r>
      <w:r w:rsidR="00C55EA0" w:rsidRPr="00474740">
        <w:rPr>
          <w:lang w:eastAsia="en-GB"/>
        </w:rPr>
        <w:t>.</w:t>
      </w:r>
    </w:p>
    <w:p w14:paraId="4A1A5B8F" w14:textId="77777777" w:rsidR="005D5B88" w:rsidRPr="00474740" w:rsidRDefault="005D5B88" w:rsidP="006C1B0F">
      <w:pPr>
        <w:rPr>
          <w:lang w:eastAsia="en-GB"/>
        </w:rPr>
      </w:pPr>
    </w:p>
    <w:p w14:paraId="70375942" w14:textId="1F79552F" w:rsidR="005D5B88" w:rsidRPr="00474740" w:rsidRDefault="005D5B88" w:rsidP="006C1B0F">
      <w:r w:rsidRPr="00474740">
        <w:t xml:space="preserve">The Court is, therefore, of the view that the issue at hand is no longer a question of </w:t>
      </w:r>
      <w:r w:rsidRPr="00474740">
        <w:rPr>
          <w:i/>
          <w:iCs/>
        </w:rPr>
        <w:t>res subjudice</w:t>
      </w:r>
      <w:r w:rsidR="00C55EA0" w:rsidRPr="00474740">
        <w:rPr>
          <w:i/>
          <w:iCs/>
        </w:rPr>
        <w:t>,</w:t>
      </w:r>
      <w:r w:rsidR="00C55EA0" w:rsidRPr="00474740">
        <w:t xml:space="preserve"> </w:t>
      </w:r>
      <w:r w:rsidRPr="00474740">
        <w:t>but rather whether the matter has been settled in accordance</w:t>
      </w:r>
      <w:r w:rsidRPr="00474740">
        <w:rPr>
          <w:i/>
          <w:iCs/>
        </w:rPr>
        <w:t xml:space="preserve"> </w:t>
      </w:r>
      <w:r w:rsidRPr="00474740">
        <w:t>with</w:t>
      </w:r>
      <w:r w:rsidRPr="00474740">
        <w:rPr>
          <w:i/>
          <w:iCs/>
        </w:rPr>
        <w:t xml:space="preserve"> </w:t>
      </w:r>
      <w:r w:rsidRPr="00474740">
        <w:t>the principles of one of the instruments invoked in Article 56(7) of the Charter.</w:t>
      </w:r>
    </w:p>
    <w:p w14:paraId="4F9AC15C" w14:textId="77777777" w:rsidR="005D5B88" w:rsidRPr="00474740" w:rsidRDefault="005D5B88" w:rsidP="006C1B0F"/>
    <w:p w14:paraId="48257C3F" w14:textId="77777777" w:rsidR="005D5B88" w:rsidRPr="00474740" w:rsidRDefault="005D5B88" w:rsidP="006C1B0F">
      <w:pPr>
        <w:rPr>
          <w:lang w:eastAsia="en-GB"/>
        </w:rPr>
      </w:pPr>
      <w:r w:rsidRPr="00474740">
        <w:rPr>
          <w:lang w:eastAsia="en-GB"/>
        </w:rPr>
        <w:t xml:space="preserve">The </w:t>
      </w:r>
      <w:r w:rsidRPr="00474740">
        <w:t>Court</w:t>
      </w:r>
      <w:r w:rsidRPr="00474740">
        <w:rPr>
          <w:lang w:eastAsia="en-GB"/>
        </w:rPr>
        <w:t xml:space="preserve"> notes that pursuant to Article 56(7) of the Charter, whose provisions are restated in Rule 50(2)(g) of the Rules, any application filed before it shall fulfil the requirement that they “[d]o not deal with cases which have been settled by those States involved in accordance with the principles of the Charter of the United Nations, or the Constitutive Act of African Union or the provisions of the Charter”.</w:t>
      </w:r>
    </w:p>
    <w:p w14:paraId="611C6436" w14:textId="77777777" w:rsidR="005D5B88" w:rsidRPr="00474740" w:rsidRDefault="005D5B88" w:rsidP="006C1B0F">
      <w:pPr>
        <w:rPr>
          <w:lang w:eastAsia="en-GB"/>
        </w:rPr>
      </w:pPr>
    </w:p>
    <w:p w14:paraId="193D57F7" w14:textId="77605E91" w:rsidR="005D5B88" w:rsidRPr="00474740" w:rsidRDefault="005D5B88" w:rsidP="006C1B0F">
      <w:pPr>
        <w:rPr>
          <w:lang w:eastAsia="en-GB"/>
        </w:rPr>
      </w:pPr>
      <w:r w:rsidRPr="00474740">
        <w:rPr>
          <w:lang w:eastAsia="en-GB"/>
        </w:rPr>
        <w:t xml:space="preserve">The Court recalls that the rationale behind the rule in Article 56(7) of the </w:t>
      </w:r>
      <w:r w:rsidRPr="00474740">
        <w:t>Charter</w:t>
      </w:r>
      <w:r w:rsidRPr="00474740">
        <w:rPr>
          <w:lang w:eastAsia="en-GB"/>
        </w:rPr>
        <w:t xml:space="preserve"> is to prevent States from being asked to account more than once in respect of the same allegations of human rights.</w:t>
      </w:r>
      <w:r w:rsidRPr="00474740">
        <w:rPr>
          <w:vertAlign w:val="superscript"/>
          <w:lang w:eastAsia="en-GB"/>
        </w:rPr>
        <w:footnoteReference w:id="5"/>
      </w:r>
    </w:p>
    <w:p w14:paraId="162F43A3" w14:textId="77777777" w:rsidR="005D5B88" w:rsidRPr="00474740" w:rsidRDefault="005D5B88" w:rsidP="006C1B0F"/>
    <w:p w14:paraId="362479F1" w14:textId="4718E719" w:rsidR="005D5B88" w:rsidRPr="00474740" w:rsidRDefault="005D5B88" w:rsidP="006C1B0F">
      <w:r w:rsidRPr="00474740">
        <w:t>The Court</w:t>
      </w:r>
      <w:r w:rsidR="00BB0DAC" w:rsidRPr="00474740">
        <w:t xml:space="preserve"> further</w:t>
      </w:r>
      <w:r w:rsidRPr="00474740">
        <w:t xml:space="preserve"> recalls that in its earlier decisions in </w:t>
      </w:r>
      <w:r w:rsidRPr="00474740">
        <w:rPr>
          <w:i/>
          <w:iCs/>
        </w:rPr>
        <w:t>Gombert Jean-Claude Roger v. Republic of Côte d</w:t>
      </w:r>
      <w:r w:rsidR="00AE7C00" w:rsidRPr="00474740">
        <w:rPr>
          <w:i/>
          <w:iCs/>
        </w:rPr>
        <w:t>’</w:t>
      </w:r>
      <w:r w:rsidRPr="00474740">
        <w:rPr>
          <w:i/>
          <w:iCs/>
        </w:rPr>
        <w:t>Ivoire</w:t>
      </w:r>
      <w:r w:rsidRPr="00474740">
        <w:rPr>
          <w:vertAlign w:val="superscript"/>
        </w:rPr>
        <w:footnoteReference w:id="6"/>
      </w:r>
      <w:r w:rsidRPr="00474740">
        <w:t xml:space="preserve"> and </w:t>
      </w:r>
      <w:r w:rsidRPr="00474740">
        <w:rPr>
          <w:i/>
          <w:iCs/>
        </w:rPr>
        <w:t>Dexter Eddie Johnson v. Republic of Ghana</w:t>
      </w:r>
      <w:r w:rsidRPr="00474740">
        <w:t>,</w:t>
      </w:r>
      <w:r w:rsidRPr="00474740">
        <w:rPr>
          <w:vertAlign w:val="superscript"/>
        </w:rPr>
        <w:footnoteReference w:id="7"/>
      </w:r>
      <w:r w:rsidRPr="00474740">
        <w:t xml:space="preserve"> it developed three cumulative criteria to determine whether the admissibility criteria established in Article 56(7) of the Charter and Rule 50(2)(g) of the Rules have been met.</w:t>
      </w:r>
    </w:p>
    <w:p w14:paraId="3066F41C" w14:textId="77777777" w:rsidR="005D5B88" w:rsidRPr="00474740" w:rsidRDefault="005D5B88" w:rsidP="006C1B0F"/>
    <w:p w14:paraId="78AF9CAD" w14:textId="45556278" w:rsidR="005D5B88" w:rsidRPr="00474740" w:rsidRDefault="00F5719B" w:rsidP="006C1B0F">
      <w:r w:rsidRPr="00474740">
        <w:rPr>
          <w:bCs/>
        </w:rPr>
        <w:t>The Court</w:t>
      </w:r>
      <w:r w:rsidRPr="00474740">
        <w:t xml:space="preserve"> </w:t>
      </w:r>
      <w:r w:rsidRPr="00474740">
        <w:rPr>
          <w:bCs/>
        </w:rPr>
        <w:t>stated</w:t>
      </w:r>
      <w:r w:rsidRPr="00474740">
        <w:t xml:space="preserve"> in </w:t>
      </w:r>
      <w:r w:rsidR="005D5B88" w:rsidRPr="00474740">
        <w:rPr>
          <w:i/>
          <w:iCs/>
        </w:rPr>
        <w:t>Dexter Eddie Johnson v. Republic of Ghana</w:t>
      </w:r>
      <w:r w:rsidR="005D5B88" w:rsidRPr="00474740">
        <w:t xml:space="preserve"> that:</w:t>
      </w:r>
    </w:p>
    <w:p w14:paraId="041A9622" w14:textId="77777777" w:rsidR="005D5B88" w:rsidRPr="00474740" w:rsidRDefault="005D5B88" w:rsidP="006C1B0F"/>
    <w:p w14:paraId="0AFE3E71" w14:textId="42B15E7C" w:rsidR="005D5B88" w:rsidRPr="00474740" w:rsidRDefault="005D5B88" w:rsidP="006C1B0F">
      <w:pPr>
        <w:rPr>
          <w:sz w:val="22"/>
          <w:szCs w:val="22"/>
        </w:rPr>
      </w:pPr>
      <w:r w:rsidRPr="00474740">
        <w:rPr>
          <w:sz w:val="22"/>
          <w:szCs w:val="22"/>
        </w:rPr>
        <w:t>the notion of “settlement” implies the convergence of three major conditions: (1) the identity of the parties; 2) identity of the applications or their supplementary or alternative nature or whether the case flows from a request made in the initial case; and 3) the existence of a first decision on the merits.</w:t>
      </w:r>
      <w:r w:rsidRPr="00474740">
        <w:rPr>
          <w:sz w:val="22"/>
          <w:szCs w:val="22"/>
          <w:vertAlign w:val="superscript"/>
        </w:rPr>
        <w:footnoteReference w:id="8"/>
      </w:r>
    </w:p>
    <w:p w14:paraId="56AE2F58" w14:textId="77777777" w:rsidR="005D5B88" w:rsidRPr="00474740" w:rsidRDefault="005D5B88" w:rsidP="006C1B0F">
      <w:pPr>
        <w:rPr>
          <w:lang w:eastAsia="en-GB"/>
        </w:rPr>
      </w:pPr>
    </w:p>
    <w:p w14:paraId="735B28F1" w14:textId="74E3A138" w:rsidR="005D5B88" w:rsidRPr="00474740" w:rsidRDefault="005D5B88" w:rsidP="006C1B0F">
      <w:pPr>
        <w:rPr>
          <w:lang w:eastAsia="en-GB"/>
        </w:rPr>
      </w:pPr>
      <w:r w:rsidRPr="00474740">
        <w:rPr>
          <w:lang w:eastAsia="en-GB"/>
        </w:rPr>
        <w:t xml:space="preserve">Regarding the first criterion, “identity of the parties”, the Court notes that the </w:t>
      </w:r>
      <w:r w:rsidRPr="00474740">
        <w:t>Respondent</w:t>
      </w:r>
      <w:r w:rsidRPr="00474740">
        <w:rPr>
          <w:lang w:eastAsia="en-GB"/>
        </w:rPr>
        <w:t xml:space="preserve"> State in the proceedings before the ACERWC and in the present Application is the same. The Court notes, however, that the Applicants in the proceedings are different.</w:t>
      </w:r>
      <w:r w:rsidRPr="00474740">
        <w:rPr>
          <w:vertAlign w:val="superscript"/>
          <w:lang w:eastAsia="en-GB"/>
        </w:rPr>
        <w:footnoteReference w:id="9"/>
      </w:r>
      <w:r w:rsidRPr="00474740">
        <w:rPr>
          <w:lang w:eastAsia="en-GB"/>
        </w:rPr>
        <w:t xml:space="preserve"> Before the ACERWC, the Communication was </w:t>
      </w:r>
      <w:r w:rsidR="0071240C">
        <w:rPr>
          <w:lang w:eastAsia="en-GB"/>
        </w:rPr>
        <w:t>filed</w:t>
      </w:r>
      <w:r w:rsidRPr="00474740">
        <w:rPr>
          <w:lang w:eastAsia="en-GB"/>
        </w:rPr>
        <w:t xml:space="preserve"> by two NGOs, </w:t>
      </w:r>
      <w:r w:rsidR="00270C8F">
        <w:rPr>
          <w:lang w:eastAsia="en-GB"/>
        </w:rPr>
        <w:t xml:space="preserve">namely, </w:t>
      </w:r>
      <w:r w:rsidRPr="00474740">
        <w:rPr>
          <w:lang w:eastAsia="en-GB"/>
        </w:rPr>
        <w:t xml:space="preserve">the Legal and Human Rights Center and the Center for Reproductive Rights. Before the Court, the Application was </w:t>
      </w:r>
      <w:r w:rsidR="0071240C">
        <w:rPr>
          <w:lang w:eastAsia="en-GB"/>
        </w:rPr>
        <w:t>filed</w:t>
      </w:r>
      <w:r w:rsidRPr="00474740">
        <w:rPr>
          <w:lang w:eastAsia="en-GB"/>
        </w:rPr>
        <w:t xml:space="preserve"> by an individual and a different NGO, that is</w:t>
      </w:r>
      <w:r w:rsidR="0071240C">
        <w:rPr>
          <w:lang w:eastAsia="en-GB"/>
        </w:rPr>
        <w:t>,</w:t>
      </w:r>
      <w:r w:rsidRPr="00474740">
        <w:rPr>
          <w:lang w:eastAsia="en-GB"/>
        </w:rPr>
        <w:t xml:space="preserve"> Tike Mwambipile and Equality Now.</w:t>
      </w:r>
    </w:p>
    <w:p w14:paraId="38C27BF7" w14:textId="77777777" w:rsidR="00BB0DAC" w:rsidRPr="00474740" w:rsidRDefault="005D5B88" w:rsidP="006C1B0F">
      <w:pPr>
        <w:rPr>
          <w:lang w:eastAsia="en-GB"/>
        </w:rPr>
      </w:pPr>
      <w:r w:rsidRPr="00474740">
        <w:rPr>
          <w:lang w:eastAsia="en-GB"/>
        </w:rPr>
        <w:lastRenderedPageBreak/>
        <w:t>The Court considers, however, that both cases can be qualified as instances of public interest litigation. As the Court has established in its jurisprudence, the identity of parties in different Applications can be considered as being similar to the extent that they both aim to protect the interest of the public at large, rather than only specific private interests.</w:t>
      </w:r>
      <w:r w:rsidRPr="00474740">
        <w:rPr>
          <w:vertAlign w:val="superscript"/>
          <w:lang w:eastAsia="en-GB"/>
        </w:rPr>
        <w:footnoteReference w:id="10"/>
      </w:r>
      <w:r w:rsidRPr="00474740">
        <w:rPr>
          <w:lang w:eastAsia="en-GB"/>
        </w:rPr>
        <w:t xml:space="preserve"> </w:t>
      </w:r>
    </w:p>
    <w:p w14:paraId="765DE3B0" w14:textId="77777777" w:rsidR="00BB0DAC" w:rsidRPr="00474740" w:rsidRDefault="00BB0DAC" w:rsidP="006C1B0F">
      <w:pPr>
        <w:rPr>
          <w:lang w:eastAsia="en-GB"/>
        </w:rPr>
      </w:pPr>
    </w:p>
    <w:p w14:paraId="7EA300AF" w14:textId="1950896A" w:rsidR="005D5B88" w:rsidRPr="00474740" w:rsidRDefault="005D5B88" w:rsidP="006C1B0F">
      <w:pPr>
        <w:rPr>
          <w:lang w:eastAsia="en-GB"/>
        </w:rPr>
      </w:pPr>
      <w:r w:rsidRPr="00474740">
        <w:rPr>
          <w:lang w:eastAsia="en-GB"/>
        </w:rPr>
        <w:t xml:space="preserve">Accordingly, the Court holds that the criterion of “same identity” of the parties has been met. </w:t>
      </w:r>
    </w:p>
    <w:p w14:paraId="4E5E447E" w14:textId="77777777" w:rsidR="005D5B88" w:rsidRPr="00474740" w:rsidRDefault="005D5B88" w:rsidP="006C1B0F">
      <w:pPr>
        <w:rPr>
          <w:lang w:eastAsia="en-GB"/>
        </w:rPr>
      </w:pPr>
    </w:p>
    <w:p w14:paraId="117666A0" w14:textId="2B460AAA" w:rsidR="005D5B88" w:rsidRPr="00474740" w:rsidRDefault="005D5B88" w:rsidP="006C1B0F">
      <w:pPr>
        <w:rPr>
          <w:lang w:eastAsia="en-GB"/>
        </w:rPr>
      </w:pPr>
      <w:r w:rsidRPr="00474740">
        <w:rPr>
          <w:lang w:eastAsia="en-GB"/>
        </w:rPr>
        <w:t xml:space="preserve">The </w:t>
      </w:r>
      <w:r w:rsidRPr="00474740">
        <w:t>second</w:t>
      </w:r>
      <w:r w:rsidRPr="00474740">
        <w:rPr>
          <w:lang w:eastAsia="en-GB"/>
        </w:rPr>
        <w:t xml:space="preserve"> criterion concerns the similarity of the subject-matter of the applications. When considering the subject-matter of the applications, it becomes apparent that both </w:t>
      </w:r>
      <w:r w:rsidR="003D02AE" w:rsidRPr="00474740">
        <w:rPr>
          <w:lang w:eastAsia="en-GB"/>
        </w:rPr>
        <w:t>applications</w:t>
      </w:r>
      <w:r w:rsidRPr="00474740">
        <w:rPr>
          <w:lang w:eastAsia="en-GB"/>
        </w:rPr>
        <w:t xml:space="preserve"> challenge the same law, that is Regulation No. 4 of the Education Regulations (Expulsion and Exclusion of Pupils from School) of 2002, and the same practice of excluding pregnant and young mothers from schools as well as other associated discriminatory practices, including mandatory pregnancy testing.</w:t>
      </w:r>
    </w:p>
    <w:p w14:paraId="064BBB3B" w14:textId="77777777" w:rsidR="005D5B88" w:rsidRPr="00474740" w:rsidRDefault="005D5B88" w:rsidP="006C1B0F">
      <w:pPr>
        <w:rPr>
          <w:lang w:eastAsia="en-GB"/>
        </w:rPr>
      </w:pPr>
    </w:p>
    <w:p w14:paraId="225A7544" w14:textId="4A3EAA4C" w:rsidR="005D5B88" w:rsidRPr="00474740" w:rsidRDefault="005D5B88" w:rsidP="006C1B0F">
      <w:pPr>
        <w:rPr>
          <w:lang w:eastAsia="en-GB"/>
        </w:rPr>
      </w:pPr>
      <w:r w:rsidRPr="00474740">
        <w:rPr>
          <w:lang w:eastAsia="en-GB"/>
        </w:rPr>
        <w:t xml:space="preserve">In the </w:t>
      </w:r>
      <w:r w:rsidR="003D02AE" w:rsidRPr="00474740">
        <w:rPr>
          <w:lang w:eastAsia="en-GB"/>
        </w:rPr>
        <w:t>application</w:t>
      </w:r>
      <w:r w:rsidRPr="00474740">
        <w:rPr>
          <w:lang w:eastAsia="en-GB"/>
        </w:rPr>
        <w:t xml:space="preserve"> before the ACERWC, the Applicants also claim, among others, that the right to non-discrimination and the right to education, is violated, as enshrined in Articles 3 and 11, respectively, of the African Children</w:t>
      </w:r>
      <w:r w:rsidR="00AE7C00" w:rsidRPr="00474740">
        <w:rPr>
          <w:lang w:eastAsia="en-GB"/>
        </w:rPr>
        <w:t>’</w:t>
      </w:r>
      <w:r w:rsidRPr="00474740">
        <w:rPr>
          <w:lang w:eastAsia="en-GB"/>
        </w:rPr>
        <w:t>s Charter. In their Communication they also argue that, in accordance with Article 46, the African Children</w:t>
      </w:r>
      <w:r w:rsidR="00AE7C00" w:rsidRPr="00474740">
        <w:rPr>
          <w:lang w:eastAsia="en-GB"/>
        </w:rPr>
        <w:t>’</w:t>
      </w:r>
      <w:r w:rsidRPr="00474740">
        <w:rPr>
          <w:lang w:eastAsia="en-GB"/>
        </w:rPr>
        <w:t>s Charter should be interpreted with reference to the African Charter, the Maputo Protocol, the CRC as well as other international human rights instruments. Specifically, and in relation to the present Application, the Applicants before the ACERWC refer to Article 2 (right to non-discrimination) and 17 (right to education) of the Charter as corresponding Articles to guarantee children</w:t>
      </w:r>
      <w:r w:rsidR="00AE7C00" w:rsidRPr="00474740">
        <w:rPr>
          <w:lang w:eastAsia="en-GB"/>
        </w:rPr>
        <w:t>’</w:t>
      </w:r>
      <w:r w:rsidRPr="00474740">
        <w:rPr>
          <w:lang w:eastAsia="en-GB"/>
        </w:rPr>
        <w:t>s right to non-discrimination and to education.</w:t>
      </w:r>
    </w:p>
    <w:p w14:paraId="03517957" w14:textId="77777777" w:rsidR="005D5B88" w:rsidRPr="00474740" w:rsidRDefault="005D5B88" w:rsidP="006C1B0F">
      <w:pPr>
        <w:rPr>
          <w:lang w:eastAsia="en-GB"/>
        </w:rPr>
      </w:pPr>
    </w:p>
    <w:p w14:paraId="67A8A498" w14:textId="440229D6" w:rsidR="005D5B88" w:rsidRPr="00474740" w:rsidRDefault="005D5B88" w:rsidP="006C1B0F">
      <w:pPr>
        <w:rPr>
          <w:lang w:eastAsia="en-GB"/>
        </w:rPr>
      </w:pPr>
      <w:r w:rsidRPr="00474740">
        <w:rPr>
          <w:lang w:eastAsia="en-GB"/>
        </w:rPr>
        <w:t>From the</w:t>
      </w:r>
      <w:r w:rsidR="00BB0DAC" w:rsidRPr="00474740">
        <w:rPr>
          <w:lang w:eastAsia="en-GB"/>
        </w:rPr>
        <w:t>se</w:t>
      </w:r>
      <w:r w:rsidRPr="00474740">
        <w:rPr>
          <w:lang w:eastAsia="en-GB"/>
        </w:rPr>
        <w:t xml:space="preserve"> applications it also emerges that the same reliefs are sought, namely the establishment of a violation of the same provisions enshrined in the above-mentioned human rights treaties; orders to change the same legal and policy frameworks governing the issue of exclusion of pregnant girls and young mothers; orders to address the underlying issue of teenage pregnancies and inadequate sexual and reproductive education and health services.</w:t>
      </w:r>
    </w:p>
    <w:p w14:paraId="4BBF3895" w14:textId="77777777" w:rsidR="005D5B88" w:rsidRPr="00474740" w:rsidRDefault="005D5B88" w:rsidP="006C1B0F">
      <w:pPr>
        <w:rPr>
          <w:lang w:eastAsia="en-GB"/>
        </w:rPr>
      </w:pPr>
    </w:p>
    <w:p w14:paraId="01EA830D" w14:textId="1ABCC324" w:rsidR="005D5B88" w:rsidRPr="00474740" w:rsidRDefault="005D5B88" w:rsidP="006C1B0F">
      <w:r w:rsidRPr="00474740">
        <w:t>The Court notes, in particular, the ACERWC</w:t>
      </w:r>
      <w:r w:rsidR="00AE7C00" w:rsidRPr="00474740">
        <w:t>’</w:t>
      </w:r>
      <w:r w:rsidRPr="00474740">
        <w:t>s decision in paragraph 109 where it is stated as follows:</w:t>
      </w:r>
    </w:p>
    <w:p w14:paraId="1CB231D0" w14:textId="77777777" w:rsidR="005D5B88" w:rsidRPr="00474740" w:rsidRDefault="005D5B88" w:rsidP="006C1B0F"/>
    <w:p w14:paraId="7B2DB2DB" w14:textId="77777777" w:rsidR="005D5B88" w:rsidRPr="00474740" w:rsidRDefault="005D5B88" w:rsidP="006C1B0F">
      <w:pPr>
        <w:rPr>
          <w:sz w:val="22"/>
          <w:szCs w:val="22"/>
        </w:rPr>
      </w:pPr>
      <w:r w:rsidRPr="00474740">
        <w:rPr>
          <w:sz w:val="22"/>
          <w:szCs w:val="22"/>
        </w:rPr>
        <w:t xml:space="preserve">Based on the foregoing analysis, the Committee finds the Respondent State in violation of its obligations under article 1 (obligation of states parties), article 3 (non-discrimination), article 4 (best interests of the child), Article 10 (protection of privacy) article 11 (education), Article 14 (health and health services), Article 16 (protection against child abuse and torture), and article 21 (protection against harmful social and cultural practices). The Committee, therefore, recommends for the Respondent State to: </w:t>
      </w:r>
    </w:p>
    <w:p w14:paraId="2333788B" w14:textId="77777777" w:rsidR="005D5B88" w:rsidRPr="00474740" w:rsidRDefault="005D5B88" w:rsidP="006C1B0F">
      <w:pPr>
        <w:rPr>
          <w:sz w:val="22"/>
          <w:szCs w:val="22"/>
        </w:rPr>
      </w:pPr>
    </w:p>
    <w:p w14:paraId="08A41F14" w14:textId="77777777" w:rsidR="005D5B88" w:rsidRPr="00474740" w:rsidRDefault="005D5B88" w:rsidP="006C1B0F">
      <w:pPr>
        <w:rPr>
          <w:sz w:val="22"/>
          <w:szCs w:val="22"/>
        </w:rPr>
      </w:pPr>
      <w:r w:rsidRPr="00474740">
        <w:rPr>
          <w:sz w:val="22"/>
          <w:szCs w:val="22"/>
        </w:rPr>
        <w:t xml:space="preserve">Immediately prohibit mandatory pregnancy testing in schools and health facilities and publicly announce the prohibition; </w:t>
      </w:r>
    </w:p>
    <w:p w14:paraId="1B48E6AF" w14:textId="77777777" w:rsidR="005D5B88" w:rsidRPr="00474740" w:rsidRDefault="005D5B88" w:rsidP="006C1B0F">
      <w:pPr>
        <w:rPr>
          <w:sz w:val="22"/>
          <w:szCs w:val="22"/>
        </w:rPr>
      </w:pPr>
      <w:r w:rsidRPr="00474740">
        <w:rPr>
          <w:sz w:val="22"/>
          <w:szCs w:val="22"/>
        </w:rPr>
        <w:t xml:space="preserve">Review the Education (Expulsion and Exclusion of Pupils from School) Regulations, 2002 G.N. No. 295 of 2002 and in doing so remove wedlock as a ground of expulsion and provide an indication that the </w:t>
      </w:r>
      <w:r w:rsidRPr="00474740">
        <w:rPr>
          <w:sz w:val="22"/>
          <w:szCs w:val="22"/>
        </w:rPr>
        <w:lastRenderedPageBreak/>
        <w:t xml:space="preserve">moral ground of expulsion should be interpreted narrowly and should not apply in cases of pregnancy of schoolgirls; </w:t>
      </w:r>
    </w:p>
    <w:p w14:paraId="56C685B0" w14:textId="77777777" w:rsidR="005D5B88" w:rsidRPr="00474740" w:rsidRDefault="005D5B88" w:rsidP="006C1B0F">
      <w:pPr>
        <w:rPr>
          <w:sz w:val="22"/>
          <w:szCs w:val="22"/>
        </w:rPr>
      </w:pPr>
      <w:r w:rsidRPr="00474740">
        <w:rPr>
          <w:sz w:val="22"/>
          <w:szCs w:val="22"/>
        </w:rPr>
        <w:t xml:space="preserve">Undertake concrete steps to prevent the expulsion of pregnant and married girls from schools including by providing laws and policies on the same; </w:t>
      </w:r>
    </w:p>
    <w:p w14:paraId="1903A108" w14:textId="77777777" w:rsidR="005D5B88" w:rsidRPr="00474740" w:rsidRDefault="005D5B88" w:rsidP="006C1B0F">
      <w:pPr>
        <w:rPr>
          <w:sz w:val="22"/>
          <w:szCs w:val="22"/>
        </w:rPr>
      </w:pPr>
      <w:r w:rsidRPr="00474740">
        <w:rPr>
          <w:sz w:val="22"/>
          <w:szCs w:val="22"/>
        </w:rPr>
        <w:t xml:space="preserve">Remove any policy of non-re-entry of schoolgirls including girls who have drop-out of school due to pregnancy or wedlock; </w:t>
      </w:r>
    </w:p>
    <w:p w14:paraId="3B457F8E" w14:textId="77777777" w:rsidR="005D5B88" w:rsidRPr="00474740" w:rsidRDefault="005D5B88" w:rsidP="006C1B0F">
      <w:pPr>
        <w:rPr>
          <w:sz w:val="22"/>
          <w:szCs w:val="22"/>
        </w:rPr>
      </w:pPr>
      <w:r w:rsidRPr="00474740">
        <w:rPr>
          <w:sz w:val="22"/>
          <w:szCs w:val="22"/>
        </w:rPr>
        <w:t xml:space="preserve">Immediately re-admit schoolgirls who have been expelled due to pregnancy and wedlock and provide special support programmes to compensate for the lost years and ensure better learning outcomes for the returned girls; </w:t>
      </w:r>
    </w:p>
    <w:p w14:paraId="743B47A5" w14:textId="77777777" w:rsidR="005D5B88" w:rsidRPr="00474740" w:rsidRDefault="005D5B88" w:rsidP="006C1B0F">
      <w:pPr>
        <w:rPr>
          <w:sz w:val="22"/>
          <w:szCs w:val="22"/>
        </w:rPr>
      </w:pPr>
      <w:r w:rsidRPr="00474740">
        <w:rPr>
          <w:sz w:val="22"/>
          <w:szCs w:val="22"/>
        </w:rPr>
        <w:t xml:space="preserve">Provide clear guidance to school administrators that girls who drop out of school due to pregnancy or wedlock with their preference are allowed to come back to school with no preconditions; </w:t>
      </w:r>
    </w:p>
    <w:p w14:paraId="213875B6" w14:textId="77777777" w:rsidR="005D5B88" w:rsidRPr="00474740" w:rsidRDefault="005D5B88" w:rsidP="006C1B0F">
      <w:pPr>
        <w:rPr>
          <w:sz w:val="22"/>
          <w:szCs w:val="22"/>
        </w:rPr>
      </w:pPr>
      <w:r w:rsidRPr="00474740">
        <w:rPr>
          <w:sz w:val="22"/>
          <w:szCs w:val="22"/>
        </w:rPr>
        <w:t xml:space="preserve">Investigate the cases of detention of pregnant girls and immediately release detained pregnant girls who are being interrogated to reveal who impregnated them and stop such kinds of illegal arrests of pregnant girls; </w:t>
      </w:r>
    </w:p>
    <w:p w14:paraId="0E0888D5" w14:textId="77777777" w:rsidR="005D5B88" w:rsidRPr="00474740" w:rsidRDefault="005D5B88" w:rsidP="006C1B0F">
      <w:pPr>
        <w:rPr>
          <w:sz w:val="22"/>
          <w:szCs w:val="22"/>
        </w:rPr>
      </w:pPr>
      <w:r w:rsidRPr="00474740">
        <w:rPr>
          <w:sz w:val="22"/>
          <w:szCs w:val="22"/>
        </w:rPr>
        <w:t xml:space="preserve">Provide sexuality education for adolescent children and provide child friendly sexual reproductive and health services; </w:t>
      </w:r>
    </w:p>
    <w:p w14:paraId="78761251" w14:textId="77777777" w:rsidR="005D5B88" w:rsidRPr="00474740" w:rsidRDefault="005D5B88" w:rsidP="006C1B0F">
      <w:pPr>
        <w:rPr>
          <w:sz w:val="22"/>
          <w:szCs w:val="22"/>
        </w:rPr>
      </w:pPr>
      <w:r w:rsidRPr="00474740">
        <w:rPr>
          <w:sz w:val="22"/>
          <w:szCs w:val="22"/>
        </w:rPr>
        <w:t xml:space="preserve">Undertake extensive sensitization of teachers, health care providers, police and other actors with regards to the protection that should be accorded to pregnant and married girls; </w:t>
      </w:r>
    </w:p>
    <w:p w14:paraId="64A99D71" w14:textId="77777777" w:rsidR="005D5B88" w:rsidRPr="00474740" w:rsidRDefault="005D5B88" w:rsidP="006C1B0F">
      <w:pPr>
        <w:rPr>
          <w:sz w:val="22"/>
          <w:szCs w:val="22"/>
        </w:rPr>
      </w:pPr>
      <w:r w:rsidRPr="00474740">
        <w:rPr>
          <w:sz w:val="22"/>
          <w:szCs w:val="22"/>
        </w:rPr>
        <w:t>Undertake proactive measures towards the elimination of child marriage and other harmful practices that affect girls including by taking measures to address the underlying factors such as gender-based discrimination, poverty, and negative customary and societal norms;</w:t>
      </w:r>
    </w:p>
    <w:p w14:paraId="5A09E72B" w14:textId="77777777" w:rsidR="005D5B88" w:rsidRPr="00474740" w:rsidRDefault="005D5B88" w:rsidP="006C1B0F">
      <w:pPr>
        <w:rPr>
          <w:sz w:val="22"/>
          <w:szCs w:val="22"/>
        </w:rPr>
      </w:pPr>
      <w:r w:rsidRPr="00474740">
        <w:rPr>
          <w:sz w:val="22"/>
          <w:szCs w:val="22"/>
        </w:rPr>
        <w:t>Create a conducive reporting and referral mechanism for survivors of sexual violence including child marriage, and provide psychosocial support, rehabilitation and reintegration services for the survivors;</w:t>
      </w:r>
    </w:p>
    <w:p w14:paraId="48F644C5" w14:textId="77777777" w:rsidR="005D5B88" w:rsidRPr="00474740" w:rsidRDefault="005D5B88" w:rsidP="006C1B0F">
      <w:pPr>
        <w:rPr>
          <w:sz w:val="22"/>
          <w:szCs w:val="22"/>
        </w:rPr>
      </w:pPr>
      <w:r w:rsidRPr="00474740">
        <w:rPr>
          <w:sz w:val="22"/>
          <w:szCs w:val="22"/>
        </w:rPr>
        <w:t>Investigate and prosecute perpetrators of sexual violence and child marriage;</w:t>
      </w:r>
    </w:p>
    <w:p w14:paraId="2AB925D7" w14:textId="77777777" w:rsidR="005D5B88" w:rsidRPr="00474740" w:rsidRDefault="005D5B88" w:rsidP="006C1B0F">
      <w:pPr>
        <w:rPr>
          <w:sz w:val="22"/>
          <w:szCs w:val="22"/>
        </w:rPr>
      </w:pPr>
      <w:r w:rsidRPr="00474740">
        <w:rPr>
          <w:sz w:val="22"/>
          <w:szCs w:val="22"/>
        </w:rPr>
        <w:t>Take action against any actors who conduct forced pregnancy testing of any kind, or who discriminate against girls on the grounds of their pregnancy or marital statuses such as expulsion and detention; and</w:t>
      </w:r>
    </w:p>
    <w:p w14:paraId="1BED6EA4" w14:textId="77777777" w:rsidR="005D5B88" w:rsidRPr="00474740" w:rsidRDefault="005D5B88" w:rsidP="006C1B0F">
      <w:pPr>
        <w:rPr>
          <w:sz w:val="22"/>
          <w:szCs w:val="22"/>
        </w:rPr>
      </w:pPr>
      <w:r w:rsidRPr="00474740">
        <w:rPr>
          <w:sz w:val="22"/>
          <w:szCs w:val="22"/>
        </w:rPr>
        <w:t>Provide special support to pregnant and married girls to continue their education in a school of their choice and based on their consent.</w:t>
      </w:r>
    </w:p>
    <w:p w14:paraId="7EBA52A1" w14:textId="77777777" w:rsidR="005D5B88" w:rsidRPr="00474740" w:rsidRDefault="005D5B88" w:rsidP="006C1B0F"/>
    <w:p w14:paraId="476DC18A" w14:textId="3AB82805" w:rsidR="00BB0DAC" w:rsidRPr="00474740" w:rsidRDefault="005D5B88" w:rsidP="006C1B0F">
      <w:r w:rsidRPr="00474740">
        <w:t xml:space="preserve">The Court </w:t>
      </w:r>
      <w:r w:rsidR="00BB0DAC" w:rsidRPr="00474740">
        <w:t xml:space="preserve">further </w:t>
      </w:r>
      <w:r w:rsidRPr="00474740">
        <w:t>notes that the ACERWC in its communication only found violations of the African Children</w:t>
      </w:r>
      <w:r w:rsidR="00AE7C00" w:rsidRPr="00474740">
        <w:t>’</w:t>
      </w:r>
      <w:r w:rsidRPr="00474740">
        <w:t>s Charter and not of the Charter and of the other international legal instruments to which the Respondent State is a party. However, the Court also notes that the principles contained in the African Children</w:t>
      </w:r>
      <w:r w:rsidR="00AE7C00" w:rsidRPr="00474740">
        <w:t>’</w:t>
      </w:r>
      <w:r w:rsidRPr="00474740">
        <w:t>s Charter, on which the ACERWC gave its views, overlap with the principles provided for in the provisions of the Charter and other human rights instruments referenced by the Applicants.</w:t>
      </w:r>
      <w:r w:rsidRPr="00474740">
        <w:rPr>
          <w:vertAlign w:val="superscript"/>
        </w:rPr>
        <w:footnoteReference w:id="11"/>
      </w:r>
      <w:r w:rsidRPr="00474740">
        <w:t xml:space="preserve"> </w:t>
      </w:r>
    </w:p>
    <w:p w14:paraId="2F86885C" w14:textId="77777777" w:rsidR="00BB0DAC" w:rsidRPr="00474740" w:rsidRDefault="00BB0DAC" w:rsidP="006C1B0F"/>
    <w:p w14:paraId="4D00EE83" w14:textId="66E9B9B7" w:rsidR="005D5B88" w:rsidRPr="00474740" w:rsidRDefault="005D5B88" w:rsidP="006C1B0F">
      <w:r w:rsidRPr="00474740">
        <w:t>Substantively, therefore, the Court considers that the ACERWC adjudicated on the same issues that the Applicants have brought before this Court.</w:t>
      </w:r>
      <w:r w:rsidRPr="00474740">
        <w:rPr>
          <w:vertAlign w:val="superscript"/>
        </w:rPr>
        <w:footnoteReference w:id="12"/>
      </w:r>
      <w:r w:rsidRPr="00474740">
        <w:t xml:space="preserve"> The Court, therefore, </w:t>
      </w:r>
      <w:r w:rsidRPr="00474740">
        <w:rPr>
          <w:iCs/>
        </w:rPr>
        <w:t>finds that</w:t>
      </w:r>
      <w:r w:rsidRPr="00474740">
        <w:t xml:space="preserve"> the second criterion has been met.</w:t>
      </w:r>
    </w:p>
    <w:p w14:paraId="37CAF387" w14:textId="77777777" w:rsidR="005D5B88" w:rsidRPr="00474740" w:rsidRDefault="005D5B88" w:rsidP="006C1B0F"/>
    <w:p w14:paraId="5EAE4A9A" w14:textId="77777777" w:rsidR="00BB0DAC" w:rsidRPr="00474740" w:rsidRDefault="005D5B88" w:rsidP="006C1B0F">
      <w:r w:rsidRPr="00474740">
        <w:lastRenderedPageBreak/>
        <w:t>Concerning the third criterion which interrogates whether a first decision on merits exists, the Court notes that the ACERWC, as an “institution that is legally mandated to consider the dispute at international level”,</w:t>
      </w:r>
      <w:r w:rsidRPr="00474740">
        <w:rPr>
          <w:vertAlign w:val="superscript"/>
        </w:rPr>
        <w:footnoteReference w:id="13"/>
      </w:r>
      <w:r w:rsidRPr="00474740">
        <w:t xml:space="preserve"> has delivered a decision on merits. </w:t>
      </w:r>
    </w:p>
    <w:p w14:paraId="6F201E0D" w14:textId="77777777" w:rsidR="00BB0DAC" w:rsidRPr="00474740" w:rsidRDefault="00BB0DAC" w:rsidP="006C1B0F"/>
    <w:p w14:paraId="7FED5702" w14:textId="448C8A9C" w:rsidR="005D5B88" w:rsidRPr="00474740" w:rsidRDefault="005D5B88" w:rsidP="006C1B0F">
      <w:r w:rsidRPr="00474740">
        <w:t xml:space="preserve">The Court, therefore, finds that this criterion has been met. </w:t>
      </w:r>
    </w:p>
    <w:p w14:paraId="4F2FE72E" w14:textId="77777777" w:rsidR="005D5B88" w:rsidRPr="00474740" w:rsidRDefault="005D5B88" w:rsidP="006C1B0F"/>
    <w:p w14:paraId="7BC4A87F" w14:textId="45E4191D" w:rsidR="005D5B88" w:rsidRPr="00474740" w:rsidRDefault="005D5B88" w:rsidP="006C1B0F">
      <w:r w:rsidRPr="00474740">
        <w:t xml:space="preserve">In sum, the Court finds that the cumulative criteria set out in the cases </w:t>
      </w:r>
      <w:r w:rsidRPr="00474740">
        <w:rPr>
          <w:i/>
          <w:iCs/>
        </w:rPr>
        <w:t>Gombert Jean-Claude Roger v. Republic of Côte d</w:t>
      </w:r>
      <w:r w:rsidR="00AE7C00" w:rsidRPr="00474740">
        <w:rPr>
          <w:i/>
          <w:iCs/>
        </w:rPr>
        <w:t>’</w:t>
      </w:r>
      <w:r w:rsidRPr="00474740">
        <w:rPr>
          <w:i/>
          <w:iCs/>
        </w:rPr>
        <w:t xml:space="preserve">Ivoire </w:t>
      </w:r>
      <w:r w:rsidRPr="00474740">
        <w:t xml:space="preserve">and in </w:t>
      </w:r>
      <w:r w:rsidRPr="00474740">
        <w:rPr>
          <w:i/>
          <w:iCs/>
        </w:rPr>
        <w:t>Dexter Eddie Johnson v. Republic of Ghana</w:t>
      </w:r>
      <w:r w:rsidRPr="00474740">
        <w:t xml:space="preserve"> relating to the admissibility requirement established in Article 56(7) have been fulfilled. </w:t>
      </w:r>
    </w:p>
    <w:p w14:paraId="428119B5" w14:textId="77777777" w:rsidR="005D5B88" w:rsidRPr="00474740" w:rsidRDefault="005D5B88" w:rsidP="006C1B0F"/>
    <w:p w14:paraId="6DC3FB1C" w14:textId="33544A9D" w:rsidR="005D5B88" w:rsidRPr="00474740" w:rsidRDefault="005D5B88" w:rsidP="006C1B0F">
      <w:r w:rsidRPr="00474740">
        <w:t xml:space="preserve">For this reason, the Court finds that the instant Application raises issues that have already been settled within the meaning of Article 56(7) of the Charter and holds that this admissibility requirement has not been met. </w:t>
      </w:r>
    </w:p>
    <w:p w14:paraId="7E2B11E1" w14:textId="77777777" w:rsidR="006440E2" w:rsidRPr="00474740" w:rsidRDefault="006440E2" w:rsidP="006C1B0F">
      <w:pPr>
        <w:rPr>
          <w:b/>
          <w:bCs/>
        </w:rPr>
      </w:pPr>
    </w:p>
    <w:p w14:paraId="56C5C05C" w14:textId="5AA44A72" w:rsidR="00E0410B" w:rsidRPr="00474740" w:rsidRDefault="00E0410B" w:rsidP="006C1B0F">
      <w:pPr>
        <w:rPr>
          <w:rFonts w:eastAsia="Times New Roman"/>
          <w:lang w:val="en-US"/>
        </w:rPr>
      </w:pPr>
      <w:bookmarkStart w:id="18" w:name="_Toc120713970"/>
      <w:r w:rsidRPr="00474740">
        <w:rPr>
          <w:rFonts w:eastAsia="Times New Roman"/>
          <w:lang w:val="en-US"/>
        </w:rPr>
        <w:t>Other conditions of admissibility</w:t>
      </w:r>
      <w:bookmarkEnd w:id="18"/>
    </w:p>
    <w:p w14:paraId="4762C6B8" w14:textId="77777777" w:rsidR="00946ABC" w:rsidRPr="00474740" w:rsidRDefault="00946ABC" w:rsidP="006C1B0F"/>
    <w:p w14:paraId="6236F313" w14:textId="2CC2A909" w:rsidR="004B65EF" w:rsidRPr="00474740" w:rsidRDefault="007F3794" w:rsidP="006C1B0F">
      <w:pPr>
        <w:rPr>
          <w:rFonts w:eastAsia="Times New Roman"/>
        </w:rPr>
      </w:pPr>
      <w:r w:rsidRPr="00474740">
        <w:t xml:space="preserve">The Court recalls that the conditions of admissibility of an </w:t>
      </w:r>
      <w:r w:rsidR="00C3130D" w:rsidRPr="00474740">
        <w:t>a</w:t>
      </w:r>
      <w:r w:rsidRPr="00474740">
        <w:t xml:space="preserve">pplication filed before it are cumulative, such that if one condition is not fulfilled then the </w:t>
      </w:r>
      <w:r w:rsidR="00C3130D" w:rsidRPr="00474740">
        <w:t>a</w:t>
      </w:r>
      <w:r w:rsidRPr="00474740">
        <w:t>pplication becomes inadmissible.</w:t>
      </w:r>
      <w:r w:rsidRPr="00474740">
        <w:rPr>
          <w:rStyle w:val="FootnoteReference"/>
          <w:rFonts w:ascii="Arial" w:hAnsi="Arial" w:cs="Arial"/>
        </w:rPr>
        <w:footnoteReference w:id="14"/>
      </w:r>
      <w:r w:rsidRPr="00474740">
        <w:t xml:space="preserve"> In the present case, since the Application has </w:t>
      </w:r>
      <w:r w:rsidR="00B6717B" w:rsidRPr="00474740">
        <w:t>already been settled</w:t>
      </w:r>
      <w:r w:rsidRPr="00474740">
        <w:t>, the Court</w:t>
      </w:r>
      <w:r w:rsidR="00310F60" w:rsidRPr="00474740">
        <w:t xml:space="preserve"> </w:t>
      </w:r>
      <w:r w:rsidRPr="00474740">
        <w:t>finds that the Application is inadmissible</w:t>
      </w:r>
      <w:r w:rsidR="0025489B" w:rsidRPr="00474740">
        <w:t>.</w:t>
      </w:r>
      <w:r w:rsidR="00CB22EF" w:rsidRPr="00474740">
        <w:t xml:space="preserve"> </w:t>
      </w:r>
      <w:r w:rsidR="0025489B" w:rsidRPr="00474740">
        <w:t xml:space="preserve">The Court, therefore, </w:t>
      </w:r>
      <w:r w:rsidR="00CB22EF" w:rsidRPr="00474740">
        <w:t>dismisses it</w:t>
      </w:r>
      <w:r w:rsidR="00563CD0" w:rsidRPr="00474740">
        <w:t xml:space="preserve"> without needing to examine the other objections to admissibility </w:t>
      </w:r>
      <w:r w:rsidR="00245754" w:rsidRPr="00474740">
        <w:t>ra</w:t>
      </w:r>
      <w:r w:rsidR="008A653F" w:rsidRPr="00474740">
        <w:t>ised</w:t>
      </w:r>
      <w:r w:rsidR="00563CD0" w:rsidRPr="00474740">
        <w:t xml:space="preserve"> by the Respondent State</w:t>
      </w:r>
      <w:r w:rsidR="005645DE" w:rsidRPr="00474740">
        <w:t xml:space="preserve"> and </w:t>
      </w:r>
      <w:r w:rsidR="00C55EA0" w:rsidRPr="00474740">
        <w:t xml:space="preserve">the </w:t>
      </w:r>
      <w:r w:rsidR="005645DE" w:rsidRPr="00474740">
        <w:t>other admissibility requirements set out under Article 56 of the Charter and Rule 50 of the Rules</w:t>
      </w:r>
      <w:r w:rsidR="00563CD0" w:rsidRPr="00474740">
        <w:t xml:space="preserve">. </w:t>
      </w:r>
    </w:p>
    <w:p w14:paraId="1C4A47D7" w14:textId="2BBB8D25" w:rsidR="008D2197" w:rsidRPr="00474740" w:rsidRDefault="008D2197" w:rsidP="006C1B0F">
      <w:pPr>
        <w:rPr>
          <w:rFonts w:eastAsia="Times New Roman"/>
          <w:bCs/>
        </w:rPr>
      </w:pPr>
    </w:p>
    <w:p w14:paraId="55229F54" w14:textId="77777777" w:rsidR="005D5B88" w:rsidRPr="00474740" w:rsidRDefault="005D5B88" w:rsidP="006C1B0F">
      <w:pPr>
        <w:rPr>
          <w:rFonts w:eastAsia="Times New Roman"/>
          <w:bCs/>
        </w:rPr>
      </w:pPr>
    </w:p>
    <w:p w14:paraId="7A875645" w14:textId="6323213F" w:rsidR="00C677BC" w:rsidRPr="00474740" w:rsidRDefault="00C677BC" w:rsidP="006C1B0F">
      <w:pPr>
        <w:rPr>
          <w:rFonts w:eastAsia="Times New Roman"/>
          <w:bCs/>
        </w:rPr>
      </w:pPr>
      <w:bookmarkStart w:id="19" w:name="_Toc120713971"/>
      <w:r w:rsidRPr="00474740">
        <w:rPr>
          <w:rFonts w:eastAsia="Times New Roman"/>
        </w:rPr>
        <w:t>ON THE REQUEST FOR PROVISIONAL MEASURES</w:t>
      </w:r>
      <w:bookmarkEnd w:id="19"/>
    </w:p>
    <w:p w14:paraId="35057E0B" w14:textId="77777777" w:rsidR="00C677BC" w:rsidRPr="00474740" w:rsidRDefault="00C677BC" w:rsidP="006C1B0F">
      <w:pPr>
        <w:rPr>
          <w:rFonts w:eastAsia="Times New Roman"/>
          <w:bCs/>
          <w:lang w:val="en-US"/>
        </w:rPr>
      </w:pPr>
    </w:p>
    <w:p w14:paraId="2EC131E8" w14:textId="42DB7C9C" w:rsidR="00C677BC" w:rsidRPr="00474740" w:rsidRDefault="00C677BC" w:rsidP="006C1B0F">
      <w:pPr>
        <w:rPr>
          <w:rFonts w:eastAsia="Times New Roman"/>
          <w:bCs/>
        </w:rPr>
      </w:pPr>
      <w:r w:rsidRPr="00474740">
        <w:rPr>
          <w:rFonts w:eastAsia="Times New Roman"/>
          <w:bCs/>
        </w:rPr>
        <w:t>The Court recalls that on 29 November 2021</w:t>
      </w:r>
      <w:r w:rsidR="009615CA" w:rsidRPr="00474740">
        <w:rPr>
          <w:rFonts w:eastAsia="Times New Roman"/>
          <w:bCs/>
        </w:rPr>
        <w:t xml:space="preserve">, it </w:t>
      </w:r>
      <w:r w:rsidR="0071240C">
        <w:rPr>
          <w:rFonts w:eastAsia="Times New Roman"/>
          <w:bCs/>
        </w:rPr>
        <w:t xml:space="preserve">had </w:t>
      </w:r>
      <w:r w:rsidRPr="00474740">
        <w:rPr>
          <w:rFonts w:eastAsia="Times New Roman"/>
          <w:bCs/>
        </w:rPr>
        <w:t xml:space="preserve">decided </w:t>
      </w:r>
      <w:r w:rsidR="0071240C">
        <w:rPr>
          <w:rFonts w:eastAsia="Times New Roman"/>
          <w:bCs/>
        </w:rPr>
        <w:t>that it would</w:t>
      </w:r>
      <w:r w:rsidRPr="00474740">
        <w:rPr>
          <w:rFonts w:eastAsia="Times New Roman"/>
          <w:bCs/>
        </w:rPr>
        <w:t xml:space="preserve"> consider the </w:t>
      </w:r>
      <w:r w:rsidR="009615CA" w:rsidRPr="00474740">
        <w:rPr>
          <w:rFonts w:eastAsia="Times New Roman"/>
          <w:bCs/>
        </w:rPr>
        <w:t>Applicants</w:t>
      </w:r>
      <w:r w:rsidR="00AE7C00" w:rsidRPr="00474740">
        <w:rPr>
          <w:rFonts w:eastAsia="Times New Roman"/>
          <w:bCs/>
        </w:rPr>
        <w:t>’</w:t>
      </w:r>
      <w:r w:rsidR="009615CA" w:rsidRPr="00474740">
        <w:rPr>
          <w:rFonts w:eastAsia="Times New Roman"/>
          <w:bCs/>
        </w:rPr>
        <w:t xml:space="preserve"> </w:t>
      </w:r>
      <w:r w:rsidRPr="00474740">
        <w:rPr>
          <w:rFonts w:eastAsia="Times New Roman"/>
          <w:bCs/>
        </w:rPr>
        <w:t>request for provisional measures together with the merits of the Application.</w:t>
      </w:r>
    </w:p>
    <w:p w14:paraId="44A456D1" w14:textId="77777777" w:rsidR="00C677BC" w:rsidRPr="00474740" w:rsidRDefault="00C677BC" w:rsidP="006C1B0F">
      <w:pPr>
        <w:rPr>
          <w:rFonts w:eastAsia="Times New Roman"/>
          <w:bCs/>
        </w:rPr>
      </w:pPr>
    </w:p>
    <w:p w14:paraId="0447FBD3" w14:textId="23C427F4" w:rsidR="005426D7" w:rsidRPr="00474740" w:rsidRDefault="00C677BC" w:rsidP="006C1B0F">
      <w:pPr>
        <w:rPr>
          <w:rFonts w:eastAsia="Times New Roman"/>
          <w:bCs/>
        </w:rPr>
      </w:pPr>
      <w:r w:rsidRPr="00474740">
        <w:rPr>
          <w:rFonts w:eastAsia="Times New Roman"/>
          <w:bCs/>
        </w:rPr>
        <w:t>The Court notes, however, that the present decision renders the said request moot.</w:t>
      </w:r>
    </w:p>
    <w:p w14:paraId="7D6F97E3" w14:textId="7D7A8B12" w:rsidR="00C677BC" w:rsidRPr="00474740" w:rsidRDefault="00C677BC" w:rsidP="006C1B0F">
      <w:pPr>
        <w:rPr>
          <w:rFonts w:eastAsia="Times New Roman"/>
          <w:bCs/>
        </w:rPr>
      </w:pPr>
    </w:p>
    <w:p w14:paraId="61363855" w14:textId="77777777" w:rsidR="00C677BC" w:rsidRPr="00474740" w:rsidRDefault="00C677BC" w:rsidP="006C1B0F">
      <w:pPr>
        <w:rPr>
          <w:rFonts w:eastAsia="Times New Roman"/>
          <w:bCs/>
        </w:rPr>
      </w:pPr>
    </w:p>
    <w:p w14:paraId="5ED18E17" w14:textId="77777777" w:rsidR="00996BF3" w:rsidRPr="00474740" w:rsidRDefault="00996BF3" w:rsidP="006C1B0F">
      <w:bookmarkStart w:id="20" w:name="_Toc97725409"/>
      <w:bookmarkStart w:id="21" w:name="_Toc97734006"/>
      <w:bookmarkStart w:id="22" w:name="_Toc97735926"/>
      <w:bookmarkStart w:id="23" w:name="_Toc97725410"/>
      <w:bookmarkStart w:id="24" w:name="_Toc97734007"/>
      <w:bookmarkStart w:id="25" w:name="_Toc97735927"/>
      <w:bookmarkStart w:id="26" w:name="_Toc97725411"/>
      <w:bookmarkStart w:id="27" w:name="_Toc97734008"/>
      <w:bookmarkStart w:id="28" w:name="_Toc97735928"/>
      <w:bookmarkStart w:id="29" w:name="_Toc97725412"/>
      <w:bookmarkStart w:id="30" w:name="_Toc97734009"/>
      <w:bookmarkStart w:id="31" w:name="_Toc97735929"/>
      <w:bookmarkStart w:id="32" w:name="_Toc97725413"/>
      <w:bookmarkStart w:id="33" w:name="_Toc97734010"/>
      <w:bookmarkStart w:id="34" w:name="_Toc97735930"/>
      <w:bookmarkStart w:id="35" w:name="_Toc97725414"/>
      <w:bookmarkStart w:id="36" w:name="_Toc97734011"/>
      <w:bookmarkStart w:id="37" w:name="_Toc97735931"/>
      <w:bookmarkStart w:id="38" w:name="_Toc97725415"/>
      <w:bookmarkStart w:id="39" w:name="_Toc97734012"/>
      <w:bookmarkStart w:id="40" w:name="_Toc97735932"/>
      <w:bookmarkStart w:id="41" w:name="_Toc97725416"/>
      <w:bookmarkStart w:id="42" w:name="_Toc97734013"/>
      <w:bookmarkStart w:id="43" w:name="_Toc97735933"/>
      <w:bookmarkStart w:id="44" w:name="_Toc97725417"/>
      <w:bookmarkStart w:id="45" w:name="_Toc97734014"/>
      <w:bookmarkStart w:id="46" w:name="_Toc97735934"/>
      <w:bookmarkStart w:id="47" w:name="_Toc97725418"/>
      <w:bookmarkStart w:id="48" w:name="_Toc97734015"/>
      <w:bookmarkStart w:id="49" w:name="_Toc97735935"/>
      <w:bookmarkStart w:id="50" w:name="_Toc97725419"/>
      <w:bookmarkStart w:id="51" w:name="_Toc97734016"/>
      <w:bookmarkStart w:id="52" w:name="_Toc97735936"/>
      <w:bookmarkStart w:id="53" w:name="_Toc97725420"/>
      <w:bookmarkStart w:id="54" w:name="_Toc97734017"/>
      <w:bookmarkStart w:id="55" w:name="_Toc97735937"/>
      <w:bookmarkStart w:id="56" w:name="_Toc97725421"/>
      <w:bookmarkStart w:id="57" w:name="_Toc97734018"/>
      <w:bookmarkStart w:id="58" w:name="_Toc97735938"/>
      <w:bookmarkStart w:id="59" w:name="_Toc97725422"/>
      <w:bookmarkStart w:id="60" w:name="_Toc97734019"/>
      <w:bookmarkStart w:id="61" w:name="_Toc97735939"/>
      <w:bookmarkStart w:id="62" w:name="_Toc97725423"/>
      <w:bookmarkStart w:id="63" w:name="_Toc97734020"/>
      <w:bookmarkStart w:id="64" w:name="_Toc97735940"/>
      <w:bookmarkStart w:id="65" w:name="_Toc97725424"/>
      <w:bookmarkStart w:id="66" w:name="_Toc97734021"/>
      <w:bookmarkStart w:id="67" w:name="_Toc97735941"/>
      <w:bookmarkStart w:id="68" w:name="_Toc97725425"/>
      <w:bookmarkStart w:id="69" w:name="_Toc97734022"/>
      <w:bookmarkStart w:id="70" w:name="_Toc97735942"/>
      <w:bookmarkStart w:id="71" w:name="_Toc97725426"/>
      <w:bookmarkStart w:id="72" w:name="_Toc97734023"/>
      <w:bookmarkStart w:id="73" w:name="_Toc97735943"/>
      <w:bookmarkStart w:id="74" w:name="_Toc97725427"/>
      <w:bookmarkStart w:id="75" w:name="_Toc97734024"/>
      <w:bookmarkStart w:id="76" w:name="_Toc97735944"/>
      <w:bookmarkStart w:id="77" w:name="_Toc97725428"/>
      <w:bookmarkStart w:id="78" w:name="_Toc97734025"/>
      <w:bookmarkStart w:id="79" w:name="_Toc97735945"/>
      <w:bookmarkStart w:id="80" w:name="_Toc97725429"/>
      <w:bookmarkStart w:id="81" w:name="_Toc97734026"/>
      <w:bookmarkStart w:id="82" w:name="_Toc97735946"/>
      <w:bookmarkStart w:id="83" w:name="_Toc97725430"/>
      <w:bookmarkStart w:id="84" w:name="_Toc97734027"/>
      <w:bookmarkStart w:id="85" w:name="_Toc97735947"/>
      <w:bookmarkStart w:id="86" w:name="_Toc97725431"/>
      <w:bookmarkStart w:id="87" w:name="_Toc97734028"/>
      <w:bookmarkStart w:id="88" w:name="_Toc97735948"/>
      <w:bookmarkStart w:id="89" w:name="_Toc97725432"/>
      <w:bookmarkStart w:id="90" w:name="_Toc97734029"/>
      <w:bookmarkStart w:id="91" w:name="_Toc97735949"/>
      <w:bookmarkStart w:id="92" w:name="_Toc97725433"/>
      <w:bookmarkStart w:id="93" w:name="_Toc97734030"/>
      <w:bookmarkStart w:id="94" w:name="_Toc97735950"/>
      <w:bookmarkStart w:id="95" w:name="_Toc97725434"/>
      <w:bookmarkStart w:id="96" w:name="_Toc97734031"/>
      <w:bookmarkStart w:id="97" w:name="_Toc97735951"/>
      <w:bookmarkStart w:id="98" w:name="_Toc97725435"/>
      <w:bookmarkStart w:id="99" w:name="_Toc97734032"/>
      <w:bookmarkStart w:id="100" w:name="_Toc97735952"/>
      <w:bookmarkStart w:id="101" w:name="_Toc97725436"/>
      <w:bookmarkStart w:id="102" w:name="_Toc97734033"/>
      <w:bookmarkStart w:id="103" w:name="_Toc97735953"/>
      <w:bookmarkStart w:id="104" w:name="_Toc97725437"/>
      <w:bookmarkStart w:id="105" w:name="_Toc97734034"/>
      <w:bookmarkStart w:id="106" w:name="_Toc97735954"/>
      <w:bookmarkStart w:id="107" w:name="_Toc97725438"/>
      <w:bookmarkStart w:id="108" w:name="_Toc97734035"/>
      <w:bookmarkStart w:id="109" w:name="_Toc97735955"/>
      <w:bookmarkStart w:id="110" w:name="_Toc97725439"/>
      <w:bookmarkStart w:id="111" w:name="_Toc97734036"/>
      <w:bookmarkStart w:id="112" w:name="_Toc97735956"/>
      <w:bookmarkStart w:id="113" w:name="_Toc97725440"/>
      <w:bookmarkStart w:id="114" w:name="_Toc97734037"/>
      <w:bookmarkStart w:id="115" w:name="_Toc97735957"/>
      <w:bookmarkStart w:id="116" w:name="_Toc97725441"/>
      <w:bookmarkStart w:id="117" w:name="_Toc97734038"/>
      <w:bookmarkStart w:id="118" w:name="_Toc97735958"/>
      <w:bookmarkStart w:id="119" w:name="_Toc97725442"/>
      <w:bookmarkStart w:id="120" w:name="_Toc97734039"/>
      <w:bookmarkStart w:id="121" w:name="_Toc97735959"/>
      <w:bookmarkStart w:id="122" w:name="_Toc97725443"/>
      <w:bookmarkStart w:id="123" w:name="_Toc97734040"/>
      <w:bookmarkStart w:id="124" w:name="_Toc97735960"/>
      <w:bookmarkStart w:id="125" w:name="_Toc97725444"/>
      <w:bookmarkStart w:id="126" w:name="_Toc97734041"/>
      <w:bookmarkStart w:id="127" w:name="_Toc97735961"/>
      <w:bookmarkStart w:id="128" w:name="_Toc97725445"/>
      <w:bookmarkStart w:id="129" w:name="_Toc97734042"/>
      <w:bookmarkStart w:id="130" w:name="_Toc97735962"/>
      <w:bookmarkStart w:id="131" w:name="_Toc97725446"/>
      <w:bookmarkStart w:id="132" w:name="_Toc97734043"/>
      <w:bookmarkStart w:id="133" w:name="_Toc97735963"/>
      <w:bookmarkStart w:id="134" w:name="_Toc97725447"/>
      <w:bookmarkStart w:id="135" w:name="_Toc97734044"/>
      <w:bookmarkStart w:id="136" w:name="_Toc97735964"/>
      <w:bookmarkStart w:id="137" w:name="_Toc97725448"/>
      <w:bookmarkStart w:id="138" w:name="_Toc97734045"/>
      <w:bookmarkStart w:id="139" w:name="_Toc97735965"/>
      <w:bookmarkStart w:id="140" w:name="_Toc97725449"/>
      <w:bookmarkStart w:id="141" w:name="_Toc97734046"/>
      <w:bookmarkStart w:id="142" w:name="_Toc97735966"/>
      <w:bookmarkStart w:id="143" w:name="_Toc97725450"/>
      <w:bookmarkStart w:id="144" w:name="_Toc97734047"/>
      <w:bookmarkStart w:id="145" w:name="_Toc97735967"/>
      <w:bookmarkStart w:id="146" w:name="_Toc97725451"/>
      <w:bookmarkStart w:id="147" w:name="_Toc97734048"/>
      <w:bookmarkStart w:id="148" w:name="_Toc97735968"/>
      <w:bookmarkStart w:id="149" w:name="_Toc97725452"/>
      <w:bookmarkStart w:id="150" w:name="_Toc97734049"/>
      <w:bookmarkStart w:id="151" w:name="_Toc97735969"/>
      <w:bookmarkStart w:id="152" w:name="_Toc97725453"/>
      <w:bookmarkStart w:id="153" w:name="_Toc97734050"/>
      <w:bookmarkStart w:id="154" w:name="_Toc97735970"/>
      <w:bookmarkStart w:id="155" w:name="_Toc97725454"/>
      <w:bookmarkStart w:id="156" w:name="_Toc97734051"/>
      <w:bookmarkStart w:id="157" w:name="_Toc97735971"/>
      <w:bookmarkStart w:id="158" w:name="_Toc97725455"/>
      <w:bookmarkStart w:id="159" w:name="_Toc97734052"/>
      <w:bookmarkStart w:id="160" w:name="_Toc97735972"/>
      <w:bookmarkStart w:id="161" w:name="_Toc97725456"/>
      <w:bookmarkStart w:id="162" w:name="_Toc97734053"/>
      <w:bookmarkStart w:id="163" w:name="_Toc97735973"/>
      <w:bookmarkStart w:id="164" w:name="_Toc97725457"/>
      <w:bookmarkStart w:id="165" w:name="_Toc97734054"/>
      <w:bookmarkStart w:id="166" w:name="_Toc97735974"/>
      <w:bookmarkStart w:id="167" w:name="_Toc97725458"/>
      <w:bookmarkStart w:id="168" w:name="_Toc97734055"/>
      <w:bookmarkStart w:id="169" w:name="_Toc97735975"/>
      <w:bookmarkStart w:id="170" w:name="_Toc97725459"/>
      <w:bookmarkStart w:id="171" w:name="_Toc97734056"/>
      <w:bookmarkStart w:id="172" w:name="_Toc97735976"/>
      <w:bookmarkStart w:id="173" w:name="_Toc97725460"/>
      <w:bookmarkStart w:id="174" w:name="_Toc97734057"/>
      <w:bookmarkStart w:id="175" w:name="_Toc97735977"/>
      <w:bookmarkStart w:id="176" w:name="_Toc97725461"/>
      <w:bookmarkStart w:id="177" w:name="_Toc97734058"/>
      <w:bookmarkStart w:id="178" w:name="_Toc97735978"/>
      <w:bookmarkStart w:id="179" w:name="_Toc97725462"/>
      <w:bookmarkStart w:id="180" w:name="_Toc97734059"/>
      <w:bookmarkStart w:id="181" w:name="_Toc97735979"/>
      <w:bookmarkStart w:id="182" w:name="_Toc97725463"/>
      <w:bookmarkStart w:id="183" w:name="_Toc97734060"/>
      <w:bookmarkStart w:id="184" w:name="_Toc97735980"/>
      <w:bookmarkStart w:id="185" w:name="_Toc97725464"/>
      <w:bookmarkStart w:id="186" w:name="_Toc97734061"/>
      <w:bookmarkStart w:id="187" w:name="_Toc97735981"/>
      <w:bookmarkStart w:id="188" w:name="_Toc97725465"/>
      <w:bookmarkStart w:id="189" w:name="_Toc97734062"/>
      <w:bookmarkStart w:id="190" w:name="_Toc97735982"/>
      <w:bookmarkStart w:id="191" w:name="_Toc97725466"/>
      <w:bookmarkStart w:id="192" w:name="_Toc97734063"/>
      <w:bookmarkStart w:id="193" w:name="_Toc97735983"/>
      <w:bookmarkStart w:id="194" w:name="_Toc97725467"/>
      <w:bookmarkStart w:id="195" w:name="_Toc97734064"/>
      <w:bookmarkStart w:id="196" w:name="_Toc97735984"/>
      <w:bookmarkStart w:id="197" w:name="_Toc97725468"/>
      <w:bookmarkStart w:id="198" w:name="_Toc97734065"/>
      <w:bookmarkStart w:id="199" w:name="_Toc97735985"/>
      <w:bookmarkStart w:id="200" w:name="_Toc97725469"/>
      <w:bookmarkStart w:id="201" w:name="_Toc97734066"/>
      <w:bookmarkStart w:id="202" w:name="_Toc97735986"/>
      <w:bookmarkStart w:id="203" w:name="_Toc97725470"/>
      <w:bookmarkStart w:id="204" w:name="_Toc97734067"/>
      <w:bookmarkStart w:id="205" w:name="_Toc97735987"/>
      <w:bookmarkStart w:id="206" w:name="_Toc97725471"/>
      <w:bookmarkStart w:id="207" w:name="_Toc97734068"/>
      <w:bookmarkStart w:id="208" w:name="_Toc97735988"/>
      <w:bookmarkStart w:id="209" w:name="_Toc97725472"/>
      <w:bookmarkStart w:id="210" w:name="_Toc97734069"/>
      <w:bookmarkStart w:id="211" w:name="_Toc97735989"/>
      <w:bookmarkStart w:id="212" w:name="_Toc97725473"/>
      <w:bookmarkStart w:id="213" w:name="_Toc97734070"/>
      <w:bookmarkStart w:id="214" w:name="_Toc97735990"/>
      <w:bookmarkStart w:id="215" w:name="_Toc97725474"/>
      <w:bookmarkStart w:id="216" w:name="_Toc97734071"/>
      <w:bookmarkStart w:id="217" w:name="_Toc97735991"/>
      <w:bookmarkStart w:id="218" w:name="_Toc97725475"/>
      <w:bookmarkStart w:id="219" w:name="_Toc97734072"/>
      <w:bookmarkStart w:id="220" w:name="_Toc97735992"/>
      <w:bookmarkStart w:id="221" w:name="_Toc97725476"/>
      <w:bookmarkStart w:id="222" w:name="_Toc97734073"/>
      <w:bookmarkStart w:id="223" w:name="_Toc97735993"/>
      <w:bookmarkStart w:id="224" w:name="_Toc97725477"/>
      <w:bookmarkStart w:id="225" w:name="_Toc97734074"/>
      <w:bookmarkStart w:id="226" w:name="_Toc97735994"/>
      <w:bookmarkStart w:id="227" w:name="_Toc97725478"/>
      <w:bookmarkStart w:id="228" w:name="_Toc97734075"/>
      <w:bookmarkStart w:id="229" w:name="_Toc97735995"/>
      <w:bookmarkStart w:id="230" w:name="_Toc97725479"/>
      <w:bookmarkStart w:id="231" w:name="_Toc97734076"/>
      <w:bookmarkStart w:id="232" w:name="_Toc97735996"/>
      <w:bookmarkStart w:id="233" w:name="_Toc97725480"/>
      <w:bookmarkStart w:id="234" w:name="_Toc97734077"/>
      <w:bookmarkStart w:id="235" w:name="_Toc97735997"/>
      <w:bookmarkStart w:id="236" w:name="_Toc97725481"/>
      <w:bookmarkStart w:id="237" w:name="_Toc97734078"/>
      <w:bookmarkStart w:id="238" w:name="_Toc97735998"/>
      <w:bookmarkStart w:id="239" w:name="_Toc97725482"/>
      <w:bookmarkStart w:id="240" w:name="_Toc97734079"/>
      <w:bookmarkStart w:id="241" w:name="_Toc97735999"/>
      <w:bookmarkStart w:id="242" w:name="_Toc97725483"/>
      <w:bookmarkStart w:id="243" w:name="_Toc97734080"/>
      <w:bookmarkStart w:id="244" w:name="_Toc97736000"/>
      <w:bookmarkStart w:id="245" w:name="_Toc97725484"/>
      <w:bookmarkStart w:id="246" w:name="_Toc97734081"/>
      <w:bookmarkStart w:id="247" w:name="_Toc97736001"/>
      <w:bookmarkStart w:id="248" w:name="_Toc97725485"/>
      <w:bookmarkStart w:id="249" w:name="_Toc97734082"/>
      <w:bookmarkStart w:id="250" w:name="_Toc97736002"/>
      <w:bookmarkStart w:id="251" w:name="_Toc97725486"/>
      <w:bookmarkStart w:id="252" w:name="_Toc97734083"/>
      <w:bookmarkStart w:id="253" w:name="_Toc97736003"/>
      <w:bookmarkStart w:id="254" w:name="_Toc97725487"/>
      <w:bookmarkStart w:id="255" w:name="_Toc97734084"/>
      <w:bookmarkStart w:id="256" w:name="_Toc97736004"/>
      <w:bookmarkStart w:id="257" w:name="_Toc97725488"/>
      <w:bookmarkStart w:id="258" w:name="_Toc97734085"/>
      <w:bookmarkStart w:id="259" w:name="_Toc97736005"/>
      <w:bookmarkStart w:id="260" w:name="_Toc97725489"/>
      <w:bookmarkStart w:id="261" w:name="_Toc97734086"/>
      <w:bookmarkStart w:id="262" w:name="_Toc97736006"/>
      <w:bookmarkStart w:id="263" w:name="_Toc97725490"/>
      <w:bookmarkStart w:id="264" w:name="_Toc97734087"/>
      <w:bookmarkStart w:id="265" w:name="_Toc97736007"/>
      <w:bookmarkStart w:id="266" w:name="_Toc97725491"/>
      <w:bookmarkStart w:id="267" w:name="_Toc97734088"/>
      <w:bookmarkStart w:id="268" w:name="_Toc97736008"/>
      <w:bookmarkStart w:id="269" w:name="_Toc97725492"/>
      <w:bookmarkStart w:id="270" w:name="_Toc97734089"/>
      <w:bookmarkStart w:id="271" w:name="_Toc97736009"/>
      <w:bookmarkStart w:id="272" w:name="_Toc97725493"/>
      <w:bookmarkStart w:id="273" w:name="_Toc97734090"/>
      <w:bookmarkStart w:id="274" w:name="_Toc97736010"/>
      <w:bookmarkStart w:id="275" w:name="_Toc97725494"/>
      <w:bookmarkStart w:id="276" w:name="_Toc97734091"/>
      <w:bookmarkStart w:id="277" w:name="_Toc97736011"/>
      <w:bookmarkStart w:id="278" w:name="_Toc97725495"/>
      <w:bookmarkStart w:id="279" w:name="_Toc97734092"/>
      <w:bookmarkStart w:id="280" w:name="_Toc97736012"/>
      <w:bookmarkStart w:id="281" w:name="_Toc97725496"/>
      <w:bookmarkStart w:id="282" w:name="_Toc97734093"/>
      <w:bookmarkStart w:id="283" w:name="_Toc97736013"/>
      <w:bookmarkStart w:id="284" w:name="_Toc97725497"/>
      <w:bookmarkStart w:id="285" w:name="_Toc97734094"/>
      <w:bookmarkStart w:id="286" w:name="_Toc97736014"/>
      <w:bookmarkStart w:id="287" w:name="_Toc97725498"/>
      <w:bookmarkStart w:id="288" w:name="_Toc97734095"/>
      <w:bookmarkStart w:id="289" w:name="_Toc97736015"/>
      <w:bookmarkStart w:id="290" w:name="_Toc97725499"/>
      <w:bookmarkStart w:id="291" w:name="_Toc97734096"/>
      <w:bookmarkStart w:id="292" w:name="_Toc97736016"/>
      <w:bookmarkStart w:id="293" w:name="_Toc97725500"/>
      <w:bookmarkStart w:id="294" w:name="_Toc97734097"/>
      <w:bookmarkStart w:id="295" w:name="_Toc97736017"/>
      <w:bookmarkStart w:id="296" w:name="_Toc97725501"/>
      <w:bookmarkStart w:id="297" w:name="_Toc97734098"/>
      <w:bookmarkStart w:id="298" w:name="_Toc97736018"/>
      <w:bookmarkStart w:id="299" w:name="_Toc97725502"/>
      <w:bookmarkStart w:id="300" w:name="_Toc97734099"/>
      <w:bookmarkStart w:id="301" w:name="_Toc97736019"/>
      <w:bookmarkStart w:id="302" w:name="_Toc97725503"/>
      <w:bookmarkStart w:id="303" w:name="_Toc97734100"/>
      <w:bookmarkStart w:id="304" w:name="_Toc97736020"/>
      <w:bookmarkStart w:id="305" w:name="_Toc97725504"/>
      <w:bookmarkStart w:id="306" w:name="_Toc97734101"/>
      <w:bookmarkStart w:id="307" w:name="_Toc97736021"/>
      <w:bookmarkStart w:id="308" w:name="_Toc97725505"/>
      <w:bookmarkStart w:id="309" w:name="_Toc97734102"/>
      <w:bookmarkStart w:id="310" w:name="_Toc97736022"/>
      <w:bookmarkStart w:id="311" w:name="_Toc97725506"/>
      <w:bookmarkStart w:id="312" w:name="_Toc97734103"/>
      <w:bookmarkStart w:id="313" w:name="_Toc97736023"/>
      <w:bookmarkStart w:id="314" w:name="_Toc97725507"/>
      <w:bookmarkStart w:id="315" w:name="_Toc97734104"/>
      <w:bookmarkStart w:id="316" w:name="_Toc97736024"/>
      <w:bookmarkStart w:id="317" w:name="_Toc97725508"/>
      <w:bookmarkStart w:id="318" w:name="_Toc97734105"/>
      <w:bookmarkStart w:id="319" w:name="_Toc97736025"/>
      <w:bookmarkStart w:id="320" w:name="_Toc97725509"/>
      <w:bookmarkStart w:id="321" w:name="_Toc97734106"/>
      <w:bookmarkStart w:id="322" w:name="_Toc97736026"/>
      <w:bookmarkStart w:id="323" w:name="_Toc97725510"/>
      <w:bookmarkStart w:id="324" w:name="_Toc97734107"/>
      <w:bookmarkStart w:id="325" w:name="_Toc97736027"/>
      <w:bookmarkStart w:id="326" w:name="_Toc97725511"/>
      <w:bookmarkStart w:id="327" w:name="_Toc97734108"/>
      <w:bookmarkStart w:id="328" w:name="_Toc97736028"/>
      <w:bookmarkStart w:id="329" w:name="_Toc97725512"/>
      <w:bookmarkStart w:id="330" w:name="_Toc97734109"/>
      <w:bookmarkStart w:id="331" w:name="_Toc97736029"/>
      <w:bookmarkStart w:id="332" w:name="_Toc97725513"/>
      <w:bookmarkStart w:id="333" w:name="_Toc97734110"/>
      <w:bookmarkStart w:id="334" w:name="_Toc97736030"/>
      <w:bookmarkStart w:id="335" w:name="_Toc97725514"/>
      <w:bookmarkStart w:id="336" w:name="_Toc97734111"/>
      <w:bookmarkStart w:id="337" w:name="_Toc97736031"/>
      <w:bookmarkStart w:id="338" w:name="_Toc97725515"/>
      <w:bookmarkStart w:id="339" w:name="_Toc97734112"/>
      <w:bookmarkStart w:id="340" w:name="_Toc97736032"/>
      <w:bookmarkStart w:id="341" w:name="_Toc97725516"/>
      <w:bookmarkStart w:id="342" w:name="_Toc97734113"/>
      <w:bookmarkStart w:id="343" w:name="_Toc97736033"/>
      <w:bookmarkStart w:id="344" w:name="_Toc97725517"/>
      <w:bookmarkStart w:id="345" w:name="_Toc97734114"/>
      <w:bookmarkStart w:id="346" w:name="_Toc97736034"/>
      <w:bookmarkStart w:id="347" w:name="_Toc97725518"/>
      <w:bookmarkStart w:id="348" w:name="_Toc97734115"/>
      <w:bookmarkStart w:id="349" w:name="_Toc97736035"/>
      <w:bookmarkStart w:id="350" w:name="_Toc97725519"/>
      <w:bookmarkStart w:id="351" w:name="_Toc97734116"/>
      <w:bookmarkStart w:id="352" w:name="_Toc97736036"/>
      <w:bookmarkStart w:id="353" w:name="_Toc97725520"/>
      <w:bookmarkStart w:id="354" w:name="_Toc97734117"/>
      <w:bookmarkStart w:id="355" w:name="_Toc97736037"/>
      <w:bookmarkStart w:id="356" w:name="_Toc97725521"/>
      <w:bookmarkStart w:id="357" w:name="_Toc97734118"/>
      <w:bookmarkStart w:id="358" w:name="_Toc97736038"/>
      <w:bookmarkStart w:id="359" w:name="_Toc97725522"/>
      <w:bookmarkStart w:id="360" w:name="_Toc97734119"/>
      <w:bookmarkStart w:id="361" w:name="_Toc97736039"/>
      <w:bookmarkStart w:id="362" w:name="_Toc97725523"/>
      <w:bookmarkStart w:id="363" w:name="_Toc97734120"/>
      <w:bookmarkStart w:id="364" w:name="_Toc97736040"/>
      <w:bookmarkStart w:id="365" w:name="_Toc97725524"/>
      <w:bookmarkStart w:id="366" w:name="_Toc97734121"/>
      <w:bookmarkStart w:id="367" w:name="_Toc97736041"/>
      <w:bookmarkStart w:id="368" w:name="_Toc97725525"/>
      <w:bookmarkStart w:id="369" w:name="_Toc97734122"/>
      <w:bookmarkStart w:id="370" w:name="_Toc97736042"/>
      <w:bookmarkStart w:id="371" w:name="_Toc97725526"/>
      <w:bookmarkStart w:id="372" w:name="_Toc97734123"/>
      <w:bookmarkStart w:id="373" w:name="_Toc97736043"/>
      <w:bookmarkStart w:id="374" w:name="_Toc97725527"/>
      <w:bookmarkStart w:id="375" w:name="_Toc97734124"/>
      <w:bookmarkStart w:id="376" w:name="_Toc97736044"/>
      <w:bookmarkStart w:id="377" w:name="_Toc97725528"/>
      <w:bookmarkStart w:id="378" w:name="_Toc97734125"/>
      <w:bookmarkStart w:id="379" w:name="_Toc97736045"/>
      <w:bookmarkStart w:id="380" w:name="_Toc97725529"/>
      <w:bookmarkStart w:id="381" w:name="_Toc97734126"/>
      <w:bookmarkStart w:id="382" w:name="_Toc97736046"/>
      <w:bookmarkStart w:id="383" w:name="_Toc97725530"/>
      <w:bookmarkStart w:id="384" w:name="_Toc97734127"/>
      <w:bookmarkStart w:id="385" w:name="_Toc97736047"/>
      <w:bookmarkStart w:id="386" w:name="_Toc97725531"/>
      <w:bookmarkStart w:id="387" w:name="_Toc97734128"/>
      <w:bookmarkStart w:id="388" w:name="_Toc97736048"/>
      <w:bookmarkStart w:id="389" w:name="_Toc97725532"/>
      <w:bookmarkStart w:id="390" w:name="_Toc97734129"/>
      <w:bookmarkStart w:id="391" w:name="_Toc97736049"/>
      <w:bookmarkStart w:id="392" w:name="_Toc97725533"/>
      <w:bookmarkStart w:id="393" w:name="_Toc97734130"/>
      <w:bookmarkStart w:id="394" w:name="_Toc97736050"/>
      <w:bookmarkStart w:id="395" w:name="_Toc97725534"/>
      <w:bookmarkStart w:id="396" w:name="_Toc97734131"/>
      <w:bookmarkStart w:id="397" w:name="_Toc97736051"/>
      <w:bookmarkStart w:id="398" w:name="_Toc97725535"/>
      <w:bookmarkStart w:id="399" w:name="_Toc97734132"/>
      <w:bookmarkStart w:id="400" w:name="_Toc97736052"/>
      <w:bookmarkStart w:id="401" w:name="_Toc97725536"/>
      <w:bookmarkStart w:id="402" w:name="_Toc97734133"/>
      <w:bookmarkStart w:id="403" w:name="_Toc97736053"/>
      <w:bookmarkStart w:id="404" w:name="_Toc97725537"/>
      <w:bookmarkStart w:id="405" w:name="_Toc97734134"/>
      <w:bookmarkStart w:id="406" w:name="_Toc97736054"/>
      <w:bookmarkStart w:id="407" w:name="_Toc97725538"/>
      <w:bookmarkStart w:id="408" w:name="_Toc97734135"/>
      <w:bookmarkStart w:id="409" w:name="_Toc97736055"/>
      <w:bookmarkStart w:id="410" w:name="_Toc97725539"/>
      <w:bookmarkStart w:id="411" w:name="_Toc97734136"/>
      <w:bookmarkStart w:id="412" w:name="_Toc97736056"/>
      <w:bookmarkStart w:id="413" w:name="_Toc97725540"/>
      <w:bookmarkStart w:id="414" w:name="_Toc97734137"/>
      <w:bookmarkStart w:id="415" w:name="_Toc97736057"/>
      <w:bookmarkStart w:id="416" w:name="_Toc97725541"/>
      <w:bookmarkStart w:id="417" w:name="_Toc97734138"/>
      <w:bookmarkStart w:id="418" w:name="_Toc97736058"/>
      <w:bookmarkStart w:id="419" w:name="_Toc97725542"/>
      <w:bookmarkStart w:id="420" w:name="_Toc97734139"/>
      <w:bookmarkStart w:id="421" w:name="_Toc97736059"/>
      <w:bookmarkStart w:id="422" w:name="_Toc97725543"/>
      <w:bookmarkStart w:id="423" w:name="_Toc97734140"/>
      <w:bookmarkStart w:id="424" w:name="_Toc97736060"/>
      <w:bookmarkStart w:id="425" w:name="_Toc97725544"/>
      <w:bookmarkStart w:id="426" w:name="_Toc97734141"/>
      <w:bookmarkStart w:id="427" w:name="_Toc97736061"/>
      <w:bookmarkStart w:id="428" w:name="_Toc97725545"/>
      <w:bookmarkStart w:id="429" w:name="_Toc97734142"/>
      <w:bookmarkStart w:id="430" w:name="_Toc97736062"/>
      <w:bookmarkStart w:id="431" w:name="_Toc97725546"/>
      <w:bookmarkStart w:id="432" w:name="_Toc97734143"/>
      <w:bookmarkStart w:id="433" w:name="_Toc97736063"/>
      <w:bookmarkStart w:id="434" w:name="_Toc97725547"/>
      <w:bookmarkStart w:id="435" w:name="_Toc97734144"/>
      <w:bookmarkStart w:id="436" w:name="_Toc97736064"/>
      <w:bookmarkStart w:id="437" w:name="_Toc97725548"/>
      <w:bookmarkStart w:id="438" w:name="_Toc97734145"/>
      <w:bookmarkStart w:id="439" w:name="_Toc97736065"/>
      <w:bookmarkStart w:id="440" w:name="_Toc97725549"/>
      <w:bookmarkStart w:id="441" w:name="_Toc97734146"/>
      <w:bookmarkStart w:id="442" w:name="_Toc97736066"/>
      <w:bookmarkStart w:id="443" w:name="_Toc97725550"/>
      <w:bookmarkStart w:id="444" w:name="_Toc97734147"/>
      <w:bookmarkStart w:id="445" w:name="_Toc97736067"/>
      <w:bookmarkStart w:id="446" w:name="_Toc97725551"/>
      <w:bookmarkStart w:id="447" w:name="_Toc97734148"/>
      <w:bookmarkStart w:id="448" w:name="_Toc97736068"/>
      <w:bookmarkStart w:id="449" w:name="_Toc97725552"/>
      <w:bookmarkStart w:id="450" w:name="_Toc97734149"/>
      <w:bookmarkStart w:id="451" w:name="_Toc97736069"/>
      <w:bookmarkStart w:id="452" w:name="_Toc97725553"/>
      <w:bookmarkStart w:id="453" w:name="_Toc97734150"/>
      <w:bookmarkStart w:id="454" w:name="_Toc97736070"/>
      <w:bookmarkStart w:id="455" w:name="_Toc97725554"/>
      <w:bookmarkStart w:id="456" w:name="_Toc97734151"/>
      <w:bookmarkStart w:id="457" w:name="_Toc97736071"/>
      <w:bookmarkStart w:id="458" w:name="_Toc97725555"/>
      <w:bookmarkStart w:id="459" w:name="_Toc97734152"/>
      <w:bookmarkStart w:id="460" w:name="_Toc97736072"/>
      <w:bookmarkStart w:id="461" w:name="_Toc97725556"/>
      <w:bookmarkStart w:id="462" w:name="_Toc97734153"/>
      <w:bookmarkStart w:id="463" w:name="_Toc97736073"/>
      <w:bookmarkStart w:id="464" w:name="_Toc97725557"/>
      <w:bookmarkStart w:id="465" w:name="_Toc97734154"/>
      <w:bookmarkStart w:id="466" w:name="_Toc97736074"/>
      <w:bookmarkStart w:id="467" w:name="_Toc97725558"/>
      <w:bookmarkStart w:id="468" w:name="_Toc97734155"/>
      <w:bookmarkStart w:id="469" w:name="_Toc97736075"/>
      <w:bookmarkStart w:id="470" w:name="_Toc97725559"/>
      <w:bookmarkStart w:id="471" w:name="_Toc97734156"/>
      <w:bookmarkStart w:id="472" w:name="_Toc97736076"/>
      <w:bookmarkStart w:id="473" w:name="_Toc97725560"/>
      <w:bookmarkStart w:id="474" w:name="_Toc97734157"/>
      <w:bookmarkStart w:id="475" w:name="_Toc97736077"/>
      <w:bookmarkStart w:id="476" w:name="_Toc97725561"/>
      <w:bookmarkStart w:id="477" w:name="_Toc97734158"/>
      <w:bookmarkStart w:id="478" w:name="_Toc97736078"/>
      <w:bookmarkStart w:id="479" w:name="_Toc97725562"/>
      <w:bookmarkStart w:id="480" w:name="_Toc97734159"/>
      <w:bookmarkStart w:id="481" w:name="_Toc97736079"/>
      <w:bookmarkStart w:id="482" w:name="_Toc97725563"/>
      <w:bookmarkStart w:id="483" w:name="_Toc97734160"/>
      <w:bookmarkStart w:id="484" w:name="_Toc97736080"/>
      <w:bookmarkStart w:id="485" w:name="_Toc97725564"/>
      <w:bookmarkStart w:id="486" w:name="_Toc97734161"/>
      <w:bookmarkStart w:id="487" w:name="_Toc97736081"/>
      <w:bookmarkStart w:id="488" w:name="_Toc97725565"/>
      <w:bookmarkStart w:id="489" w:name="_Toc97734162"/>
      <w:bookmarkStart w:id="490" w:name="_Toc97736082"/>
      <w:bookmarkStart w:id="491" w:name="_Toc97725566"/>
      <w:bookmarkStart w:id="492" w:name="_Toc97734163"/>
      <w:bookmarkStart w:id="493" w:name="_Toc97736083"/>
      <w:bookmarkStart w:id="494" w:name="_Toc97725567"/>
      <w:bookmarkStart w:id="495" w:name="_Toc97734164"/>
      <w:bookmarkStart w:id="496" w:name="_Toc97736084"/>
      <w:bookmarkStart w:id="497" w:name="_Toc97725568"/>
      <w:bookmarkStart w:id="498" w:name="_Toc97734165"/>
      <w:bookmarkStart w:id="499" w:name="_Toc97736085"/>
      <w:bookmarkStart w:id="500" w:name="_Toc97725569"/>
      <w:bookmarkStart w:id="501" w:name="_Toc97734166"/>
      <w:bookmarkStart w:id="502" w:name="_Toc97736086"/>
      <w:bookmarkStart w:id="503" w:name="_Toc97725570"/>
      <w:bookmarkStart w:id="504" w:name="_Toc97734167"/>
      <w:bookmarkStart w:id="505" w:name="_Toc97736087"/>
      <w:bookmarkStart w:id="506" w:name="_Toc97725571"/>
      <w:bookmarkStart w:id="507" w:name="_Toc97734168"/>
      <w:bookmarkStart w:id="508" w:name="_Toc97736088"/>
      <w:bookmarkStart w:id="509" w:name="_Toc97725572"/>
      <w:bookmarkStart w:id="510" w:name="_Toc97734169"/>
      <w:bookmarkStart w:id="511" w:name="_Toc97736089"/>
      <w:bookmarkStart w:id="512" w:name="_Toc97725573"/>
      <w:bookmarkStart w:id="513" w:name="_Toc97734170"/>
      <w:bookmarkStart w:id="514" w:name="_Toc97736090"/>
      <w:bookmarkStart w:id="515" w:name="_Toc97725574"/>
      <w:bookmarkStart w:id="516" w:name="_Toc97734171"/>
      <w:bookmarkStart w:id="517" w:name="_Toc97736091"/>
      <w:bookmarkStart w:id="518" w:name="_Toc97725575"/>
      <w:bookmarkStart w:id="519" w:name="_Toc97734172"/>
      <w:bookmarkStart w:id="520" w:name="_Toc97736092"/>
      <w:bookmarkStart w:id="521" w:name="_Toc97725576"/>
      <w:bookmarkStart w:id="522" w:name="_Toc97734173"/>
      <w:bookmarkStart w:id="523" w:name="_Toc97736093"/>
      <w:bookmarkStart w:id="524" w:name="_Toc97725577"/>
      <w:bookmarkStart w:id="525" w:name="_Toc97734174"/>
      <w:bookmarkStart w:id="526" w:name="_Toc97736094"/>
      <w:bookmarkStart w:id="527" w:name="_Toc97725578"/>
      <w:bookmarkStart w:id="528" w:name="_Toc97734175"/>
      <w:bookmarkStart w:id="529" w:name="_Toc97736095"/>
      <w:bookmarkStart w:id="530" w:name="_Toc97725579"/>
      <w:bookmarkStart w:id="531" w:name="_Toc97734176"/>
      <w:bookmarkStart w:id="532" w:name="_Toc97736096"/>
      <w:bookmarkStart w:id="533" w:name="_Toc97725580"/>
      <w:bookmarkStart w:id="534" w:name="_Toc97734177"/>
      <w:bookmarkStart w:id="535" w:name="_Toc97736097"/>
      <w:bookmarkStart w:id="536" w:name="_Toc97725581"/>
      <w:bookmarkStart w:id="537" w:name="_Toc97734178"/>
      <w:bookmarkStart w:id="538" w:name="_Toc97736098"/>
      <w:bookmarkStart w:id="539" w:name="_Toc97725582"/>
      <w:bookmarkStart w:id="540" w:name="_Toc97734179"/>
      <w:bookmarkStart w:id="541" w:name="_Toc97736099"/>
      <w:bookmarkStart w:id="542" w:name="_Toc97725583"/>
      <w:bookmarkStart w:id="543" w:name="_Toc97734180"/>
      <w:bookmarkStart w:id="544" w:name="_Toc97736100"/>
      <w:bookmarkStart w:id="545" w:name="_Toc97725584"/>
      <w:bookmarkStart w:id="546" w:name="_Toc97734181"/>
      <w:bookmarkStart w:id="547" w:name="_Toc97736101"/>
      <w:bookmarkStart w:id="548" w:name="_Toc97725585"/>
      <w:bookmarkStart w:id="549" w:name="_Toc97734182"/>
      <w:bookmarkStart w:id="550" w:name="_Toc97736102"/>
      <w:bookmarkStart w:id="551" w:name="_Toc97725586"/>
      <w:bookmarkStart w:id="552" w:name="_Toc97734183"/>
      <w:bookmarkStart w:id="553" w:name="_Toc97736103"/>
      <w:bookmarkStart w:id="554" w:name="_Toc97725587"/>
      <w:bookmarkStart w:id="555" w:name="_Toc97734184"/>
      <w:bookmarkStart w:id="556" w:name="_Toc97736104"/>
      <w:bookmarkStart w:id="557" w:name="_Toc97725588"/>
      <w:bookmarkStart w:id="558" w:name="_Toc97734185"/>
      <w:bookmarkStart w:id="559" w:name="_Toc97736105"/>
      <w:bookmarkStart w:id="560" w:name="_Toc97725589"/>
      <w:bookmarkStart w:id="561" w:name="_Toc97734186"/>
      <w:bookmarkStart w:id="562" w:name="_Toc97736106"/>
      <w:bookmarkStart w:id="563" w:name="_Toc97725590"/>
      <w:bookmarkStart w:id="564" w:name="_Toc97734187"/>
      <w:bookmarkStart w:id="565" w:name="_Toc97736107"/>
      <w:bookmarkStart w:id="566" w:name="_Toc97725591"/>
      <w:bookmarkStart w:id="567" w:name="_Toc97734188"/>
      <w:bookmarkStart w:id="568" w:name="_Toc97736108"/>
      <w:bookmarkStart w:id="569" w:name="_Toc97725592"/>
      <w:bookmarkStart w:id="570" w:name="_Toc97734189"/>
      <w:bookmarkStart w:id="571" w:name="_Toc97736109"/>
      <w:bookmarkStart w:id="572" w:name="_Toc97725593"/>
      <w:bookmarkStart w:id="573" w:name="_Toc97734190"/>
      <w:bookmarkStart w:id="574" w:name="_Toc97736110"/>
      <w:bookmarkStart w:id="575" w:name="_Toc97725594"/>
      <w:bookmarkStart w:id="576" w:name="_Toc97734191"/>
      <w:bookmarkStart w:id="577" w:name="_Toc97736111"/>
      <w:bookmarkStart w:id="578" w:name="_Toc97725595"/>
      <w:bookmarkStart w:id="579" w:name="_Toc97734192"/>
      <w:bookmarkStart w:id="580" w:name="_Toc97736112"/>
      <w:bookmarkStart w:id="581" w:name="_Toc12071397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474740">
        <w:t>COSTS</w:t>
      </w:r>
      <w:bookmarkStart w:id="582" w:name="_Toc97725596"/>
      <w:bookmarkEnd w:id="581"/>
      <w:bookmarkEnd w:id="582"/>
    </w:p>
    <w:p w14:paraId="2844F3E1" w14:textId="77777777" w:rsidR="00996BF3" w:rsidRPr="00474740" w:rsidRDefault="00996BF3" w:rsidP="006C1B0F">
      <w:pPr>
        <w:rPr>
          <w:rFonts w:eastAsia="Calibri"/>
        </w:rPr>
      </w:pPr>
      <w:bookmarkStart w:id="583" w:name="_Toc97725597"/>
      <w:bookmarkEnd w:id="583"/>
    </w:p>
    <w:p w14:paraId="2C4FDF12" w14:textId="79484B4E" w:rsidR="00ED55BE" w:rsidRPr="00474740" w:rsidRDefault="00ED55BE" w:rsidP="006C1B0F">
      <w:pPr>
        <w:rPr>
          <w:rFonts w:eastAsia="Calibri"/>
          <w:b/>
        </w:rPr>
      </w:pPr>
      <w:r w:rsidRPr="00474740">
        <w:rPr>
          <w:rFonts w:eastAsia="Calibri"/>
        </w:rPr>
        <w:t xml:space="preserve">The Applicants pray that the Court orders the Respondent State to pay their costs. </w:t>
      </w:r>
    </w:p>
    <w:p w14:paraId="0F2D7861" w14:textId="77777777" w:rsidR="00ED55BE" w:rsidRPr="00474740" w:rsidRDefault="00ED55BE" w:rsidP="006C1B0F">
      <w:pPr>
        <w:rPr>
          <w:rFonts w:eastAsia="Calibri"/>
          <w:b/>
        </w:rPr>
      </w:pPr>
    </w:p>
    <w:p w14:paraId="5E6FD59D" w14:textId="657DD8FC" w:rsidR="00ED55BE" w:rsidRPr="00474740" w:rsidRDefault="00ED55BE" w:rsidP="006C1B0F">
      <w:pPr>
        <w:rPr>
          <w:rFonts w:eastAsia="Calibri"/>
          <w:b/>
        </w:rPr>
      </w:pPr>
      <w:r w:rsidRPr="00474740">
        <w:rPr>
          <w:rFonts w:eastAsia="Calibri"/>
        </w:rPr>
        <w:t>The Respondent State pray</w:t>
      </w:r>
      <w:r w:rsidR="00333327">
        <w:rPr>
          <w:rFonts w:eastAsia="Calibri"/>
        </w:rPr>
        <w:t>s</w:t>
      </w:r>
      <w:r w:rsidRPr="00474740">
        <w:rPr>
          <w:rFonts w:eastAsia="Calibri"/>
        </w:rPr>
        <w:t xml:space="preserve"> that costs be borne by the Applicants.</w:t>
      </w:r>
    </w:p>
    <w:p w14:paraId="604C151F" w14:textId="77777777" w:rsidR="00516A77" w:rsidRPr="00474740" w:rsidRDefault="00516A77" w:rsidP="006C1B0F">
      <w:pPr>
        <w:rPr>
          <w:color w:val="000000" w:themeColor="text1"/>
        </w:rPr>
      </w:pPr>
    </w:p>
    <w:p w14:paraId="7E83A23E" w14:textId="1B2B1EDF" w:rsidR="00ED55BE" w:rsidRPr="00474740" w:rsidRDefault="00ED55BE" w:rsidP="006C1B0F">
      <w:pPr>
        <w:rPr>
          <w:color w:val="000000" w:themeColor="text1"/>
        </w:rPr>
      </w:pPr>
      <w:r w:rsidRPr="00474740">
        <w:rPr>
          <w:color w:val="000000" w:themeColor="text1"/>
        </w:rPr>
        <w:t>***</w:t>
      </w:r>
    </w:p>
    <w:p w14:paraId="1AF41D9C" w14:textId="77777777" w:rsidR="00ED55BE" w:rsidRPr="00474740" w:rsidRDefault="00ED55BE" w:rsidP="006C1B0F">
      <w:pPr>
        <w:rPr>
          <w:color w:val="000000" w:themeColor="text1"/>
        </w:rPr>
      </w:pPr>
    </w:p>
    <w:p w14:paraId="2220B188" w14:textId="6CB79A22" w:rsidR="00ED55BE" w:rsidRPr="00474740" w:rsidRDefault="00ED55BE" w:rsidP="006C1B0F">
      <w:pPr>
        <w:rPr>
          <w:rFonts w:eastAsia="Calibri"/>
          <w:b/>
        </w:rPr>
      </w:pPr>
      <w:r w:rsidRPr="00474740">
        <w:rPr>
          <w:rFonts w:eastAsia="Calibri"/>
        </w:rPr>
        <w:lastRenderedPageBreak/>
        <w:t xml:space="preserve">The </w:t>
      </w:r>
      <w:r w:rsidRPr="00474740">
        <w:t>Court</w:t>
      </w:r>
      <w:r w:rsidRPr="00474740">
        <w:rPr>
          <w:rFonts w:eastAsia="Calibri"/>
        </w:rPr>
        <w:t xml:space="preserve"> notes that Rule 32(2) of the Rules of Court provides that: “unless otherwise decided by the Court, each party shall bear its own costs, if any”.</w:t>
      </w:r>
      <w:bookmarkStart w:id="584" w:name="_Toc97725603"/>
      <w:bookmarkStart w:id="585" w:name="_Toc97725604"/>
      <w:bookmarkStart w:id="586" w:name="_Toc97725605"/>
      <w:bookmarkStart w:id="587" w:name="_Toc97725606"/>
      <w:bookmarkStart w:id="588" w:name="_Toc97725607"/>
      <w:bookmarkEnd w:id="584"/>
      <w:bookmarkEnd w:id="585"/>
      <w:bookmarkEnd w:id="586"/>
      <w:bookmarkEnd w:id="587"/>
      <w:bookmarkEnd w:id="588"/>
    </w:p>
    <w:p w14:paraId="5B47694C" w14:textId="77777777" w:rsidR="00ED55BE" w:rsidRPr="00474740" w:rsidRDefault="00ED55BE" w:rsidP="006C1B0F">
      <w:pPr>
        <w:rPr>
          <w:rFonts w:eastAsia="Calibri"/>
          <w:b/>
        </w:rPr>
      </w:pPr>
    </w:p>
    <w:p w14:paraId="27C6CD97" w14:textId="40BFC0E1" w:rsidR="00ED55BE" w:rsidRPr="00474740" w:rsidRDefault="00ED55BE" w:rsidP="006C1B0F">
      <w:pPr>
        <w:rPr>
          <w:rFonts w:eastAsia="Calibri"/>
          <w:b/>
        </w:rPr>
      </w:pPr>
      <w:r w:rsidRPr="00474740">
        <w:rPr>
          <w:rFonts w:eastAsia="Calibri"/>
        </w:rPr>
        <w:t xml:space="preserve">The Court finds that there is nothing in the instant case warranting it to depart from this provision. </w:t>
      </w:r>
    </w:p>
    <w:p w14:paraId="5779116C" w14:textId="77777777" w:rsidR="005D5B88" w:rsidRPr="00474740" w:rsidRDefault="005D5B88" w:rsidP="006C1B0F">
      <w:pPr>
        <w:rPr>
          <w:rFonts w:eastAsia="Calibri"/>
          <w:b/>
        </w:rPr>
      </w:pPr>
    </w:p>
    <w:p w14:paraId="2B88E884" w14:textId="77777777" w:rsidR="00ED55BE" w:rsidRPr="00474740" w:rsidRDefault="00ED55BE" w:rsidP="006C1B0F">
      <w:pPr>
        <w:rPr>
          <w:rFonts w:eastAsia="Calibri"/>
          <w:b/>
        </w:rPr>
      </w:pPr>
      <w:r w:rsidRPr="00474740">
        <w:t>Consequently</w:t>
      </w:r>
      <w:r w:rsidRPr="00474740">
        <w:rPr>
          <w:rFonts w:eastAsia="Calibri"/>
        </w:rPr>
        <w:t>, the Court orders that each party shall bear its own costs.</w:t>
      </w:r>
    </w:p>
    <w:p w14:paraId="64E92963" w14:textId="4320B6C3" w:rsidR="00262241" w:rsidRPr="00474740" w:rsidRDefault="00262241" w:rsidP="006C1B0F"/>
    <w:p w14:paraId="59102643" w14:textId="77777777" w:rsidR="00562708" w:rsidRPr="00474740" w:rsidRDefault="00562708" w:rsidP="006C1B0F"/>
    <w:p w14:paraId="03DBAACD" w14:textId="0980761B" w:rsidR="00996BF3" w:rsidRPr="00474740" w:rsidRDefault="00996BF3" w:rsidP="006C1B0F">
      <w:bookmarkStart w:id="589" w:name="_Toc39148244"/>
      <w:bookmarkStart w:id="590" w:name="_Toc120713973"/>
      <w:r w:rsidRPr="00474740">
        <w:t xml:space="preserve">OPERATIVE </w:t>
      </w:r>
      <w:bookmarkEnd w:id="589"/>
      <w:r w:rsidRPr="00474740">
        <w:t>PART</w:t>
      </w:r>
      <w:bookmarkEnd w:id="590"/>
    </w:p>
    <w:p w14:paraId="203F94E5" w14:textId="77777777" w:rsidR="00DD6C0C" w:rsidRPr="00474740" w:rsidRDefault="00DD6C0C" w:rsidP="006C1B0F">
      <w:pPr>
        <w:rPr>
          <w:lang w:val="en-US"/>
        </w:rPr>
      </w:pPr>
    </w:p>
    <w:p w14:paraId="747D8456" w14:textId="6CCCD394" w:rsidR="00996BF3" w:rsidRPr="00474740" w:rsidRDefault="00996BF3" w:rsidP="006C1B0F">
      <w:r w:rsidRPr="00474740">
        <w:t xml:space="preserve">For these reasons: </w:t>
      </w:r>
    </w:p>
    <w:p w14:paraId="7157956D" w14:textId="77777777" w:rsidR="00E64F18" w:rsidRPr="00474740" w:rsidRDefault="00E64F18" w:rsidP="006C1B0F"/>
    <w:p w14:paraId="2CED8BA7" w14:textId="77777777" w:rsidR="003C73F3" w:rsidRPr="00474740" w:rsidRDefault="00996BF3" w:rsidP="006C1B0F">
      <w:r w:rsidRPr="00474740">
        <w:t>THE COURT,</w:t>
      </w:r>
    </w:p>
    <w:p w14:paraId="05A39946" w14:textId="1757400C" w:rsidR="00725179" w:rsidRPr="00474740" w:rsidRDefault="00996BF3" w:rsidP="006C1B0F">
      <w:r w:rsidRPr="00474740">
        <w:t xml:space="preserve"> </w:t>
      </w:r>
    </w:p>
    <w:p w14:paraId="4B4FFDE6" w14:textId="1DACA9F2" w:rsidR="00A223D5" w:rsidRDefault="00996BF3" w:rsidP="006C1B0F">
      <w:pPr>
        <w:rPr>
          <w:i/>
          <w:color w:val="000000" w:themeColor="text1"/>
        </w:rPr>
      </w:pPr>
      <w:r w:rsidRPr="00474740">
        <w:rPr>
          <w:i/>
        </w:rPr>
        <w:t xml:space="preserve">On </w:t>
      </w:r>
      <w:r w:rsidR="00A223D5" w:rsidRPr="00474740">
        <w:rPr>
          <w:i/>
          <w:color w:val="000000" w:themeColor="text1"/>
        </w:rPr>
        <w:t>j</w:t>
      </w:r>
      <w:r w:rsidRPr="00474740">
        <w:rPr>
          <w:i/>
          <w:color w:val="000000" w:themeColor="text1"/>
        </w:rPr>
        <w:t>urisdiction</w:t>
      </w:r>
    </w:p>
    <w:p w14:paraId="04007319" w14:textId="77777777" w:rsidR="00725179" w:rsidRPr="00474740" w:rsidRDefault="00725179" w:rsidP="006C1B0F">
      <w:pPr>
        <w:rPr>
          <w:i/>
          <w:color w:val="000000" w:themeColor="text1"/>
        </w:rPr>
      </w:pPr>
    </w:p>
    <w:p w14:paraId="635106A4" w14:textId="2BD8240C" w:rsidR="0096382B" w:rsidRPr="0096382B" w:rsidRDefault="0096382B" w:rsidP="006C1B0F">
      <w:pPr>
        <w:rPr>
          <w:i/>
        </w:rPr>
      </w:pPr>
      <w:r w:rsidRPr="0096382B">
        <w:rPr>
          <w:i/>
          <w:iCs/>
        </w:rPr>
        <w:t>Unanimously</w:t>
      </w:r>
      <w:r w:rsidRPr="0096382B">
        <w:rPr>
          <w:i/>
        </w:rPr>
        <w:t xml:space="preserve">, </w:t>
      </w:r>
    </w:p>
    <w:p w14:paraId="3E734300" w14:textId="4C3FEC10" w:rsidR="00996BF3" w:rsidRPr="00474740" w:rsidRDefault="00996BF3" w:rsidP="006C1B0F">
      <w:pPr>
        <w:rPr>
          <w:i/>
        </w:rPr>
      </w:pPr>
    </w:p>
    <w:p w14:paraId="418F8010" w14:textId="6C32A643" w:rsidR="00996BF3" w:rsidRPr="00474740" w:rsidRDefault="00996BF3" w:rsidP="006C1B0F">
      <w:pPr>
        <w:rPr>
          <w:b/>
        </w:rPr>
      </w:pPr>
      <w:r w:rsidRPr="00474740">
        <w:rPr>
          <w:rFonts w:eastAsia="Arial"/>
          <w:i/>
          <w:iCs/>
          <w:szCs w:val="22"/>
        </w:rPr>
        <w:t>Declares</w:t>
      </w:r>
      <w:r w:rsidRPr="00474740">
        <w:rPr>
          <w:i/>
        </w:rPr>
        <w:t xml:space="preserve"> </w:t>
      </w:r>
      <w:r w:rsidRPr="00474740">
        <w:t xml:space="preserve">that it has jurisdiction. </w:t>
      </w:r>
    </w:p>
    <w:p w14:paraId="69DBF6F2" w14:textId="00AE90B5" w:rsidR="00904254" w:rsidRDefault="00904254" w:rsidP="006C1B0F">
      <w:pPr>
        <w:rPr>
          <w:b/>
        </w:rPr>
      </w:pPr>
    </w:p>
    <w:p w14:paraId="43F211FF" w14:textId="77777777" w:rsidR="00725179" w:rsidRPr="00474740" w:rsidRDefault="00725179" w:rsidP="006C1B0F">
      <w:pPr>
        <w:rPr>
          <w:b/>
        </w:rPr>
      </w:pPr>
    </w:p>
    <w:p w14:paraId="3930C6B2" w14:textId="56CC4375" w:rsidR="00996BF3" w:rsidRPr="00474740" w:rsidRDefault="00996BF3" w:rsidP="006C1B0F">
      <w:pPr>
        <w:rPr>
          <w:i/>
        </w:rPr>
      </w:pPr>
      <w:r w:rsidRPr="00474740">
        <w:rPr>
          <w:i/>
        </w:rPr>
        <w:t xml:space="preserve">On </w:t>
      </w:r>
      <w:r w:rsidR="00A223D5" w:rsidRPr="00474740">
        <w:rPr>
          <w:i/>
          <w:color w:val="000000" w:themeColor="text1"/>
        </w:rPr>
        <w:t>a</w:t>
      </w:r>
      <w:r w:rsidRPr="00474740">
        <w:rPr>
          <w:i/>
          <w:color w:val="000000" w:themeColor="text1"/>
        </w:rPr>
        <w:t>dmissibility</w:t>
      </w:r>
      <w:r w:rsidRPr="00474740">
        <w:rPr>
          <w:i/>
        </w:rPr>
        <w:t xml:space="preserve"> </w:t>
      </w:r>
    </w:p>
    <w:p w14:paraId="7544D6B6" w14:textId="6EFC1416" w:rsidR="00A223D5" w:rsidRPr="00474740" w:rsidRDefault="00A223D5" w:rsidP="006C1B0F">
      <w:pPr>
        <w:rPr>
          <w:i/>
        </w:rPr>
      </w:pPr>
    </w:p>
    <w:p w14:paraId="1C51D4FA" w14:textId="346F1A3D" w:rsidR="001730BB" w:rsidRPr="00474740" w:rsidRDefault="00706997" w:rsidP="006C1B0F">
      <w:pPr>
        <w:rPr>
          <w:i/>
        </w:rPr>
      </w:pPr>
      <w:r w:rsidRPr="00474740">
        <w:rPr>
          <w:i/>
        </w:rPr>
        <w:t>By a majority of Eight (8) for, and Two (2) against, Justice Blaise TCHIKAYA and Justice Rafaâ BEN ACHOUR Dissenting</w:t>
      </w:r>
    </w:p>
    <w:p w14:paraId="254E686F" w14:textId="77777777" w:rsidR="007344AE" w:rsidRPr="00474740" w:rsidRDefault="007344AE" w:rsidP="006C1B0F">
      <w:pPr>
        <w:rPr>
          <w:i/>
        </w:rPr>
      </w:pPr>
    </w:p>
    <w:p w14:paraId="3C35DE55" w14:textId="554DB8A2" w:rsidR="00900D3E" w:rsidRPr="00474740" w:rsidRDefault="00996BF3" w:rsidP="006C1B0F">
      <w:pPr>
        <w:rPr>
          <w:rFonts w:eastAsia="Calibri"/>
        </w:rPr>
      </w:pPr>
      <w:r w:rsidRPr="00474740">
        <w:rPr>
          <w:rFonts w:eastAsia="Arial"/>
          <w:i/>
          <w:iCs/>
          <w:szCs w:val="22"/>
        </w:rPr>
        <w:t>Declares</w:t>
      </w:r>
      <w:r w:rsidRPr="00474740">
        <w:rPr>
          <w:rFonts w:eastAsia="Times New Roman"/>
          <w:i/>
          <w:iCs/>
          <w:lang w:eastAsia="en-GB"/>
        </w:rPr>
        <w:t xml:space="preserve"> </w:t>
      </w:r>
      <w:r w:rsidRPr="00474740">
        <w:rPr>
          <w:rFonts w:eastAsia="Times New Roman"/>
          <w:iCs/>
          <w:lang w:eastAsia="en-GB"/>
        </w:rPr>
        <w:t>that the Application is inadmissible</w:t>
      </w:r>
      <w:r w:rsidR="001E7FA3" w:rsidRPr="00474740">
        <w:rPr>
          <w:rFonts w:eastAsia="Times New Roman"/>
          <w:lang w:eastAsia="en-GB"/>
        </w:rPr>
        <w:t>.</w:t>
      </w:r>
    </w:p>
    <w:p w14:paraId="6C264A40" w14:textId="703BB92A" w:rsidR="00725534" w:rsidRDefault="00725534" w:rsidP="006C1B0F">
      <w:pPr>
        <w:rPr>
          <w:rFonts w:eastAsia="Calibri"/>
        </w:rPr>
      </w:pPr>
    </w:p>
    <w:p w14:paraId="3E3B7CF0" w14:textId="77777777" w:rsidR="00725179" w:rsidRPr="00474740" w:rsidRDefault="00725179" w:rsidP="006C1B0F">
      <w:pPr>
        <w:rPr>
          <w:rFonts w:eastAsia="Calibri"/>
        </w:rPr>
      </w:pPr>
    </w:p>
    <w:p w14:paraId="60D5442F" w14:textId="6CEE03F1" w:rsidR="00996BF3" w:rsidRPr="00474740" w:rsidRDefault="00996BF3" w:rsidP="006C1B0F">
      <w:pPr>
        <w:rPr>
          <w:i/>
          <w:color w:val="000000" w:themeColor="text1"/>
        </w:rPr>
      </w:pPr>
      <w:r w:rsidRPr="00474740">
        <w:rPr>
          <w:rFonts w:eastAsia="Times New Roman"/>
          <w:i/>
          <w:iCs/>
          <w:lang w:eastAsia="en-GB"/>
        </w:rPr>
        <w:t xml:space="preserve">On </w:t>
      </w:r>
      <w:r w:rsidR="00A223D5" w:rsidRPr="00474740">
        <w:rPr>
          <w:i/>
          <w:color w:val="000000" w:themeColor="text1"/>
        </w:rPr>
        <w:t>c</w:t>
      </w:r>
      <w:r w:rsidRPr="00474740">
        <w:rPr>
          <w:i/>
          <w:color w:val="000000" w:themeColor="text1"/>
        </w:rPr>
        <w:t>osts</w:t>
      </w:r>
    </w:p>
    <w:p w14:paraId="021A3043" w14:textId="491B4711" w:rsidR="00A223D5" w:rsidRDefault="00A223D5" w:rsidP="006C1B0F">
      <w:pPr>
        <w:rPr>
          <w:rFonts w:eastAsia="Times New Roman"/>
          <w:i/>
          <w:iCs/>
          <w:lang w:eastAsia="en-GB"/>
        </w:rPr>
      </w:pPr>
    </w:p>
    <w:p w14:paraId="36823CEE" w14:textId="731DD72C" w:rsidR="00725179" w:rsidRDefault="00725179" w:rsidP="006C1B0F">
      <w:pPr>
        <w:rPr>
          <w:rFonts w:eastAsia="Times New Roman"/>
          <w:i/>
          <w:iCs/>
          <w:lang w:eastAsia="en-GB"/>
        </w:rPr>
      </w:pPr>
      <w:r w:rsidRPr="00725179">
        <w:rPr>
          <w:rFonts w:eastAsia="Times New Roman"/>
          <w:i/>
          <w:iCs/>
          <w:lang w:eastAsia="en-GB"/>
        </w:rPr>
        <w:t>Unanimously</w:t>
      </w:r>
      <w:r>
        <w:rPr>
          <w:rFonts w:eastAsia="Times New Roman"/>
          <w:i/>
          <w:iCs/>
          <w:lang w:eastAsia="en-GB"/>
        </w:rPr>
        <w:t>,</w:t>
      </w:r>
    </w:p>
    <w:p w14:paraId="25FBD4B1" w14:textId="77777777" w:rsidR="00725179" w:rsidRPr="00474740" w:rsidRDefault="00725179" w:rsidP="006C1B0F">
      <w:pPr>
        <w:rPr>
          <w:rFonts w:eastAsia="Times New Roman"/>
          <w:i/>
          <w:iCs/>
          <w:lang w:eastAsia="en-GB"/>
        </w:rPr>
      </w:pPr>
    </w:p>
    <w:p w14:paraId="70A5ABB8" w14:textId="78D3D7A6" w:rsidR="00996BF3" w:rsidRPr="00474740" w:rsidRDefault="00996BF3" w:rsidP="006C1B0F">
      <w:pPr>
        <w:rPr>
          <w:rFonts w:eastAsia="Calibri"/>
        </w:rPr>
      </w:pPr>
      <w:r w:rsidRPr="00474740">
        <w:rPr>
          <w:rFonts w:eastAsia="Arial"/>
          <w:i/>
          <w:iCs/>
          <w:szCs w:val="22"/>
        </w:rPr>
        <w:t>Orders</w:t>
      </w:r>
      <w:r w:rsidRPr="00474740">
        <w:rPr>
          <w:rFonts w:eastAsia="Times New Roman"/>
          <w:i/>
          <w:iCs/>
          <w:lang w:eastAsia="en-GB"/>
        </w:rPr>
        <w:t xml:space="preserve"> </w:t>
      </w:r>
      <w:r w:rsidR="00D16E84" w:rsidRPr="00474740">
        <w:rPr>
          <w:rFonts w:eastAsia="Times New Roman"/>
          <w:iCs/>
          <w:lang w:eastAsia="en-GB"/>
        </w:rPr>
        <w:t xml:space="preserve">that </w:t>
      </w:r>
      <w:r w:rsidRPr="00474740">
        <w:rPr>
          <w:rFonts w:eastAsia="Times New Roman"/>
          <w:iCs/>
          <w:lang w:eastAsia="en-GB"/>
        </w:rPr>
        <w:t xml:space="preserve">each </w:t>
      </w:r>
      <w:r w:rsidR="00D16E84" w:rsidRPr="00474740">
        <w:rPr>
          <w:rFonts w:eastAsia="Times New Roman"/>
          <w:iCs/>
          <w:lang w:eastAsia="en-GB"/>
        </w:rPr>
        <w:t>P</w:t>
      </w:r>
      <w:r w:rsidRPr="00474740">
        <w:rPr>
          <w:rFonts w:eastAsia="Times New Roman"/>
          <w:iCs/>
          <w:lang w:eastAsia="en-GB"/>
        </w:rPr>
        <w:t xml:space="preserve">arty </w:t>
      </w:r>
      <w:r w:rsidR="00D16E84" w:rsidRPr="00474740">
        <w:rPr>
          <w:rFonts w:eastAsia="Times New Roman"/>
          <w:iCs/>
          <w:lang w:eastAsia="en-GB"/>
        </w:rPr>
        <w:t xml:space="preserve">shall </w:t>
      </w:r>
      <w:r w:rsidRPr="00474740">
        <w:rPr>
          <w:rFonts w:eastAsia="Times New Roman"/>
          <w:iCs/>
          <w:lang w:eastAsia="en-GB"/>
        </w:rPr>
        <w:t>bear its own costs</w:t>
      </w:r>
      <w:r w:rsidRPr="00474740">
        <w:rPr>
          <w:rFonts w:eastAsia="Times New Roman"/>
          <w:lang w:eastAsia="en-GB"/>
        </w:rPr>
        <w:t>.</w:t>
      </w:r>
    </w:p>
    <w:p w14:paraId="413259F5" w14:textId="5B8E19F6" w:rsidR="008E036E" w:rsidRPr="00474740" w:rsidRDefault="008E036E" w:rsidP="006C1B0F">
      <w:pPr>
        <w:rPr>
          <w:b/>
        </w:rPr>
      </w:pPr>
    </w:p>
    <w:p w14:paraId="7A8DC027" w14:textId="77777777" w:rsidR="00673B0F" w:rsidRDefault="00673B0F" w:rsidP="006C1B0F">
      <w:pPr>
        <w:rPr>
          <w:b/>
        </w:rPr>
      </w:pPr>
    </w:p>
    <w:p w14:paraId="25938AF0" w14:textId="2AAAEE89" w:rsidR="00996BF3" w:rsidRPr="00474740" w:rsidRDefault="00996BF3" w:rsidP="006C1B0F">
      <w:pPr>
        <w:rPr>
          <w:b/>
        </w:rPr>
      </w:pPr>
      <w:r w:rsidRPr="00474740">
        <w:rPr>
          <w:b/>
        </w:rPr>
        <w:t>Signed:</w:t>
      </w:r>
    </w:p>
    <w:p w14:paraId="2845DF3F" w14:textId="77777777" w:rsidR="00996BF3" w:rsidRPr="00474740" w:rsidRDefault="00996BF3" w:rsidP="006C1B0F">
      <w:pPr>
        <w:rPr>
          <w:iCs/>
        </w:rPr>
      </w:pPr>
    </w:p>
    <w:p w14:paraId="1B92475C" w14:textId="77777777" w:rsidR="00996BF3" w:rsidRPr="00474740" w:rsidRDefault="00996BF3" w:rsidP="006C1B0F">
      <w:r w:rsidRPr="00474740">
        <w:rPr>
          <w:iCs/>
        </w:rPr>
        <w:t>Blaise TCHIKAYA, Vice President;</w:t>
      </w:r>
      <w:r w:rsidRPr="00474740">
        <w:t xml:space="preserve"> </w:t>
      </w:r>
    </w:p>
    <w:p w14:paraId="55C8553C" w14:textId="77777777" w:rsidR="00996BF3" w:rsidRPr="00474740" w:rsidRDefault="00996BF3" w:rsidP="006C1B0F"/>
    <w:p w14:paraId="017ABD36" w14:textId="77777777" w:rsidR="00996BF3" w:rsidRPr="00474740" w:rsidRDefault="00996BF3" w:rsidP="006C1B0F">
      <w:r w:rsidRPr="00474740">
        <w:t>Ben KIOKO, Judge;</w:t>
      </w:r>
    </w:p>
    <w:p w14:paraId="5CB96EFF" w14:textId="77777777" w:rsidR="00996BF3" w:rsidRPr="00474740" w:rsidRDefault="00996BF3" w:rsidP="006C1B0F"/>
    <w:p w14:paraId="50E4172F" w14:textId="6EAD05E6" w:rsidR="00996BF3" w:rsidRPr="00474740" w:rsidRDefault="00996BF3" w:rsidP="006C1B0F">
      <w:r w:rsidRPr="00474740">
        <w:t>Rafaâ BEN ACHOUR, Judge;</w:t>
      </w:r>
    </w:p>
    <w:p w14:paraId="7EC82F0E" w14:textId="77777777" w:rsidR="006C5A2E" w:rsidRPr="00474740" w:rsidRDefault="006C5A2E" w:rsidP="006C1B0F"/>
    <w:p w14:paraId="79B9BE7E" w14:textId="77777777" w:rsidR="00996BF3" w:rsidRPr="00474740" w:rsidRDefault="00996BF3" w:rsidP="006C1B0F">
      <w:r w:rsidRPr="00474740">
        <w:t>Suzanne MENGUE, Judge;</w:t>
      </w:r>
    </w:p>
    <w:p w14:paraId="1D588B8C" w14:textId="77777777" w:rsidR="00996BF3" w:rsidRPr="00474740" w:rsidRDefault="00996BF3" w:rsidP="006C1B0F"/>
    <w:p w14:paraId="68EE2949" w14:textId="77777777" w:rsidR="00996BF3" w:rsidRPr="00474740" w:rsidRDefault="00996BF3" w:rsidP="006C1B0F">
      <w:r w:rsidRPr="00474740">
        <w:lastRenderedPageBreak/>
        <w:t xml:space="preserve">Tujilane R. CHIZUMILA, Judge; </w:t>
      </w:r>
    </w:p>
    <w:p w14:paraId="13B2D4E7" w14:textId="77777777" w:rsidR="00996BF3" w:rsidRPr="00474740" w:rsidRDefault="00996BF3" w:rsidP="006C1B0F"/>
    <w:p w14:paraId="4E9E4D4D" w14:textId="77777777" w:rsidR="00996BF3" w:rsidRPr="00474740" w:rsidRDefault="00996BF3" w:rsidP="006C1B0F">
      <w:r w:rsidRPr="00474740">
        <w:t xml:space="preserve">Chafika BENSAOULA, Judge; </w:t>
      </w:r>
    </w:p>
    <w:p w14:paraId="2A086355" w14:textId="77777777" w:rsidR="00996BF3" w:rsidRPr="00474740" w:rsidRDefault="00996BF3" w:rsidP="006C1B0F"/>
    <w:p w14:paraId="1ED77DFC" w14:textId="77777777" w:rsidR="00996BF3" w:rsidRPr="00474740" w:rsidRDefault="00996BF3" w:rsidP="006C1B0F">
      <w:r w:rsidRPr="00474740">
        <w:t xml:space="preserve">Stella I. ANUKAM, Judge; </w:t>
      </w:r>
    </w:p>
    <w:p w14:paraId="4C08F8AC" w14:textId="77777777" w:rsidR="00996BF3" w:rsidRPr="00474740" w:rsidRDefault="00996BF3" w:rsidP="006C1B0F"/>
    <w:p w14:paraId="0F38CD4E" w14:textId="29A2FF0C" w:rsidR="00996BF3" w:rsidRPr="00474740" w:rsidRDefault="00996BF3" w:rsidP="006C1B0F">
      <w:r w:rsidRPr="00474740">
        <w:t xml:space="preserve">Dumisa B. </w:t>
      </w:r>
      <w:r w:rsidR="000A1D04" w:rsidRPr="00474740">
        <w:t>NTSEBEZA</w:t>
      </w:r>
      <w:r w:rsidRPr="00474740">
        <w:t>, Judge;</w:t>
      </w:r>
    </w:p>
    <w:p w14:paraId="1128F59E" w14:textId="77777777" w:rsidR="00996BF3" w:rsidRPr="00474740" w:rsidRDefault="00996BF3" w:rsidP="006C1B0F"/>
    <w:p w14:paraId="253D5047" w14:textId="1CE7093F" w:rsidR="00B06BE9" w:rsidRPr="00474740" w:rsidRDefault="00996BF3" w:rsidP="006C1B0F">
      <w:r w:rsidRPr="00474740">
        <w:t>Modibo SACKO, Judge;</w:t>
      </w:r>
      <w:r w:rsidR="00056BAC" w:rsidRPr="00474740">
        <w:t xml:space="preserve"> </w:t>
      </w:r>
    </w:p>
    <w:p w14:paraId="662D7E50" w14:textId="7A53A78A" w:rsidR="00DB3FE2" w:rsidRPr="00474740" w:rsidRDefault="00DB3FE2" w:rsidP="006C1B0F"/>
    <w:p w14:paraId="764F4939" w14:textId="32618572" w:rsidR="00DB3FE2" w:rsidRPr="00474740" w:rsidRDefault="00DB3FE2" w:rsidP="006C1B0F">
      <w:r w:rsidRPr="00474740">
        <w:t>Dennis D. ADJEI, Judge;</w:t>
      </w:r>
    </w:p>
    <w:p w14:paraId="4767C9EA" w14:textId="77777777" w:rsidR="00E64F18" w:rsidRPr="00474740" w:rsidRDefault="00E64F18" w:rsidP="006C1B0F"/>
    <w:p w14:paraId="5E2A65FF" w14:textId="77777777" w:rsidR="00996BF3" w:rsidRPr="00474740" w:rsidRDefault="00996BF3" w:rsidP="006C1B0F">
      <w:r w:rsidRPr="00474740">
        <w:t>and Robert ENO, Registrar.</w:t>
      </w:r>
    </w:p>
    <w:p w14:paraId="1B97BEC8" w14:textId="0B759347" w:rsidR="00996BF3" w:rsidRPr="00474740" w:rsidRDefault="00996BF3" w:rsidP="006C1B0F"/>
    <w:p w14:paraId="1F9EA9AD" w14:textId="02537A89" w:rsidR="00B70A23" w:rsidRPr="00474740" w:rsidRDefault="00B70A23" w:rsidP="006C1B0F"/>
    <w:p w14:paraId="5A8A31AE" w14:textId="404A2DCD" w:rsidR="0092743D" w:rsidRPr="00474740" w:rsidRDefault="00F5719B" w:rsidP="006C1B0F">
      <w:pPr>
        <w:rPr>
          <w:bCs/>
        </w:rPr>
      </w:pPr>
      <w:r w:rsidRPr="00474740">
        <w:rPr>
          <w:bCs/>
        </w:rPr>
        <w:t>In accordance with Article 28(7) of the Protocol and Rule 70(1) of the Rules, the Joint Dissenting Opinion of Justice Blaise TCHIKAYA and Justice Rafaâ BEN ACHOUR and the Separate Opinion of Justice Chafika BENSAOULA are appended to this Ruling.</w:t>
      </w:r>
    </w:p>
    <w:p w14:paraId="32275712" w14:textId="77777777" w:rsidR="00706997" w:rsidRPr="00474740" w:rsidRDefault="00706997" w:rsidP="006C1B0F"/>
    <w:p w14:paraId="43BD2AD5" w14:textId="77777777" w:rsidR="0092743D" w:rsidRPr="00474740" w:rsidRDefault="0092743D" w:rsidP="006C1B0F"/>
    <w:p w14:paraId="184F079A" w14:textId="3EB3A8E7" w:rsidR="00996BF3" w:rsidRPr="00F32C9F" w:rsidRDefault="00996BF3" w:rsidP="006C1B0F">
      <w:pPr>
        <w:rPr>
          <w:u w:val="single"/>
        </w:rPr>
      </w:pPr>
      <w:r w:rsidRPr="00474740">
        <w:t xml:space="preserve">Done at Arusha, this </w:t>
      </w:r>
      <w:r w:rsidR="00651C8C" w:rsidRPr="00474740">
        <w:t>First Day of December</w:t>
      </w:r>
      <w:r w:rsidRPr="00474740">
        <w:t>, in the Year Two Thousand and Twenty-Two in English and French, the English text being authoritative.</w:t>
      </w:r>
      <w:r w:rsidRPr="00F32C9F">
        <w:t xml:space="preserve"> </w:t>
      </w:r>
    </w:p>
    <w:p w14:paraId="4DBFEFCE" w14:textId="24F3ADDF" w:rsidR="00996BF3" w:rsidRPr="00F32C9F" w:rsidRDefault="002A2873" w:rsidP="006C1B0F">
      <w:r>
        <w:t xml:space="preserve"> </w:t>
      </w:r>
    </w:p>
    <w:sectPr w:rsidR="00996BF3" w:rsidRPr="00F32C9F" w:rsidSect="006C4E8C">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EFEF" w14:textId="77777777" w:rsidR="00BC453C" w:rsidRDefault="00BC453C" w:rsidP="00996BF3">
      <w:r>
        <w:separator/>
      </w:r>
    </w:p>
  </w:endnote>
  <w:endnote w:type="continuationSeparator" w:id="0">
    <w:p w14:paraId="0735C3F4" w14:textId="77777777" w:rsidR="00BC453C" w:rsidRDefault="00BC453C" w:rsidP="0099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35902583"/>
      <w:docPartObj>
        <w:docPartGallery w:val="Page Numbers (Bottom of Page)"/>
        <w:docPartUnique/>
      </w:docPartObj>
    </w:sdtPr>
    <w:sdtEndPr>
      <w:rPr>
        <w:noProof/>
      </w:rPr>
    </w:sdtEndPr>
    <w:sdtContent>
      <w:p w14:paraId="685A873E" w14:textId="42BFC4CC" w:rsidR="001E4B8C" w:rsidRPr="000F47AA" w:rsidRDefault="001E4B8C">
        <w:pPr>
          <w:pStyle w:val="Footer"/>
          <w:jc w:val="center"/>
          <w:rPr>
            <w:rFonts w:ascii="Arial" w:hAnsi="Arial" w:cs="Arial"/>
          </w:rPr>
        </w:pPr>
        <w:r w:rsidRPr="000F47AA">
          <w:rPr>
            <w:rFonts w:ascii="Arial" w:hAnsi="Arial" w:cs="Arial"/>
          </w:rPr>
          <w:fldChar w:fldCharType="begin"/>
        </w:r>
        <w:r w:rsidRPr="000F47AA">
          <w:rPr>
            <w:rFonts w:ascii="Arial" w:hAnsi="Arial" w:cs="Arial"/>
          </w:rPr>
          <w:instrText xml:space="preserve"> PAGE   \* MERGEFORMAT </w:instrText>
        </w:r>
        <w:r w:rsidRPr="000F47AA">
          <w:rPr>
            <w:rFonts w:ascii="Arial" w:hAnsi="Arial" w:cs="Arial"/>
          </w:rPr>
          <w:fldChar w:fldCharType="separate"/>
        </w:r>
        <w:r w:rsidR="0096382B">
          <w:rPr>
            <w:rFonts w:ascii="Arial" w:hAnsi="Arial" w:cs="Arial"/>
            <w:noProof/>
          </w:rPr>
          <w:t>20</w:t>
        </w:r>
        <w:r w:rsidRPr="000F47AA">
          <w:rPr>
            <w:rFonts w:ascii="Arial" w:hAnsi="Arial" w:cs="Arial"/>
            <w:noProof/>
          </w:rPr>
          <w:fldChar w:fldCharType="end"/>
        </w:r>
      </w:p>
    </w:sdtContent>
  </w:sdt>
  <w:p w14:paraId="0F5CF8C9" w14:textId="77777777" w:rsidR="001E4B8C" w:rsidRPr="000F47AA" w:rsidRDefault="001E4B8C">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690982"/>
      <w:docPartObj>
        <w:docPartGallery w:val="Page Numbers (Bottom of Page)"/>
        <w:docPartUnique/>
      </w:docPartObj>
    </w:sdtPr>
    <w:sdtEndPr>
      <w:rPr>
        <w:rFonts w:ascii="Arial" w:hAnsi="Arial" w:cs="Arial"/>
        <w:noProof/>
      </w:rPr>
    </w:sdtEndPr>
    <w:sdtContent>
      <w:p w14:paraId="5AF2092C" w14:textId="237186B6" w:rsidR="001E4B8C" w:rsidRPr="00F32C9F" w:rsidRDefault="001E4B8C">
        <w:pPr>
          <w:pStyle w:val="Footer"/>
          <w:jc w:val="center"/>
          <w:rPr>
            <w:rFonts w:ascii="Arial" w:hAnsi="Arial" w:cs="Arial"/>
          </w:rPr>
        </w:pPr>
        <w:r w:rsidRPr="00F32C9F">
          <w:rPr>
            <w:rFonts w:ascii="Arial" w:hAnsi="Arial" w:cs="Arial"/>
          </w:rPr>
          <w:fldChar w:fldCharType="begin"/>
        </w:r>
        <w:r w:rsidRPr="00F32C9F">
          <w:rPr>
            <w:rFonts w:ascii="Arial" w:hAnsi="Arial" w:cs="Arial"/>
          </w:rPr>
          <w:instrText xml:space="preserve"> PAGE   \* MERGEFORMAT </w:instrText>
        </w:r>
        <w:r w:rsidRPr="00F32C9F">
          <w:rPr>
            <w:rFonts w:ascii="Arial" w:hAnsi="Arial" w:cs="Arial"/>
          </w:rPr>
          <w:fldChar w:fldCharType="separate"/>
        </w:r>
        <w:r w:rsidR="0096382B">
          <w:rPr>
            <w:rFonts w:ascii="Arial" w:hAnsi="Arial" w:cs="Arial"/>
            <w:noProof/>
          </w:rPr>
          <w:t>1</w:t>
        </w:r>
        <w:r w:rsidRPr="00F32C9F">
          <w:rPr>
            <w:rFonts w:ascii="Arial" w:hAnsi="Arial" w:cs="Arial"/>
            <w:noProof/>
          </w:rPr>
          <w:fldChar w:fldCharType="end"/>
        </w:r>
      </w:p>
    </w:sdtContent>
  </w:sdt>
  <w:p w14:paraId="37D88A43" w14:textId="77777777" w:rsidR="001E4B8C" w:rsidRDefault="001E4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36D4" w14:textId="77777777" w:rsidR="00BC453C" w:rsidRDefault="00BC453C" w:rsidP="00996BF3">
      <w:r>
        <w:separator/>
      </w:r>
    </w:p>
  </w:footnote>
  <w:footnote w:type="continuationSeparator" w:id="0">
    <w:p w14:paraId="48BEFD41" w14:textId="77777777" w:rsidR="00BC453C" w:rsidRDefault="00BC453C" w:rsidP="00996BF3">
      <w:r>
        <w:continuationSeparator/>
      </w:r>
    </w:p>
  </w:footnote>
  <w:footnote w:id="1">
    <w:p w14:paraId="574FAD79" w14:textId="484F9282" w:rsidR="001E4B8C" w:rsidRPr="00F5719B" w:rsidRDefault="001E4B8C" w:rsidP="007C121D">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rPr>
        <w:t>Andrew Ambrose Cheusi v. United Republic of Tanzania,</w:t>
      </w:r>
      <w:r w:rsidRPr="00F5719B">
        <w:rPr>
          <w:rFonts w:ascii="Arial" w:hAnsi="Arial" w:cs="Arial"/>
        </w:rPr>
        <w:t xml:space="preserve"> ACtHPR</w:t>
      </w:r>
      <w:r w:rsidRPr="00F5719B">
        <w:rPr>
          <w:rFonts w:ascii="Arial" w:hAnsi="Arial" w:cs="Arial"/>
          <w:i/>
        </w:rPr>
        <w:t xml:space="preserve">, </w:t>
      </w:r>
      <w:r w:rsidRPr="00F5719B">
        <w:rPr>
          <w:rFonts w:ascii="Arial" w:hAnsi="Arial" w:cs="Arial"/>
        </w:rPr>
        <w:t>Application No. 004/2015, Judgment of 26 June 2020 (merits and reparations), §§ 37-39.</w:t>
      </w:r>
    </w:p>
  </w:footnote>
  <w:footnote w:id="2">
    <w:p w14:paraId="0A489474" w14:textId="77777777" w:rsidR="001E4B8C" w:rsidRPr="00F5719B" w:rsidRDefault="001E4B8C" w:rsidP="00531CE9">
      <w:pPr>
        <w:autoSpaceDE w:val="0"/>
        <w:autoSpaceDN w:val="0"/>
        <w:adjustRightInd w:val="0"/>
        <w:jc w:val="both"/>
        <w:rPr>
          <w:rFonts w:ascii="Arial" w:hAnsi="Arial" w:cs="Arial"/>
          <w:sz w:val="20"/>
          <w:szCs w:val="20"/>
        </w:rPr>
      </w:pPr>
      <w:r w:rsidRPr="00F5719B">
        <w:rPr>
          <w:rStyle w:val="FootnoteReference"/>
          <w:rFonts w:ascii="Arial" w:hAnsi="Arial" w:cs="Arial"/>
          <w:sz w:val="20"/>
          <w:szCs w:val="20"/>
        </w:rPr>
        <w:footnoteRef/>
      </w:r>
      <w:r w:rsidRPr="00F5719B">
        <w:rPr>
          <w:rFonts w:ascii="Arial" w:hAnsi="Arial" w:cs="Arial"/>
          <w:sz w:val="20"/>
          <w:szCs w:val="20"/>
        </w:rPr>
        <w:t xml:space="preserve"> See </w:t>
      </w:r>
      <w:r w:rsidRPr="00F5719B">
        <w:rPr>
          <w:rFonts w:ascii="Arial" w:hAnsi="Arial" w:cs="Arial"/>
          <w:i/>
          <w:iCs/>
          <w:sz w:val="20"/>
          <w:szCs w:val="20"/>
        </w:rPr>
        <w:t xml:space="preserve">Nguza Viking (Babu Seya) and Johnson Nguza (Papi Kocha) v. United Republic of Tanzania </w:t>
      </w:r>
      <w:r w:rsidRPr="00F5719B">
        <w:rPr>
          <w:rFonts w:ascii="Arial" w:hAnsi="Arial" w:cs="Arial"/>
          <w:sz w:val="20"/>
          <w:szCs w:val="20"/>
        </w:rPr>
        <w:t>(merits) (23 March 2018) 2 AfCLR 287, § 36.</w:t>
      </w:r>
    </w:p>
  </w:footnote>
  <w:footnote w:id="3">
    <w:p w14:paraId="1D73EC33" w14:textId="3BCB9CFC" w:rsidR="001E4B8C" w:rsidRPr="00F5719B" w:rsidRDefault="001E4B8C" w:rsidP="00531CE9">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lang w:val="en-GB"/>
        </w:rPr>
        <w:t>The Respondent State became a State Party to the Charter on 21 October 1986, to the African Children’s Charter on 9 May 2003, to the Maputo Protocol on 7 May 2007, to the African Youth Charter on 21 March 2013, to CEDAW on 19 September 1985, to CRC on 10 July 1991, to ICESCR on 11 September 1976, to ICCPR on 11 September 1976 and to Convention against Discrimination in Education on 3 April 1979.</w:t>
      </w:r>
    </w:p>
  </w:footnote>
  <w:footnote w:id="4">
    <w:p w14:paraId="1A19BACB" w14:textId="1E154427" w:rsidR="001E4B8C" w:rsidRPr="00F5719B" w:rsidRDefault="001E4B8C" w:rsidP="007C121D">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rPr>
        <w:t xml:space="preserve">Andrew Ambrose Cheusi v. United Republic of Tanzania, </w:t>
      </w:r>
      <w:r w:rsidRPr="00F5719B">
        <w:rPr>
          <w:rFonts w:ascii="Arial" w:hAnsi="Arial" w:cs="Arial"/>
        </w:rPr>
        <w:t>§§ 35-39.</w:t>
      </w:r>
    </w:p>
  </w:footnote>
  <w:footnote w:id="5">
    <w:p w14:paraId="61646B3B" w14:textId="7777777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bookmarkStart w:id="17" w:name="_Hlk117863919"/>
      <w:r w:rsidRPr="00F5719B">
        <w:rPr>
          <w:rFonts w:ascii="Arial" w:hAnsi="Arial" w:cs="Arial"/>
          <w:i/>
          <w:iCs/>
        </w:rPr>
        <w:t xml:space="preserve">Dexter Eddie Johnson v. Republic of Ghana </w:t>
      </w:r>
      <w:r w:rsidRPr="00F5719B">
        <w:rPr>
          <w:rFonts w:ascii="Arial" w:hAnsi="Arial" w:cs="Arial"/>
        </w:rPr>
        <w:t>(jurisdiction and admissibility) (28 March 2019) 3 AfCLR 99, § 55.</w:t>
      </w:r>
      <w:bookmarkEnd w:id="17"/>
    </w:p>
  </w:footnote>
  <w:footnote w:id="6">
    <w:p w14:paraId="1F6EAECC" w14:textId="259D31C1"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Gombert v. Côte d’Ivoire</w:t>
      </w:r>
      <w:r w:rsidRPr="00F5719B">
        <w:rPr>
          <w:rFonts w:ascii="Arial" w:hAnsi="Arial" w:cs="Arial"/>
        </w:rPr>
        <w:t xml:space="preserve"> (jurisdiction and admissibility) (2018) 2 AfCLR 270, § 45.</w:t>
      </w:r>
    </w:p>
  </w:footnote>
  <w:footnote w:id="7">
    <w:p w14:paraId="74348F97" w14:textId="7777777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 xml:space="preserve">Dexter Eddie Johnson v. Republic of Ghana </w:t>
      </w:r>
      <w:r w:rsidRPr="00F5719B">
        <w:rPr>
          <w:rFonts w:ascii="Arial" w:hAnsi="Arial" w:cs="Arial"/>
        </w:rPr>
        <w:t>(jurisdiction and admissibility) (28 March 2019) 3 AfCLR 99, § 48.</w:t>
      </w:r>
    </w:p>
  </w:footnote>
  <w:footnote w:id="8">
    <w:p w14:paraId="1F7578A3" w14:textId="7777777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 xml:space="preserve">Dexter Eddie Johnson v. Republic of Ghana </w:t>
      </w:r>
      <w:r w:rsidRPr="00F5719B">
        <w:rPr>
          <w:rFonts w:ascii="Arial" w:hAnsi="Arial" w:cs="Arial"/>
        </w:rPr>
        <w:t>(jurisdiction and admissibility) (28 March 2019) 3 AfCLR 99, § 48.</w:t>
      </w:r>
    </w:p>
  </w:footnote>
  <w:footnote w:id="9">
    <w:p w14:paraId="78A1C487" w14:textId="5029185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Before the ACERWC, the Application was brought on 17 June 2019 by two NGOs, the </w:t>
      </w:r>
      <w:r w:rsidRPr="00F5719B">
        <w:rPr>
          <w:rFonts w:ascii="Arial" w:hAnsi="Arial" w:cs="Arial"/>
          <w:i/>
          <w:iCs/>
        </w:rPr>
        <w:t xml:space="preserve">Legal and Human Rights Center and the Center for Reproductive Rights. </w:t>
      </w:r>
      <w:r w:rsidRPr="00F5719B">
        <w:rPr>
          <w:rFonts w:ascii="Arial" w:hAnsi="Arial" w:cs="Arial"/>
        </w:rPr>
        <w:t xml:space="preserve">Before the East African Court of Justice, the Application was brought on 24 April 2020 by two NGOs, </w:t>
      </w:r>
      <w:r w:rsidRPr="00F5719B">
        <w:rPr>
          <w:rFonts w:ascii="Arial" w:hAnsi="Arial" w:cs="Arial"/>
          <w:i/>
          <w:iCs/>
        </w:rPr>
        <w:t xml:space="preserve">Inclusive Development for Citizens </w:t>
      </w:r>
      <w:r w:rsidRPr="00F5719B">
        <w:rPr>
          <w:rFonts w:ascii="Arial" w:hAnsi="Arial" w:cs="Arial"/>
        </w:rPr>
        <w:t>and</w:t>
      </w:r>
      <w:r w:rsidRPr="00F5719B">
        <w:rPr>
          <w:rFonts w:ascii="Arial" w:hAnsi="Arial" w:cs="Arial"/>
          <w:i/>
          <w:iCs/>
        </w:rPr>
        <w:t xml:space="preserve"> Center for Strategic Litigation</w:t>
      </w:r>
      <w:r w:rsidRPr="00F5719B">
        <w:rPr>
          <w:rFonts w:ascii="Arial" w:hAnsi="Arial" w:cs="Arial"/>
        </w:rPr>
        <w:t xml:space="preserve">. Before the African Court on Human and Peoples’ Rights, the Application was brought on 19 November 2020 by a female national and an NGO, </w:t>
      </w:r>
      <w:r w:rsidRPr="00F5719B">
        <w:rPr>
          <w:rFonts w:ascii="Arial" w:hAnsi="Arial" w:cs="Arial"/>
          <w:i/>
          <w:iCs/>
        </w:rPr>
        <w:t xml:space="preserve">Tike Mwabipile </w:t>
      </w:r>
      <w:r w:rsidRPr="00F5719B">
        <w:rPr>
          <w:rFonts w:ascii="Arial" w:hAnsi="Arial" w:cs="Arial"/>
        </w:rPr>
        <w:t>and</w:t>
      </w:r>
      <w:r w:rsidRPr="00F5719B">
        <w:rPr>
          <w:rFonts w:ascii="Arial" w:hAnsi="Arial" w:cs="Arial"/>
          <w:i/>
          <w:iCs/>
        </w:rPr>
        <w:t xml:space="preserve"> Equality Now.</w:t>
      </w:r>
    </w:p>
  </w:footnote>
  <w:footnote w:id="10">
    <w:p w14:paraId="70FD5B89" w14:textId="7A139781"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Suy Bi Gohore Emile &amp; 8 Others v. Republic of Cote d’Ivoire</w:t>
      </w:r>
      <w:r w:rsidRPr="00F5719B">
        <w:rPr>
          <w:rFonts w:ascii="Arial" w:hAnsi="Arial" w:cs="Arial"/>
        </w:rPr>
        <w:t xml:space="preserve">, ACtHPR, Appl. No. 044/2019, Judgment of 15 July 2020 (merits and reparations), § 105. </w:t>
      </w:r>
    </w:p>
  </w:footnote>
  <w:footnote w:id="11">
    <w:p w14:paraId="42AD9792" w14:textId="7082895A"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By way of example, Article 3 of the African Children’s Charter provides for the right to non-discrimination, and this is mirrored by Article 2 of the Charter; and Article 11 of the African Children’s Charter provides for the right to education and this is captured in Article 17 of the Charter.</w:t>
      </w:r>
    </w:p>
  </w:footnote>
  <w:footnote w:id="12">
    <w:p w14:paraId="189C9F2C" w14:textId="7777777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 xml:space="preserve">Dexter Eddie Johnson v. Republic of Ghana </w:t>
      </w:r>
      <w:r w:rsidRPr="00F5719B">
        <w:rPr>
          <w:rFonts w:ascii="Arial" w:hAnsi="Arial" w:cs="Arial"/>
        </w:rPr>
        <w:t>(jurisdiction and admissibility) (28 March 2019) 3 AfCLR 99, § 52.</w:t>
      </w:r>
    </w:p>
  </w:footnote>
  <w:footnote w:id="13">
    <w:p w14:paraId="4B931A60" w14:textId="77777777" w:rsidR="001E4B8C" w:rsidRPr="00F5719B" w:rsidRDefault="001E4B8C" w:rsidP="005D5B88">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hAnsi="Arial" w:cs="Arial"/>
          <w:i/>
          <w:iCs/>
        </w:rPr>
        <w:t xml:space="preserve">Dexter Eddie Johnson v. Republic of Ghana </w:t>
      </w:r>
      <w:r w:rsidRPr="00F5719B">
        <w:rPr>
          <w:rFonts w:ascii="Arial" w:hAnsi="Arial" w:cs="Arial"/>
        </w:rPr>
        <w:t>(jurisdiction and admissibility) (28 March 2019) 3 AfCLR 99, § 51.</w:t>
      </w:r>
    </w:p>
  </w:footnote>
  <w:footnote w:id="14">
    <w:p w14:paraId="6FF45F59" w14:textId="4CF03C49" w:rsidR="001E4B8C" w:rsidRPr="00F5719B" w:rsidRDefault="001E4B8C">
      <w:pPr>
        <w:pStyle w:val="FootnoteText"/>
        <w:jc w:val="both"/>
        <w:rPr>
          <w:rFonts w:ascii="Arial" w:hAnsi="Arial" w:cs="Arial"/>
        </w:rPr>
      </w:pPr>
      <w:r w:rsidRPr="00F5719B">
        <w:rPr>
          <w:rStyle w:val="FootnoteReference"/>
          <w:rFonts w:ascii="Arial" w:hAnsi="Arial" w:cs="Arial"/>
        </w:rPr>
        <w:footnoteRef/>
      </w:r>
      <w:r w:rsidRPr="00F5719B">
        <w:rPr>
          <w:rFonts w:ascii="Arial" w:hAnsi="Arial" w:cs="Arial"/>
        </w:rPr>
        <w:t xml:space="preserve"> </w:t>
      </w:r>
      <w:r w:rsidRPr="00F5719B">
        <w:rPr>
          <w:rFonts w:ascii="Arial" w:eastAsia="Calibri" w:hAnsi="Arial" w:cs="Arial"/>
          <w:i/>
          <w:lang w:val="en-GB"/>
        </w:rPr>
        <w:t>Jean Claude Roger Gombert v. Côte d’Ivoire</w:t>
      </w:r>
      <w:r w:rsidRPr="00F5719B">
        <w:rPr>
          <w:rFonts w:ascii="Arial" w:eastAsia="Calibri" w:hAnsi="Arial" w:cs="Arial"/>
          <w:lang w:val="en-GB"/>
        </w:rPr>
        <w:t xml:space="preserve"> (jurisdiction and admissibility) (22 March 2018) 2 AfCLR 270, § 61; </w:t>
      </w:r>
      <w:r w:rsidRPr="00F5719B">
        <w:rPr>
          <w:rFonts w:ascii="Arial" w:hAnsi="Arial" w:cs="Arial"/>
          <w:i/>
          <w:iCs/>
        </w:rPr>
        <w:t xml:space="preserve">Dexter Eddie Johnson v. Republic of Ghana </w:t>
      </w:r>
      <w:r w:rsidRPr="00F5719B">
        <w:rPr>
          <w:rFonts w:ascii="Arial" w:hAnsi="Arial" w:cs="Arial"/>
        </w:rPr>
        <w:t>(jurisdiction and admissibility) (28 March 2019) 3 AfCLR 99, § 57</w:t>
      </w:r>
      <w:r w:rsidRPr="00F5719B">
        <w:rPr>
          <w:rFonts w:ascii="Arial" w:eastAsia="Calibri" w:hAnsi="Arial" w:cs="Arial"/>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34F"/>
    <w:multiLevelType w:val="hybridMultilevel"/>
    <w:tmpl w:val="EB90A814"/>
    <w:lvl w:ilvl="0" w:tplc="E5A0DD9A">
      <w:start w:val="1"/>
      <w:numFmt w:val="upp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9390F2F"/>
    <w:multiLevelType w:val="hybridMultilevel"/>
    <w:tmpl w:val="A6BE3F84"/>
    <w:lvl w:ilvl="0" w:tplc="FECC7C56">
      <w:start w:val="1"/>
      <w:numFmt w:val="decimal"/>
      <w:lvlText w:val="%1."/>
      <w:lvlJc w:val="left"/>
      <w:pPr>
        <w:ind w:left="1440" w:hanging="360"/>
      </w:pPr>
      <w:rPr>
        <w:rFonts w:ascii="Arial" w:hAnsi="Arial" w:cs="Arial" w:hint="default"/>
        <w:b w:val="0"/>
        <w:i w:val="0"/>
        <w:iCs w:val="0"/>
        <w:strike w:val="0"/>
        <w:sz w:val="24"/>
        <w:szCs w:val="24"/>
      </w:rPr>
    </w:lvl>
    <w:lvl w:ilvl="1" w:tplc="CB82AE72">
      <w:start w:val="1"/>
      <w:numFmt w:val="lowerRoman"/>
      <w:lvlText w:val="%2."/>
      <w:lvlJc w:val="right"/>
      <w:pPr>
        <w:ind w:left="1440" w:hanging="360"/>
      </w:pPr>
      <w:rPr>
        <w:rFonts w:ascii="Arial" w:eastAsiaTheme="minorHAnsi" w:hAnsi="Arial" w:cs="Arial"/>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04595A"/>
    <w:multiLevelType w:val="hybridMultilevel"/>
    <w:tmpl w:val="322044B0"/>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 w15:restartNumberingAfterBreak="0">
    <w:nsid w:val="15506249"/>
    <w:multiLevelType w:val="hybridMultilevel"/>
    <w:tmpl w:val="FB50CD60"/>
    <w:lvl w:ilvl="0" w:tplc="040C000F">
      <w:start w:val="1"/>
      <w:numFmt w:val="decimal"/>
      <w:lvlText w:val="%1."/>
      <w:lvlJc w:val="left"/>
      <w:pPr>
        <w:ind w:left="2138" w:hanging="360"/>
      </w:pPr>
    </w:lvl>
    <w:lvl w:ilvl="1" w:tplc="040C000F">
      <w:start w:val="1"/>
      <w:numFmt w:val="decimal"/>
      <w:lvlText w:val="%2."/>
      <w:lvlJc w:val="left"/>
      <w:pPr>
        <w:ind w:left="2858" w:hanging="360"/>
      </w:pPr>
    </w:lvl>
    <w:lvl w:ilvl="2" w:tplc="68BEDCF6">
      <w:numFmt w:val="bullet"/>
      <w:lvlText w:val="-"/>
      <w:lvlJc w:val="left"/>
      <w:pPr>
        <w:ind w:left="3758" w:hanging="360"/>
      </w:pPr>
      <w:rPr>
        <w:rFonts w:ascii="Arial" w:eastAsiaTheme="minorHAnsi" w:hAnsi="Arial" w:cs="Arial" w:hint="default"/>
      </w:r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4" w15:restartNumberingAfterBreak="0">
    <w:nsid w:val="19E93E5E"/>
    <w:multiLevelType w:val="hybridMultilevel"/>
    <w:tmpl w:val="C576D518"/>
    <w:lvl w:ilvl="0" w:tplc="87C62614">
      <w:start w:val="109"/>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0F16962"/>
    <w:multiLevelType w:val="hybridMultilevel"/>
    <w:tmpl w:val="DE1ECE72"/>
    <w:lvl w:ilvl="0" w:tplc="C08C5B36">
      <w:start w:val="1"/>
      <w:numFmt w:val="decimal"/>
      <w:lvlText w:val="%1."/>
      <w:lvlJc w:val="left"/>
      <w:pPr>
        <w:ind w:left="1152" w:hanging="432"/>
      </w:pPr>
      <w:rPr>
        <w:b w:val="0"/>
        <w:i w:val="0"/>
      </w:rPr>
    </w:lvl>
    <w:lvl w:ilvl="1" w:tplc="0809001B">
      <w:start w:val="1"/>
      <w:numFmt w:val="lowerRoman"/>
      <w:lvlText w:val="%2."/>
      <w:lvlJc w:val="righ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2253706F"/>
    <w:multiLevelType w:val="hybridMultilevel"/>
    <w:tmpl w:val="66F2A818"/>
    <w:lvl w:ilvl="0" w:tplc="7186A272">
      <w:start w:val="1"/>
      <w:numFmt w:val="lowerRoman"/>
      <w:lvlText w:val="%1."/>
      <w:lvlJc w:val="right"/>
      <w:pPr>
        <w:ind w:left="1080" w:hanging="72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C95857"/>
    <w:multiLevelType w:val="hybridMultilevel"/>
    <w:tmpl w:val="1DD8444C"/>
    <w:lvl w:ilvl="0" w:tplc="FFFFFFFF">
      <w:start w:val="1"/>
      <w:numFmt w:val="decimal"/>
      <w:lvlText w:val="%1."/>
      <w:lvlJc w:val="left"/>
      <w:pPr>
        <w:ind w:left="1152" w:hanging="432"/>
      </w:pPr>
      <w:rPr>
        <w:b w:val="0"/>
        <w:i w:val="0"/>
        <w:sz w:val="24"/>
        <w:szCs w:val="24"/>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8" w15:restartNumberingAfterBreak="0">
    <w:nsid w:val="26E30749"/>
    <w:multiLevelType w:val="hybridMultilevel"/>
    <w:tmpl w:val="7D4C39A6"/>
    <w:lvl w:ilvl="0" w:tplc="FFFFFFFF">
      <w:start w:val="1"/>
      <w:numFmt w:val="decimal"/>
      <w:lvlText w:val="%1."/>
      <w:lvlJc w:val="left"/>
      <w:pPr>
        <w:ind w:left="1152" w:hanging="432"/>
      </w:pPr>
      <w:rPr>
        <w:b w:val="0"/>
        <w:i w:val="0"/>
        <w:sz w:val="24"/>
        <w:szCs w:val="24"/>
      </w:rPr>
    </w:lvl>
    <w:lvl w:ilvl="1" w:tplc="FFFFFFFF">
      <w:start w:val="1"/>
      <w:numFmt w:val="lowerRoman"/>
      <w:lvlText w:val="%2."/>
      <w:lvlJc w:val="left"/>
      <w:pPr>
        <w:ind w:left="1890" w:hanging="360"/>
      </w:pPr>
      <w:rPr>
        <w:rFonts w:hint="default"/>
      </w:r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9" w15:restartNumberingAfterBreak="0">
    <w:nsid w:val="2BCA2F67"/>
    <w:multiLevelType w:val="hybridMultilevel"/>
    <w:tmpl w:val="9446A464"/>
    <w:lvl w:ilvl="0" w:tplc="697A0B6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A2294F"/>
    <w:multiLevelType w:val="hybridMultilevel"/>
    <w:tmpl w:val="F28451B6"/>
    <w:lvl w:ilvl="0" w:tplc="040C0019">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1" w15:restartNumberingAfterBreak="0">
    <w:nsid w:val="3E672FFE"/>
    <w:multiLevelType w:val="hybridMultilevel"/>
    <w:tmpl w:val="7AD0E1AE"/>
    <w:lvl w:ilvl="0" w:tplc="E23E01AC">
      <w:start w:val="1"/>
      <w:numFmt w:val="decimal"/>
      <w:lvlText w:val="%1."/>
      <w:lvlJc w:val="left"/>
      <w:pPr>
        <w:ind w:left="792" w:hanging="504"/>
      </w:pPr>
      <w:rPr>
        <w:rFonts w:ascii="Arial" w:hAnsi="Arial" w:cs="Arial" w:hint="default"/>
        <w:b w:val="0"/>
        <w:sz w:val="24"/>
        <w:szCs w:val="24"/>
      </w:rPr>
    </w:lvl>
    <w:lvl w:ilvl="1" w:tplc="C3FE8520">
      <w:start w:val="1"/>
      <w:numFmt w:val="lowerRoman"/>
      <w:lvlText w:val="%2."/>
      <w:lvlJc w:val="right"/>
      <w:pPr>
        <w:ind w:left="1368" w:hanging="36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F585736"/>
    <w:multiLevelType w:val="hybridMultilevel"/>
    <w:tmpl w:val="973C404E"/>
    <w:lvl w:ilvl="0" w:tplc="A32C6E80">
      <w:start w:val="1"/>
      <w:numFmt w:val="upperLetter"/>
      <w:pStyle w:val="Heading2"/>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3" w15:restartNumberingAfterBreak="0">
    <w:nsid w:val="455164D8"/>
    <w:multiLevelType w:val="hybridMultilevel"/>
    <w:tmpl w:val="F83EFE04"/>
    <w:lvl w:ilvl="0" w:tplc="0809001B">
      <w:start w:val="1"/>
      <w:numFmt w:val="lowerRoman"/>
      <w:lvlText w:val="%1."/>
      <w:lvlJc w:val="right"/>
      <w:pPr>
        <w:ind w:left="1872"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14" w15:restartNumberingAfterBreak="0">
    <w:nsid w:val="4D851B8D"/>
    <w:multiLevelType w:val="hybridMultilevel"/>
    <w:tmpl w:val="DE1ECE72"/>
    <w:lvl w:ilvl="0" w:tplc="C08C5B36">
      <w:start w:val="1"/>
      <w:numFmt w:val="decimal"/>
      <w:lvlText w:val="%1."/>
      <w:lvlJc w:val="left"/>
      <w:pPr>
        <w:ind w:left="1152" w:hanging="432"/>
      </w:pPr>
      <w:rPr>
        <w:b w:val="0"/>
        <w:i w:val="0"/>
      </w:rPr>
    </w:lvl>
    <w:lvl w:ilvl="1" w:tplc="0809001B">
      <w:start w:val="1"/>
      <w:numFmt w:val="lowerRoman"/>
      <w:lvlText w:val="%2."/>
      <w:lvlJc w:val="righ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15:restartNumberingAfterBreak="0">
    <w:nsid w:val="519756A2"/>
    <w:multiLevelType w:val="hybridMultilevel"/>
    <w:tmpl w:val="7F14BD1C"/>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6" w15:restartNumberingAfterBreak="0">
    <w:nsid w:val="53BC16DF"/>
    <w:multiLevelType w:val="hybridMultilevel"/>
    <w:tmpl w:val="E93C5A62"/>
    <w:lvl w:ilvl="0" w:tplc="04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7" w15:restartNumberingAfterBreak="0">
    <w:nsid w:val="540172EA"/>
    <w:multiLevelType w:val="hybridMultilevel"/>
    <w:tmpl w:val="68481712"/>
    <w:lvl w:ilvl="0" w:tplc="8A52EDE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BB1EC2"/>
    <w:multiLevelType w:val="hybridMultilevel"/>
    <w:tmpl w:val="CCE048B2"/>
    <w:lvl w:ilvl="0" w:tplc="3F365BE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A5180"/>
    <w:multiLevelType w:val="hybridMultilevel"/>
    <w:tmpl w:val="5F2CAB7E"/>
    <w:lvl w:ilvl="0" w:tplc="9D986318">
      <w:start w:val="1"/>
      <w:numFmt w:val="decimal"/>
      <w:lvlText w:val="%1."/>
      <w:lvlJc w:val="left"/>
      <w:pPr>
        <w:ind w:left="720" w:hanging="360"/>
      </w:pPr>
      <w:rPr>
        <w:rFonts w:ascii="Arial" w:hAnsi="Arial" w:cs="Arial" w:hint="default"/>
        <w:b w:val="0"/>
        <w:bCs w:val="0"/>
        <w:i w:val="0"/>
        <w:iCs w:val="0"/>
        <w:sz w:val="24"/>
        <w:szCs w:val="24"/>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BC5649"/>
    <w:multiLevelType w:val="hybridMultilevel"/>
    <w:tmpl w:val="DE1ECE72"/>
    <w:lvl w:ilvl="0" w:tplc="FFFFFFFF">
      <w:start w:val="1"/>
      <w:numFmt w:val="decimal"/>
      <w:lvlText w:val="%1."/>
      <w:lvlJc w:val="left"/>
      <w:pPr>
        <w:ind w:left="1152" w:hanging="432"/>
      </w:pPr>
      <w:rPr>
        <w:b w:val="0"/>
        <w:i w:val="0"/>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1" w15:restartNumberingAfterBreak="0">
    <w:nsid w:val="5FD65625"/>
    <w:multiLevelType w:val="hybridMultilevel"/>
    <w:tmpl w:val="304A072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2" w15:restartNumberingAfterBreak="0">
    <w:nsid w:val="62D12DAF"/>
    <w:multiLevelType w:val="hybridMultilevel"/>
    <w:tmpl w:val="A746D164"/>
    <w:lvl w:ilvl="0" w:tplc="BA583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B6068"/>
    <w:multiLevelType w:val="multilevel"/>
    <w:tmpl w:val="C734CFDC"/>
    <w:lvl w:ilvl="0">
      <w:start w:val="1"/>
      <w:numFmt w:val="lowerRoman"/>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124D92"/>
    <w:multiLevelType w:val="hybridMultilevel"/>
    <w:tmpl w:val="71DEB4F4"/>
    <w:lvl w:ilvl="0" w:tplc="9D5C5E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24598"/>
    <w:multiLevelType w:val="hybridMultilevel"/>
    <w:tmpl w:val="917CCDB6"/>
    <w:lvl w:ilvl="0" w:tplc="3FFC2F84">
      <w:start w:val="1"/>
      <w:numFmt w:val="lowerRoman"/>
      <w:pStyle w:val="Heading3"/>
      <w:lvlText w:val="%1."/>
      <w:lvlJc w:val="right"/>
      <w:pPr>
        <w:ind w:left="72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26" w15:restartNumberingAfterBreak="0">
    <w:nsid w:val="67823B27"/>
    <w:multiLevelType w:val="hybridMultilevel"/>
    <w:tmpl w:val="7D4C39A6"/>
    <w:lvl w:ilvl="0" w:tplc="80187C84">
      <w:start w:val="1"/>
      <w:numFmt w:val="decimal"/>
      <w:lvlText w:val="%1."/>
      <w:lvlJc w:val="left"/>
      <w:pPr>
        <w:ind w:left="1152" w:hanging="432"/>
      </w:pPr>
      <w:rPr>
        <w:b w:val="0"/>
        <w:i w:val="0"/>
        <w:sz w:val="24"/>
        <w:szCs w:val="24"/>
      </w:rPr>
    </w:lvl>
    <w:lvl w:ilvl="1" w:tplc="35EE61FC">
      <w:start w:val="1"/>
      <w:numFmt w:val="lowerRoman"/>
      <w:lvlText w:val="%2."/>
      <w:lvlJc w:val="left"/>
      <w:pPr>
        <w:ind w:left="1890" w:hanging="360"/>
      </w:pPr>
      <w:rPr>
        <w:rFonts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15:restartNumberingAfterBreak="0">
    <w:nsid w:val="719B0589"/>
    <w:multiLevelType w:val="hybridMultilevel"/>
    <w:tmpl w:val="24927A1A"/>
    <w:lvl w:ilvl="0" w:tplc="2966A0BC">
      <w:start w:val="109"/>
      <w:numFmt w:val="decimal"/>
      <w:lvlText w:val="%1."/>
      <w:lvlJc w:val="left"/>
      <w:pPr>
        <w:ind w:left="285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1F3C40"/>
    <w:multiLevelType w:val="hybridMultilevel"/>
    <w:tmpl w:val="5306A5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42A4A85"/>
    <w:multiLevelType w:val="hybridMultilevel"/>
    <w:tmpl w:val="51885F94"/>
    <w:lvl w:ilvl="0" w:tplc="0809001B">
      <w:start w:val="1"/>
      <w:numFmt w:val="lowerRoman"/>
      <w:lvlText w:val="%1."/>
      <w:lvlJc w:val="right"/>
      <w:pPr>
        <w:ind w:left="2160" w:hanging="360"/>
      </w:pPr>
      <w:rPr>
        <w:caps w:val="0"/>
        <w:smallCaps w:val="0"/>
        <w:strike w:val="0"/>
        <w:dstrike w:val="0"/>
        <w:color w:val="000000"/>
        <w:spacing w:val="0"/>
        <w:w w:val="100"/>
        <w:kern w:val="0"/>
        <w:position w:val="0"/>
        <w:u w:val="none"/>
        <w:effect w:val="none"/>
        <w:vertAlign w:val="baseline"/>
      </w:rPr>
    </w:lvl>
    <w:lvl w:ilvl="1" w:tplc="B6568936">
      <w:start w:val="1"/>
      <w:numFmt w:val="lowerLetter"/>
      <w:lvlText w:val="%2."/>
      <w:lvlJc w:val="left"/>
      <w:pPr>
        <w:ind w:left="2880"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38AE338">
      <w:start w:val="1"/>
      <w:numFmt w:val="lowerRoman"/>
      <w:lvlText w:val="%3."/>
      <w:lvlJc w:val="left"/>
      <w:pPr>
        <w:ind w:left="3600" w:hanging="294"/>
      </w:pPr>
      <w:rPr>
        <w:rFonts w:hAnsi="Arial Unicode MS" w:cs="Times New Roman"/>
        <w:caps w:val="0"/>
        <w:smallCaps w:val="0"/>
        <w:strike w:val="0"/>
        <w:dstrike w:val="0"/>
        <w:color w:val="000000"/>
        <w:spacing w:val="0"/>
        <w:w w:val="100"/>
        <w:kern w:val="0"/>
        <w:position w:val="0"/>
        <w:u w:val="none"/>
        <w:effect w:val="none"/>
        <w:vertAlign w:val="baseline"/>
      </w:rPr>
    </w:lvl>
    <w:lvl w:ilvl="3" w:tplc="95461AB6">
      <w:start w:val="1"/>
      <w:numFmt w:val="decimal"/>
      <w:lvlText w:val="%4."/>
      <w:lvlJc w:val="left"/>
      <w:pPr>
        <w:ind w:left="2072"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382EB2B8">
      <w:start w:val="1"/>
      <w:numFmt w:val="lowerLetter"/>
      <w:lvlText w:val="%5."/>
      <w:lvlJc w:val="left"/>
      <w:pPr>
        <w:ind w:left="5040"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D6DE836A">
      <w:start w:val="1"/>
      <w:numFmt w:val="lowerRoman"/>
      <w:lvlText w:val="%6."/>
      <w:lvlJc w:val="left"/>
      <w:pPr>
        <w:ind w:left="5760" w:hanging="294"/>
      </w:pPr>
      <w:rPr>
        <w:rFonts w:hAnsi="Arial Unicode MS" w:cs="Times New Roman"/>
        <w:caps w:val="0"/>
        <w:smallCaps w:val="0"/>
        <w:strike w:val="0"/>
        <w:dstrike w:val="0"/>
        <w:color w:val="000000"/>
        <w:spacing w:val="0"/>
        <w:w w:val="100"/>
        <w:kern w:val="0"/>
        <w:position w:val="0"/>
        <w:u w:val="none"/>
        <w:effect w:val="none"/>
        <w:vertAlign w:val="baseline"/>
      </w:rPr>
    </w:lvl>
    <w:lvl w:ilvl="6" w:tplc="157E045C">
      <w:start w:val="1"/>
      <w:numFmt w:val="decimal"/>
      <w:lvlText w:val="%7."/>
      <w:lvlJc w:val="left"/>
      <w:pPr>
        <w:ind w:left="6480"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A9FA5A80">
      <w:start w:val="1"/>
      <w:numFmt w:val="lowerLetter"/>
      <w:lvlText w:val="%8."/>
      <w:lvlJc w:val="left"/>
      <w:pPr>
        <w:ind w:left="7200"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66986DA6">
      <w:start w:val="1"/>
      <w:numFmt w:val="lowerRoman"/>
      <w:lvlText w:val="%9."/>
      <w:lvlJc w:val="left"/>
      <w:pPr>
        <w:ind w:left="7920" w:hanging="294"/>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30" w15:restartNumberingAfterBreak="0">
    <w:nsid w:val="77A300A6"/>
    <w:multiLevelType w:val="hybridMultilevel"/>
    <w:tmpl w:val="3A0A1B12"/>
    <w:lvl w:ilvl="0" w:tplc="FA86896C">
      <w:start w:val="1"/>
      <w:numFmt w:val="upperRoman"/>
      <w:pStyle w:val="Heading1"/>
      <w:lvlText w:val="%1."/>
      <w:lvlJc w:val="left"/>
      <w:pPr>
        <w:ind w:left="240" w:hanging="720"/>
      </w:pPr>
    </w:lvl>
    <w:lvl w:ilvl="1" w:tplc="20000019">
      <w:start w:val="1"/>
      <w:numFmt w:val="lowerLetter"/>
      <w:lvlText w:val="%2."/>
      <w:lvlJc w:val="left"/>
      <w:pPr>
        <w:ind w:left="600" w:hanging="360"/>
      </w:pPr>
    </w:lvl>
    <w:lvl w:ilvl="2" w:tplc="2000001B">
      <w:start w:val="1"/>
      <w:numFmt w:val="lowerRoman"/>
      <w:lvlText w:val="%3."/>
      <w:lvlJc w:val="right"/>
      <w:pPr>
        <w:ind w:left="1320" w:hanging="180"/>
      </w:pPr>
    </w:lvl>
    <w:lvl w:ilvl="3" w:tplc="2000000F">
      <w:start w:val="1"/>
      <w:numFmt w:val="decimal"/>
      <w:lvlText w:val="%4."/>
      <w:lvlJc w:val="left"/>
      <w:pPr>
        <w:ind w:left="2040" w:hanging="360"/>
      </w:pPr>
    </w:lvl>
    <w:lvl w:ilvl="4" w:tplc="20000019">
      <w:start w:val="1"/>
      <w:numFmt w:val="lowerLetter"/>
      <w:lvlText w:val="%5."/>
      <w:lvlJc w:val="left"/>
      <w:pPr>
        <w:ind w:left="2760" w:hanging="360"/>
      </w:pPr>
    </w:lvl>
    <w:lvl w:ilvl="5" w:tplc="2000001B">
      <w:start w:val="1"/>
      <w:numFmt w:val="lowerRoman"/>
      <w:lvlText w:val="%6."/>
      <w:lvlJc w:val="right"/>
      <w:pPr>
        <w:ind w:left="3480" w:hanging="180"/>
      </w:pPr>
    </w:lvl>
    <w:lvl w:ilvl="6" w:tplc="2000000F">
      <w:start w:val="1"/>
      <w:numFmt w:val="decimal"/>
      <w:lvlText w:val="%7."/>
      <w:lvlJc w:val="left"/>
      <w:pPr>
        <w:ind w:left="4200" w:hanging="360"/>
      </w:pPr>
    </w:lvl>
    <w:lvl w:ilvl="7" w:tplc="20000019">
      <w:start w:val="1"/>
      <w:numFmt w:val="lowerLetter"/>
      <w:lvlText w:val="%8."/>
      <w:lvlJc w:val="left"/>
      <w:pPr>
        <w:ind w:left="4920" w:hanging="360"/>
      </w:pPr>
    </w:lvl>
    <w:lvl w:ilvl="8" w:tplc="2000001B">
      <w:start w:val="1"/>
      <w:numFmt w:val="lowerRoman"/>
      <w:lvlText w:val="%9."/>
      <w:lvlJc w:val="right"/>
      <w:pPr>
        <w:ind w:left="5640" w:hanging="180"/>
      </w:pPr>
    </w:lvl>
  </w:abstractNum>
  <w:abstractNum w:abstractNumId="31" w15:restartNumberingAfterBreak="0">
    <w:nsid w:val="7B386C19"/>
    <w:multiLevelType w:val="hybridMultilevel"/>
    <w:tmpl w:val="8572F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052C5A"/>
    <w:multiLevelType w:val="hybridMultilevel"/>
    <w:tmpl w:val="1DD8444C"/>
    <w:lvl w:ilvl="0" w:tplc="FFFFFFFF">
      <w:start w:val="1"/>
      <w:numFmt w:val="decimal"/>
      <w:lvlText w:val="%1."/>
      <w:lvlJc w:val="left"/>
      <w:pPr>
        <w:ind w:left="1152" w:hanging="432"/>
      </w:pPr>
      <w:rPr>
        <w:b w:val="0"/>
        <w:i w:val="0"/>
        <w:sz w:val="24"/>
        <w:szCs w:val="24"/>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num w:numId="1" w16cid:durableId="21231109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69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328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50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425750">
    <w:abstractNumId w:val="0"/>
  </w:num>
  <w:num w:numId="6" w16cid:durableId="1347713091">
    <w:abstractNumId w:val="26"/>
  </w:num>
  <w:num w:numId="7" w16cid:durableId="12387875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98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854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244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372089">
    <w:abstractNumId w:val="23"/>
  </w:num>
  <w:num w:numId="12" w16cid:durableId="1523519720">
    <w:abstractNumId w:val="26"/>
  </w:num>
  <w:num w:numId="13" w16cid:durableId="1243836539">
    <w:abstractNumId w:val="28"/>
  </w:num>
  <w:num w:numId="14" w16cid:durableId="2120106134">
    <w:abstractNumId w:val="31"/>
  </w:num>
  <w:num w:numId="15" w16cid:durableId="605964257">
    <w:abstractNumId w:val="25"/>
  </w:num>
  <w:num w:numId="16" w16cid:durableId="1449397748">
    <w:abstractNumId w:val="5"/>
  </w:num>
  <w:num w:numId="17" w16cid:durableId="628706125">
    <w:abstractNumId w:val="14"/>
  </w:num>
  <w:num w:numId="18" w16cid:durableId="1469014518">
    <w:abstractNumId w:val="24"/>
  </w:num>
  <w:num w:numId="19" w16cid:durableId="1672903664">
    <w:abstractNumId w:val="20"/>
  </w:num>
  <w:num w:numId="20" w16cid:durableId="1539275902">
    <w:abstractNumId w:val="11"/>
  </w:num>
  <w:num w:numId="21" w16cid:durableId="127364908">
    <w:abstractNumId w:val="17"/>
  </w:num>
  <w:num w:numId="22" w16cid:durableId="22369217">
    <w:abstractNumId w:val="3"/>
  </w:num>
  <w:num w:numId="23" w16cid:durableId="1149054093">
    <w:abstractNumId w:val="16"/>
  </w:num>
  <w:num w:numId="24" w16cid:durableId="1865050293">
    <w:abstractNumId w:val="18"/>
  </w:num>
  <w:num w:numId="25" w16cid:durableId="364134505">
    <w:abstractNumId w:val="12"/>
  </w:num>
  <w:num w:numId="26" w16cid:durableId="1873686494">
    <w:abstractNumId w:val="12"/>
    <w:lvlOverride w:ilvl="0">
      <w:startOverride w:val="1"/>
    </w:lvlOverride>
  </w:num>
  <w:num w:numId="27" w16cid:durableId="1316495107">
    <w:abstractNumId w:val="1"/>
  </w:num>
  <w:num w:numId="28" w16cid:durableId="1512524218">
    <w:abstractNumId w:val="19"/>
  </w:num>
  <w:num w:numId="29" w16cid:durableId="981422814">
    <w:abstractNumId w:val="7"/>
  </w:num>
  <w:num w:numId="30" w16cid:durableId="373893965">
    <w:abstractNumId w:val="32"/>
  </w:num>
  <w:num w:numId="31" w16cid:durableId="2068186519">
    <w:abstractNumId w:val="0"/>
  </w:num>
  <w:num w:numId="32" w16cid:durableId="1514107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32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0179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09593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0394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1859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6839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4001055">
    <w:abstractNumId w:val="2"/>
  </w:num>
  <w:num w:numId="40" w16cid:durableId="652372287">
    <w:abstractNumId w:val="4"/>
  </w:num>
  <w:num w:numId="41" w16cid:durableId="106781788">
    <w:abstractNumId w:val="10"/>
  </w:num>
  <w:num w:numId="42" w16cid:durableId="1642692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679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109887">
    <w:abstractNumId w:val="8"/>
  </w:num>
  <w:num w:numId="45" w16cid:durableId="117262818">
    <w:abstractNumId w:val="26"/>
  </w:num>
  <w:num w:numId="46" w16cid:durableId="1647781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0231553">
    <w:abstractNumId w:val="21"/>
  </w:num>
  <w:num w:numId="48" w16cid:durableId="2081441689">
    <w:abstractNumId w:val="27"/>
  </w:num>
  <w:num w:numId="49" w16cid:durableId="536311468">
    <w:abstractNumId w:val="15"/>
  </w:num>
  <w:num w:numId="50" w16cid:durableId="839663326">
    <w:abstractNumId w:val="22"/>
  </w:num>
  <w:num w:numId="51" w16cid:durableId="1992715240">
    <w:abstractNumId w:val="9"/>
  </w:num>
  <w:num w:numId="52" w16cid:durableId="72603106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F3"/>
    <w:rsid w:val="00002031"/>
    <w:rsid w:val="000061D6"/>
    <w:rsid w:val="00007332"/>
    <w:rsid w:val="00010518"/>
    <w:rsid w:val="00011722"/>
    <w:rsid w:val="00012721"/>
    <w:rsid w:val="00013403"/>
    <w:rsid w:val="00013861"/>
    <w:rsid w:val="00017DC9"/>
    <w:rsid w:val="0002481E"/>
    <w:rsid w:val="00024EAF"/>
    <w:rsid w:val="000266FF"/>
    <w:rsid w:val="00027C6E"/>
    <w:rsid w:val="00031592"/>
    <w:rsid w:val="0003219A"/>
    <w:rsid w:val="00033B43"/>
    <w:rsid w:val="00037036"/>
    <w:rsid w:val="00040AB6"/>
    <w:rsid w:val="000418A3"/>
    <w:rsid w:val="00044B05"/>
    <w:rsid w:val="00051DDF"/>
    <w:rsid w:val="00055361"/>
    <w:rsid w:val="00055AC8"/>
    <w:rsid w:val="00056BAC"/>
    <w:rsid w:val="000607BD"/>
    <w:rsid w:val="000614BE"/>
    <w:rsid w:val="00066BDF"/>
    <w:rsid w:val="00073046"/>
    <w:rsid w:val="00082FC2"/>
    <w:rsid w:val="000859D1"/>
    <w:rsid w:val="0009280B"/>
    <w:rsid w:val="000A150C"/>
    <w:rsid w:val="000A1D04"/>
    <w:rsid w:val="000B07F9"/>
    <w:rsid w:val="000B15CE"/>
    <w:rsid w:val="000B6551"/>
    <w:rsid w:val="000B7898"/>
    <w:rsid w:val="000C7D98"/>
    <w:rsid w:val="000D77FB"/>
    <w:rsid w:val="000D7AFC"/>
    <w:rsid w:val="000E37FF"/>
    <w:rsid w:val="000E45C6"/>
    <w:rsid w:val="000E5F04"/>
    <w:rsid w:val="000E62A9"/>
    <w:rsid w:val="000F14A4"/>
    <w:rsid w:val="000F2D40"/>
    <w:rsid w:val="000F47AA"/>
    <w:rsid w:val="000F5165"/>
    <w:rsid w:val="000F57AD"/>
    <w:rsid w:val="000F7A3D"/>
    <w:rsid w:val="001043F8"/>
    <w:rsid w:val="00104563"/>
    <w:rsid w:val="00110886"/>
    <w:rsid w:val="001121AB"/>
    <w:rsid w:val="00113CA2"/>
    <w:rsid w:val="00114B63"/>
    <w:rsid w:val="00123C1C"/>
    <w:rsid w:val="00126784"/>
    <w:rsid w:val="00134007"/>
    <w:rsid w:val="00135F59"/>
    <w:rsid w:val="001369C2"/>
    <w:rsid w:val="00140157"/>
    <w:rsid w:val="001417F7"/>
    <w:rsid w:val="00142F62"/>
    <w:rsid w:val="00144DFC"/>
    <w:rsid w:val="001451D4"/>
    <w:rsid w:val="00167342"/>
    <w:rsid w:val="00170A41"/>
    <w:rsid w:val="00170C7E"/>
    <w:rsid w:val="00170F02"/>
    <w:rsid w:val="0017128A"/>
    <w:rsid w:val="001725A1"/>
    <w:rsid w:val="00172D75"/>
    <w:rsid w:val="001730BB"/>
    <w:rsid w:val="00174CCF"/>
    <w:rsid w:val="00176C79"/>
    <w:rsid w:val="00177232"/>
    <w:rsid w:val="00181040"/>
    <w:rsid w:val="00182C79"/>
    <w:rsid w:val="00184215"/>
    <w:rsid w:val="00184C76"/>
    <w:rsid w:val="00187AB0"/>
    <w:rsid w:val="001926CB"/>
    <w:rsid w:val="00195FEA"/>
    <w:rsid w:val="001A2E58"/>
    <w:rsid w:val="001A76CD"/>
    <w:rsid w:val="001A78DA"/>
    <w:rsid w:val="001B0022"/>
    <w:rsid w:val="001B7DFF"/>
    <w:rsid w:val="001C1EC9"/>
    <w:rsid w:val="001C6BEC"/>
    <w:rsid w:val="001D0872"/>
    <w:rsid w:val="001E26A6"/>
    <w:rsid w:val="001E3A97"/>
    <w:rsid w:val="001E4B8C"/>
    <w:rsid w:val="001E5D26"/>
    <w:rsid w:val="001E63C5"/>
    <w:rsid w:val="001E67A8"/>
    <w:rsid w:val="001E7908"/>
    <w:rsid w:val="001E7FA3"/>
    <w:rsid w:val="001F69E5"/>
    <w:rsid w:val="001F74CA"/>
    <w:rsid w:val="00200DBC"/>
    <w:rsid w:val="00201927"/>
    <w:rsid w:val="0020464D"/>
    <w:rsid w:val="00221E88"/>
    <w:rsid w:val="00232173"/>
    <w:rsid w:val="00236E79"/>
    <w:rsid w:val="00241671"/>
    <w:rsid w:val="00242A31"/>
    <w:rsid w:val="00245754"/>
    <w:rsid w:val="0024774B"/>
    <w:rsid w:val="00252DCF"/>
    <w:rsid w:val="0025489B"/>
    <w:rsid w:val="00255AB9"/>
    <w:rsid w:val="00262241"/>
    <w:rsid w:val="002658F0"/>
    <w:rsid w:val="00265DC5"/>
    <w:rsid w:val="00270C7F"/>
    <w:rsid w:val="00270C8F"/>
    <w:rsid w:val="00272239"/>
    <w:rsid w:val="00272DE8"/>
    <w:rsid w:val="0027366E"/>
    <w:rsid w:val="00281AE5"/>
    <w:rsid w:val="00282F0D"/>
    <w:rsid w:val="002875ED"/>
    <w:rsid w:val="002903A1"/>
    <w:rsid w:val="0029330E"/>
    <w:rsid w:val="0029559D"/>
    <w:rsid w:val="00295F9D"/>
    <w:rsid w:val="00296D33"/>
    <w:rsid w:val="00297BF1"/>
    <w:rsid w:val="002A1A17"/>
    <w:rsid w:val="002A2873"/>
    <w:rsid w:val="002A3B7B"/>
    <w:rsid w:val="002B0F77"/>
    <w:rsid w:val="002B1AFA"/>
    <w:rsid w:val="002B2F93"/>
    <w:rsid w:val="002B5A12"/>
    <w:rsid w:val="002C410A"/>
    <w:rsid w:val="002C599D"/>
    <w:rsid w:val="002C5A1F"/>
    <w:rsid w:val="002D4CC6"/>
    <w:rsid w:val="002D5648"/>
    <w:rsid w:val="002D640B"/>
    <w:rsid w:val="002E26DA"/>
    <w:rsid w:val="002E5EC0"/>
    <w:rsid w:val="002E6C92"/>
    <w:rsid w:val="002F0835"/>
    <w:rsid w:val="002F1114"/>
    <w:rsid w:val="002F2C9B"/>
    <w:rsid w:val="002F75C8"/>
    <w:rsid w:val="002F760E"/>
    <w:rsid w:val="0030253F"/>
    <w:rsid w:val="00307298"/>
    <w:rsid w:val="00310F60"/>
    <w:rsid w:val="0031162D"/>
    <w:rsid w:val="00312647"/>
    <w:rsid w:val="00313C73"/>
    <w:rsid w:val="00316DCF"/>
    <w:rsid w:val="00317E9D"/>
    <w:rsid w:val="00320734"/>
    <w:rsid w:val="00321541"/>
    <w:rsid w:val="00326478"/>
    <w:rsid w:val="0032713A"/>
    <w:rsid w:val="00330F2B"/>
    <w:rsid w:val="00333327"/>
    <w:rsid w:val="00344F25"/>
    <w:rsid w:val="00346553"/>
    <w:rsid w:val="00346F48"/>
    <w:rsid w:val="003514F3"/>
    <w:rsid w:val="003535B4"/>
    <w:rsid w:val="00360959"/>
    <w:rsid w:val="0036247E"/>
    <w:rsid w:val="003662B6"/>
    <w:rsid w:val="00370C15"/>
    <w:rsid w:val="00373E12"/>
    <w:rsid w:val="003760C2"/>
    <w:rsid w:val="0037761F"/>
    <w:rsid w:val="00377B3A"/>
    <w:rsid w:val="003806CC"/>
    <w:rsid w:val="00383BF7"/>
    <w:rsid w:val="00391CF2"/>
    <w:rsid w:val="00396E80"/>
    <w:rsid w:val="003A7713"/>
    <w:rsid w:val="003B0A56"/>
    <w:rsid w:val="003B2922"/>
    <w:rsid w:val="003B2E90"/>
    <w:rsid w:val="003B490E"/>
    <w:rsid w:val="003B58F6"/>
    <w:rsid w:val="003B5945"/>
    <w:rsid w:val="003C0B4D"/>
    <w:rsid w:val="003C1C6F"/>
    <w:rsid w:val="003C3554"/>
    <w:rsid w:val="003C4F22"/>
    <w:rsid w:val="003C6258"/>
    <w:rsid w:val="003C73F3"/>
    <w:rsid w:val="003D02AE"/>
    <w:rsid w:val="003D2640"/>
    <w:rsid w:val="003D3C21"/>
    <w:rsid w:val="003D4396"/>
    <w:rsid w:val="003E05EB"/>
    <w:rsid w:val="003E06B2"/>
    <w:rsid w:val="003E0B97"/>
    <w:rsid w:val="003E2C34"/>
    <w:rsid w:val="003E6589"/>
    <w:rsid w:val="003E7255"/>
    <w:rsid w:val="003E752A"/>
    <w:rsid w:val="003F1046"/>
    <w:rsid w:val="003F3D4A"/>
    <w:rsid w:val="003F4FCB"/>
    <w:rsid w:val="003F7591"/>
    <w:rsid w:val="00401CE6"/>
    <w:rsid w:val="00404D35"/>
    <w:rsid w:val="004106FE"/>
    <w:rsid w:val="00411D74"/>
    <w:rsid w:val="0042297C"/>
    <w:rsid w:val="00427FDF"/>
    <w:rsid w:val="00430A17"/>
    <w:rsid w:val="00432563"/>
    <w:rsid w:val="00435F36"/>
    <w:rsid w:val="00442B2F"/>
    <w:rsid w:val="004439D2"/>
    <w:rsid w:val="00447185"/>
    <w:rsid w:val="00447907"/>
    <w:rsid w:val="0045109A"/>
    <w:rsid w:val="00453766"/>
    <w:rsid w:val="004578C9"/>
    <w:rsid w:val="004578D1"/>
    <w:rsid w:val="004634FD"/>
    <w:rsid w:val="004704F2"/>
    <w:rsid w:val="004714CB"/>
    <w:rsid w:val="00471CEC"/>
    <w:rsid w:val="00474740"/>
    <w:rsid w:val="004834B3"/>
    <w:rsid w:val="00485A2B"/>
    <w:rsid w:val="00486169"/>
    <w:rsid w:val="00490581"/>
    <w:rsid w:val="00493D5E"/>
    <w:rsid w:val="00495C20"/>
    <w:rsid w:val="0049797E"/>
    <w:rsid w:val="004A1B24"/>
    <w:rsid w:val="004A3A28"/>
    <w:rsid w:val="004B1CC5"/>
    <w:rsid w:val="004B30B2"/>
    <w:rsid w:val="004B65EF"/>
    <w:rsid w:val="004C35F7"/>
    <w:rsid w:val="004C6B6D"/>
    <w:rsid w:val="004C73A0"/>
    <w:rsid w:val="004D7342"/>
    <w:rsid w:val="004D78E7"/>
    <w:rsid w:val="004E4CC3"/>
    <w:rsid w:val="004E4F3A"/>
    <w:rsid w:val="004E5E28"/>
    <w:rsid w:val="004E7974"/>
    <w:rsid w:val="004E7F05"/>
    <w:rsid w:val="004F28BB"/>
    <w:rsid w:val="004F4017"/>
    <w:rsid w:val="004F5E92"/>
    <w:rsid w:val="00501883"/>
    <w:rsid w:val="0050791C"/>
    <w:rsid w:val="00511FE2"/>
    <w:rsid w:val="00512412"/>
    <w:rsid w:val="00516A77"/>
    <w:rsid w:val="0052106A"/>
    <w:rsid w:val="00531CE9"/>
    <w:rsid w:val="00541221"/>
    <w:rsid w:val="005426D7"/>
    <w:rsid w:val="00552261"/>
    <w:rsid w:val="00552562"/>
    <w:rsid w:val="00552605"/>
    <w:rsid w:val="00553918"/>
    <w:rsid w:val="0055734E"/>
    <w:rsid w:val="00557766"/>
    <w:rsid w:val="00562708"/>
    <w:rsid w:val="00563CD0"/>
    <w:rsid w:val="005645DE"/>
    <w:rsid w:val="005647E9"/>
    <w:rsid w:val="0056696E"/>
    <w:rsid w:val="00571831"/>
    <w:rsid w:val="00573396"/>
    <w:rsid w:val="005779A7"/>
    <w:rsid w:val="00580F93"/>
    <w:rsid w:val="00595AD7"/>
    <w:rsid w:val="00597327"/>
    <w:rsid w:val="0059762D"/>
    <w:rsid w:val="005A0DA2"/>
    <w:rsid w:val="005A32EA"/>
    <w:rsid w:val="005A465B"/>
    <w:rsid w:val="005A6DDF"/>
    <w:rsid w:val="005B38E8"/>
    <w:rsid w:val="005B4C0A"/>
    <w:rsid w:val="005B7939"/>
    <w:rsid w:val="005B7A37"/>
    <w:rsid w:val="005C1673"/>
    <w:rsid w:val="005C1CF8"/>
    <w:rsid w:val="005C2B44"/>
    <w:rsid w:val="005C5B0F"/>
    <w:rsid w:val="005D23CE"/>
    <w:rsid w:val="005D38DF"/>
    <w:rsid w:val="005D5AA3"/>
    <w:rsid w:val="005D5B88"/>
    <w:rsid w:val="005D73B2"/>
    <w:rsid w:val="005E2A1B"/>
    <w:rsid w:val="005E339D"/>
    <w:rsid w:val="005F79FB"/>
    <w:rsid w:val="0060108D"/>
    <w:rsid w:val="00611AA9"/>
    <w:rsid w:val="00613491"/>
    <w:rsid w:val="006148B2"/>
    <w:rsid w:val="00615010"/>
    <w:rsid w:val="00620A9E"/>
    <w:rsid w:val="00622BAB"/>
    <w:rsid w:val="00623F93"/>
    <w:rsid w:val="006257E8"/>
    <w:rsid w:val="00626807"/>
    <w:rsid w:val="006277A8"/>
    <w:rsid w:val="006311C0"/>
    <w:rsid w:val="00635E40"/>
    <w:rsid w:val="006440E2"/>
    <w:rsid w:val="00646D49"/>
    <w:rsid w:val="00651C8C"/>
    <w:rsid w:val="00660D12"/>
    <w:rsid w:val="0066299C"/>
    <w:rsid w:val="006650D3"/>
    <w:rsid w:val="00671C02"/>
    <w:rsid w:val="00673037"/>
    <w:rsid w:val="00673B0F"/>
    <w:rsid w:val="006760CB"/>
    <w:rsid w:val="0067673A"/>
    <w:rsid w:val="00676C0B"/>
    <w:rsid w:val="00677D85"/>
    <w:rsid w:val="0068544A"/>
    <w:rsid w:val="00686655"/>
    <w:rsid w:val="0068787F"/>
    <w:rsid w:val="006A42FF"/>
    <w:rsid w:val="006A5959"/>
    <w:rsid w:val="006A7C7D"/>
    <w:rsid w:val="006B10C4"/>
    <w:rsid w:val="006B2FB0"/>
    <w:rsid w:val="006B50EA"/>
    <w:rsid w:val="006C1274"/>
    <w:rsid w:val="006C1B0F"/>
    <w:rsid w:val="006C49DC"/>
    <w:rsid w:val="006C4CAE"/>
    <w:rsid w:val="006C4E8C"/>
    <w:rsid w:val="006C5A2E"/>
    <w:rsid w:val="006D03E6"/>
    <w:rsid w:val="006D0B6F"/>
    <w:rsid w:val="006D17F3"/>
    <w:rsid w:val="006D1C8E"/>
    <w:rsid w:val="006D6581"/>
    <w:rsid w:val="006D7260"/>
    <w:rsid w:val="006E51C3"/>
    <w:rsid w:val="006E6911"/>
    <w:rsid w:val="006F1975"/>
    <w:rsid w:val="006F41F5"/>
    <w:rsid w:val="007000B7"/>
    <w:rsid w:val="00701C20"/>
    <w:rsid w:val="00706997"/>
    <w:rsid w:val="00710374"/>
    <w:rsid w:val="0071240C"/>
    <w:rsid w:val="00714820"/>
    <w:rsid w:val="00715235"/>
    <w:rsid w:val="00716C59"/>
    <w:rsid w:val="007174D1"/>
    <w:rsid w:val="00720220"/>
    <w:rsid w:val="007211C1"/>
    <w:rsid w:val="00725179"/>
    <w:rsid w:val="00725534"/>
    <w:rsid w:val="00727509"/>
    <w:rsid w:val="00727718"/>
    <w:rsid w:val="007344AE"/>
    <w:rsid w:val="0073706E"/>
    <w:rsid w:val="0074057D"/>
    <w:rsid w:val="007412F7"/>
    <w:rsid w:val="00746180"/>
    <w:rsid w:val="007471CC"/>
    <w:rsid w:val="007472CF"/>
    <w:rsid w:val="00750A36"/>
    <w:rsid w:val="00750F7D"/>
    <w:rsid w:val="0075120C"/>
    <w:rsid w:val="00752708"/>
    <w:rsid w:val="0075730E"/>
    <w:rsid w:val="007667A9"/>
    <w:rsid w:val="00766CDD"/>
    <w:rsid w:val="00772080"/>
    <w:rsid w:val="00773CBD"/>
    <w:rsid w:val="00774E86"/>
    <w:rsid w:val="007758DB"/>
    <w:rsid w:val="00775E37"/>
    <w:rsid w:val="00777819"/>
    <w:rsid w:val="007819D0"/>
    <w:rsid w:val="00781A4A"/>
    <w:rsid w:val="0078698D"/>
    <w:rsid w:val="00792FAF"/>
    <w:rsid w:val="007A075B"/>
    <w:rsid w:val="007A0EDD"/>
    <w:rsid w:val="007A3188"/>
    <w:rsid w:val="007A6220"/>
    <w:rsid w:val="007B69FC"/>
    <w:rsid w:val="007B72EF"/>
    <w:rsid w:val="007B752B"/>
    <w:rsid w:val="007C121D"/>
    <w:rsid w:val="007C7AA1"/>
    <w:rsid w:val="007D001C"/>
    <w:rsid w:val="007D1155"/>
    <w:rsid w:val="007D1B58"/>
    <w:rsid w:val="007D32AF"/>
    <w:rsid w:val="007E22E3"/>
    <w:rsid w:val="007E4EB1"/>
    <w:rsid w:val="007E5238"/>
    <w:rsid w:val="007E56D9"/>
    <w:rsid w:val="007E5E8F"/>
    <w:rsid w:val="007E74F0"/>
    <w:rsid w:val="007F07D3"/>
    <w:rsid w:val="007F3794"/>
    <w:rsid w:val="0080113E"/>
    <w:rsid w:val="00803B32"/>
    <w:rsid w:val="00804F38"/>
    <w:rsid w:val="008060F5"/>
    <w:rsid w:val="00814289"/>
    <w:rsid w:val="00820D21"/>
    <w:rsid w:val="00824DBD"/>
    <w:rsid w:val="008301C0"/>
    <w:rsid w:val="0083139A"/>
    <w:rsid w:val="008419CD"/>
    <w:rsid w:val="0084362E"/>
    <w:rsid w:val="00847EEB"/>
    <w:rsid w:val="008535D3"/>
    <w:rsid w:val="00856E48"/>
    <w:rsid w:val="00866FDA"/>
    <w:rsid w:val="00871B49"/>
    <w:rsid w:val="00872A41"/>
    <w:rsid w:val="00872D7F"/>
    <w:rsid w:val="00880155"/>
    <w:rsid w:val="00892881"/>
    <w:rsid w:val="00892FB7"/>
    <w:rsid w:val="0089601E"/>
    <w:rsid w:val="008A1315"/>
    <w:rsid w:val="008A5DEC"/>
    <w:rsid w:val="008A653F"/>
    <w:rsid w:val="008C1EB3"/>
    <w:rsid w:val="008C6DBF"/>
    <w:rsid w:val="008D137B"/>
    <w:rsid w:val="008D1C9E"/>
    <w:rsid w:val="008D2197"/>
    <w:rsid w:val="008D6100"/>
    <w:rsid w:val="008D7949"/>
    <w:rsid w:val="008E036E"/>
    <w:rsid w:val="008E17F2"/>
    <w:rsid w:val="008E35BA"/>
    <w:rsid w:val="008E598F"/>
    <w:rsid w:val="008E6A03"/>
    <w:rsid w:val="00900B6B"/>
    <w:rsid w:val="00900D3E"/>
    <w:rsid w:val="00902DD5"/>
    <w:rsid w:val="00904254"/>
    <w:rsid w:val="00905525"/>
    <w:rsid w:val="00907922"/>
    <w:rsid w:val="0091159B"/>
    <w:rsid w:val="00911A31"/>
    <w:rsid w:val="0091371F"/>
    <w:rsid w:val="00915522"/>
    <w:rsid w:val="00916342"/>
    <w:rsid w:val="00923E71"/>
    <w:rsid w:val="009253AB"/>
    <w:rsid w:val="0092743D"/>
    <w:rsid w:val="009316C7"/>
    <w:rsid w:val="0093241F"/>
    <w:rsid w:val="00936AA5"/>
    <w:rsid w:val="00936DD2"/>
    <w:rsid w:val="00944FE0"/>
    <w:rsid w:val="00946ABC"/>
    <w:rsid w:val="009605FB"/>
    <w:rsid w:val="009615CA"/>
    <w:rsid w:val="009625C5"/>
    <w:rsid w:val="0096382B"/>
    <w:rsid w:val="00964189"/>
    <w:rsid w:val="00965285"/>
    <w:rsid w:val="00966C20"/>
    <w:rsid w:val="009702C3"/>
    <w:rsid w:val="00974043"/>
    <w:rsid w:val="00981EB2"/>
    <w:rsid w:val="00981EBC"/>
    <w:rsid w:val="00981F24"/>
    <w:rsid w:val="00984B8E"/>
    <w:rsid w:val="0099420D"/>
    <w:rsid w:val="00996BF3"/>
    <w:rsid w:val="009A0F15"/>
    <w:rsid w:val="009A3EE3"/>
    <w:rsid w:val="009A40FB"/>
    <w:rsid w:val="009C6F5C"/>
    <w:rsid w:val="009D2290"/>
    <w:rsid w:val="009D2868"/>
    <w:rsid w:val="009D3123"/>
    <w:rsid w:val="009D409A"/>
    <w:rsid w:val="009D7CC5"/>
    <w:rsid w:val="009E0C2F"/>
    <w:rsid w:val="009E5EF0"/>
    <w:rsid w:val="009E6309"/>
    <w:rsid w:val="009E71B1"/>
    <w:rsid w:val="009F4EB8"/>
    <w:rsid w:val="009F5869"/>
    <w:rsid w:val="009F5DEA"/>
    <w:rsid w:val="009F5EAA"/>
    <w:rsid w:val="009F66B4"/>
    <w:rsid w:val="00A01700"/>
    <w:rsid w:val="00A01763"/>
    <w:rsid w:val="00A04186"/>
    <w:rsid w:val="00A05006"/>
    <w:rsid w:val="00A1177C"/>
    <w:rsid w:val="00A14D4C"/>
    <w:rsid w:val="00A157FD"/>
    <w:rsid w:val="00A17207"/>
    <w:rsid w:val="00A1745F"/>
    <w:rsid w:val="00A223D5"/>
    <w:rsid w:val="00A30697"/>
    <w:rsid w:val="00A32A41"/>
    <w:rsid w:val="00A35C6F"/>
    <w:rsid w:val="00A36386"/>
    <w:rsid w:val="00A36CFB"/>
    <w:rsid w:val="00A461FB"/>
    <w:rsid w:val="00A47E91"/>
    <w:rsid w:val="00A51BBC"/>
    <w:rsid w:val="00A52F02"/>
    <w:rsid w:val="00A544B7"/>
    <w:rsid w:val="00A54CAE"/>
    <w:rsid w:val="00A61C00"/>
    <w:rsid w:val="00A658B1"/>
    <w:rsid w:val="00A65A2A"/>
    <w:rsid w:val="00A75071"/>
    <w:rsid w:val="00A7657C"/>
    <w:rsid w:val="00A935D9"/>
    <w:rsid w:val="00A942E9"/>
    <w:rsid w:val="00A95B9F"/>
    <w:rsid w:val="00AB14CB"/>
    <w:rsid w:val="00AB16E7"/>
    <w:rsid w:val="00AB1C6E"/>
    <w:rsid w:val="00AB463E"/>
    <w:rsid w:val="00AD1108"/>
    <w:rsid w:val="00AD1AF7"/>
    <w:rsid w:val="00AD1B60"/>
    <w:rsid w:val="00AD42C2"/>
    <w:rsid w:val="00AD4982"/>
    <w:rsid w:val="00AD74FF"/>
    <w:rsid w:val="00AE136C"/>
    <w:rsid w:val="00AE2D69"/>
    <w:rsid w:val="00AE373C"/>
    <w:rsid w:val="00AE6448"/>
    <w:rsid w:val="00AE7C00"/>
    <w:rsid w:val="00AF5ED5"/>
    <w:rsid w:val="00AF78F0"/>
    <w:rsid w:val="00B00058"/>
    <w:rsid w:val="00B00BB5"/>
    <w:rsid w:val="00B06BE9"/>
    <w:rsid w:val="00B314F6"/>
    <w:rsid w:val="00B31CA6"/>
    <w:rsid w:val="00B36B9C"/>
    <w:rsid w:val="00B40E50"/>
    <w:rsid w:val="00B4308B"/>
    <w:rsid w:val="00B4373F"/>
    <w:rsid w:val="00B4772F"/>
    <w:rsid w:val="00B536E6"/>
    <w:rsid w:val="00B62EB5"/>
    <w:rsid w:val="00B64723"/>
    <w:rsid w:val="00B6717B"/>
    <w:rsid w:val="00B674D3"/>
    <w:rsid w:val="00B70A23"/>
    <w:rsid w:val="00B744F0"/>
    <w:rsid w:val="00B763BE"/>
    <w:rsid w:val="00B811C7"/>
    <w:rsid w:val="00B935BE"/>
    <w:rsid w:val="00B95CFA"/>
    <w:rsid w:val="00BA057A"/>
    <w:rsid w:val="00BB0DAC"/>
    <w:rsid w:val="00BB23A6"/>
    <w:rsid w:val="00BB43A2"/>
    <w:rsid w:val="00BC1AFD"/>
    <w:rsid w:val="00BC366F"/>
    <w:rsid w:val="00BC453C"/>
    <w:rsid w:val="00BC5E95"/>
    <w:rsid w:val="00BD0611"/>
    <w:rsid w:val="00BD14EF"/>
    <w:rsid w:val="00BD2873"/>
    <w:rsid w:val="00BD4784"/>
    <w:rsid w:val="00BD5F97"/>
    <w:rsid w:val="00BE12CA"/>
    <w:rsid w:val="00BE2520"/>
    <w:rsid w:val="00BE3344"/>
    <w:rsid w:val="00BE6C4F"/>
    <w:rsid w:val="00BF268E"/>
    <w:rsid w:val="00BF3F47"/>
    <w:rsid w:val="00C042A6"/>
    <w:rsid w:val="00C045A1"/>
    <w:rsid w:val="00C111E7"/>
    <w:rsid w:val="00C143BB"/>
    <w:rsid w:val="00C14CB8"/>
    <w:rsid w:val="00C15514"/>
    <w:rsid w:val="00C16749"/>
    <w:rsid w:val="00C27798"/>
    <w:rsid w:val="00C27941"/>
    <w:rsid w:val="00C3130D"/>
    <w:rsid w:val="00C336A5"/>
    <w:rsid w:val="00C357EA"/>
    <w:rsid w:val="00C408E6"/>
    <w:rsid w:val="00C442F2"/>
    <w:rsid w:val="00C46693"/>
    <w:rsid w:val="00C50899"/>
    <w:rsid w:val="00C51650"/>
    <w:rsid w:val="00C55EA0"/>
    <w:rsid w:val="00C560E9"/>
    <w:rsid w:val="00C60178"/>
    <w:rsid w:val="00C62D2D"/>
    <w:rsid w:val="00C648D9"/>
    <w:rsid w:val="00C65F89"/>
    <w:rsid w:val="00C677BC"/>
    <w:rsid w:val="00C71463"/>
    <w:rsid w:val="00C717C8"/>
    <w:rsid w:val="00C81310"/>
    <w:rsid w:val="00C84191"/>
    <w:rsid w:val="00C85219"/>
    <w:rsid w:val="00C87785"/>
    <w:rsid w:val="00C92A82"/>
    <w:rsid w:val="00C94B89"/>
    <w:rsid w:val="00C9729E"/>
    <w:rsid w:val="00CA0FF0"/>
    <w:rsid w:val="00CB22EF"/>
    <w:rsid w:val="00CB436A"/>
    <w:rsid w:val="00CC00D0"/>
    <w:rsid w:val="00CC017A"/>
    <w:rsid w:val="00CC166A"/>
    <w:rsid w:val="00CC2394"/>
    <w:rsid w:val="00CC4ED1"/>
    <w:rsid w:val="00CC6CF7"/>
    <w:rsid w:val="00CD1DFA"/>
    <w:rsid w:val="00CE0B96"/>
    <w:rsid w:val="00CE497C"/>
    <w:rsid w:val="00CE49C0"/>
    <w:rsid w:val="00CF43CE"/>
    <w:rsid w:val="00CF592C"/>
    <w:rsid w:val="00CF7E15"/>
    <w:rsid w:val="00D01101"/>
    <w:rsid w:val="00D03AB3"/>
    <w:rsid w:val="00D1082B"/>
    <w:rsid w:val="00D1132E"/>
    <w:rsid w:val="00D125E3"/>
    <w:rsid w:val="00D16E84"/>
    <w:rsid w:val="00D21E84"/>
    <w:rsid w:val="00D25D14"/>
    <w:rsid w:val="00D35B7A"/>
    <w:rsid w:val="00D41937"/>
    <w:rsid w:val="00D45A84"/>
    <w:rsid w:val="00D45FFA"/>
    <w:rsid w:val="00D53F82"/>
    <w:rsid w:val="00D54D72"/>
    <w:rsid w:val="00D55925"/>
    <w:rsid w:val="00D638DE"/>
    <w:rsid w:val="00D64472"/>
    <w:rsid w:val="00D7256E"/>
    <w:rsid w:val="00D7518B"/>
    <w:rsid w:val="00D75935"/>
    <w:rsid w:val="00D94C20"/>
    <w:rsid w:val="00DA06BC"/>
    <w:rsid w:val="00DA29FB"/>
    <w:rsid w:val="00DA77FB"/>
    <w:rsid w:val="00DB2E99"/>
    <w:rsid w:val="00DB3162"/>
    <w:rsid w:val="00DB3FE2"/>
    <w:rsid w:val="00DB497F"/>
    <w:rsid w:val="00DB49D1"/>
    <w:rsid w:val="00DC3956"/>
    <w:rsid w:val="00DC7AA1"/>
    <w:rsid w:val="00DD47A0"/>
    <w:rsid w:val="00DD52C1"/>
    <w:rsid w:val="00DD6C0C"/>
    <w:rsid w:val="00DD6F23"/>
    <w:rsid w:val="00DD77F8"/>
    <w:rsid w:val="00DD7FC9"/>
    <w:rsid w:val="00DE7F83"/>
    <w:rsid w:val="00DF0876"/>
    <w:rsid w:val="00DF0A88"/>
    <w:rsid w:val="00DF3005"/>
    <w:rsid w:val="00DF4B42"/>
    <w:rsid w:val="00E033B1"/>
    <w:rsid w:val="00E0410B"/>
    <w:rsid w:val="00E05DD5"/>
    <w:rsid w:val="00E10AA7"/>
    <w:rsid w:val="00E11184"/>
    <w:rsid w:val="00E179A6"/>
    <w:rsid w:val="00E209DB"/>
    <w:rsid w:val="00E228C9"/>
    <w:rsid w:val="00E22E87"/>
    <w:rsid w:val="00E25F21"/>
    <w:rsid w:val="00E26700"/>
    <w:rsid w:val="00E26DC1"/>
    <w:rsid w:val="00E37F30"/>
    <w:rsid w:val="00E40763"/>
    <w:rsid w:val="00E42437"/>
    <w:rsid w:val="00E51BCC"/>
    <w:rsid w:val="00E565DF"/>
    <w:rsid w:val="00E57FBA"/>
    <w:rsid w:val="00E64F18"/>
    <w:rsid w:val="00E73C69"/>
    <w:rsid w:val="00E81BC6"/>
    <w:rsid w:val="00E8283C"/>
    <w:rsid w:val="00E83420"/>
    <w:rsid w:val="00E836B3"/>
    <w:rsid w:val="00EA0DDE"/>
    <w:rsid w:val="00EA6071"/>
    <w:rsid w:val="00EA7BEA"/>
    <w:rsid w:val="00EA7E50"/>
    <w:rsid w:val="00EB024F"/>
    <w:rsid w:val="00EB40C9"/>
    <w:rsid w:val="00EB4B86"/>
    <w:rsid w:val="00ED55BE"/>
    <w:rsid w:val="00ED5B51"/>
    <w:rsid w:val="00ED7C05"/>
    <w:rsid w:val="00ED7FFC"/>
    <w:rsid w:val="00EE1971"/>
    <w:rsid w:val="00EE42E2"/>
    <w:rsid w:val="00EF2BD3"/>
    <w:rsid w:val="00F105D1"/>
    <w:rsid w:val="00F10BD8"/>
    <w:rsid w:val="00F110E2"/>
    <w:rsid w:val="00F1510B"/>
    <w:rsid w:val="00F16427"/>
    <w:rsid w:val="00F170E2"/>
    <w:rsid w:val="00F17167"/>
    <w:rsid w:val="00F200CF"/>
    <w:rsid w:val="00F224DE"/>
    <w:rsid w:val="00F252D8"/>
    <w:rsid w:val="00F2651F"/>
    <w:rsid w:val="00F32C9F"/>
    <w:rsid w:val="00F363E0"/>
    <w:rsid w:val="00F42A5D"/>
    <w:rsid w:val="00F475B8"/>
    <w:rsid w:val="00F57018"/>
    <w:rsid w:val="00F5719B"/>
    <w:rsid w:val="00F65820"/>
    <w:rsid w:val="00F70CBC"/>
    <w:rsid w:val="00F71499"/>
    <w:rsid w:val="00F72077"/>
    <w:rsid w:val="00F7311A"/>
    <w:rsid w:val="00F7658E"/>
    <w:rsid w:val="00F81DD5"/>
    <w:rsid w:val="00F860D0"/>
    <w:rsid w:val="00F879E6"/>
    <w:rsid w:val="00FA54BD"/>
    <w:rsid w:val="00FA6F43"/>
    <w:rsid w:val="00FA7CD1"/>
    <w:rsid w:val="00FB3D44"/>
    <w:rsid w:val="00FD294B"/>
    <w:rsid w:val="00FD386E"/>
    <w:rsid w:val="00FF1089"/>
    <w:rsid w:val="00FF1C88"/>
    <w:rsid w:val="00FF447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A96FFE"/>
  <w15:chartTrackingRefBased/>
  <w15:docId w15:val="{D5AF91E8-D46D-46BA-A228-48BA964A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F3"/>
    <w:pPr>
      <w:spacing w:after="0" w:line="240" w:lineRule="auto"/>
    </w:pPr>
    <w:rPr>
      <w:sz w:val="24"/>
      <w:szCs w:val="24"/>
    </w:rPr>
  </w:style>
  <w:style w:type="paragraph" w:styleId="Heading1">
    <w:name w:val="heading 1"/>
    <w:basedOn w:val="Normal"/>
    <w:next w:val="Normal"/>
    <w:link w:val="Heading1Char"/>
    <w:uiPriority w:val="9"/>
    <w:qFormat/>
    <w:rsid w:val="00996BF3"/>
    <w:pPr>
      <w:keepNext/>
      <w:keepLines/>
      <w:numPr>
        <w:numId w:val="1"/>
      </w:numPr>
      <w:spacing w:line="360" w:lineRule="auto"/>
      <w:jc w:val="both"/>
      <w:outlineLvl w:val="0"/>
    </w:pPr>
    <w:rPr>
      <w:rFonts w:ascii="Arial" w:eastAsiaTheme="majorEastAsia" w:hAnsi="Arial" w:cs="Arial"/>
      <w:b/>
      <w:bCs/>
      <w:lang w:val="en-US"/>
    </w:rPr>
  </w:style>
  <w:style w:type="paragraph" w:styleId="Heading2">
    <w:name w:val="heading 2"/>
    <w:basedOn w:val="Normal"/>
    <w:next w:val="Normal"/>
    <w:link w:val="Heading2Char"/>
    <w:uiPriority w:val="9"/>
    <w:unhideWhenUsed/>
    <w:qFormat/>
    <w:rsid w:val="00996BF3"/>
    <w:pPr>
      <w:keepNext/>
      <w:keepLines/>
      <w:numPr>
        <w:numId w:val="2"/>
      </w:numPr>
      <w:spacing w:line="360" w:lineRule="auto"/>
      <w:outlineLvl w:val="1"/>
    </w:pPr>
    <w:rPr>
      <w:rFonts w:ascii="Arial" w:eastAsiaTheme="majorEastAsia" w:hAnsi="Arial" w:cs="Arial"/>
      <w:b/>
    </w:rPr>
  </w:style>
  <w:style w:type="paragraph" w:styleId="Heading3">
    <w:name w:val="heading 3"/>
    <w:basedOn w:val="ListParagraph"/>
    <w:next w:val="Normal"/>
    <w:link w:val="Heading3Char"/>
    <w:uiPriority w:val="9"/>
    <w:unhideWhenUsed/>
    <w:qFormat/>
    <w:rsid w:val="00996BF3"/>
    <w:pPr>
      <w:numPr>
        <w:numId w:val="3"/>
      </w:numPr>
      <w:tabs>
        <w:tab w:val="num" w:pos="360"/>
      </w:tabs>
      <w:spacing w:line="360" w:lineRule="auto"/>
      <w:ind w:firstLine="0"/>
      <w:outlineLvl w:val="2"/>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F3"/>
    <w:rPr>
      <w:rFonts w:ascii="Arial" w:eastAsiaTheme="majorEastAsia" w:hAnsi="Arial" w:cs="Arial"/>
      <w:b/>
      <w:bCs/>
      <w:sz w:val="24"/>
      <w:szCs w:val="24"/>
      <w:lang w:val="en-US"/>
    </w:rPr>
  </w:style>
  <w:style w:type="character" w:customStyle="1" w:styleId="Heading2Char">
    <w:name w:val="Heading 2 Char"/>
    <w:basedOn w:val="DefaultParagraphFont"/>
    <w:link w:val="Heading2"/>
    <w:uiPriority w:val="9"/>
    <w:rsid w:val="00996BF3"/>
    <w:rPr>
      <w:rFonts w:ascii="Arial" w:eastAsiaTheme="majorEastAsia" w:hAnsi="Arial" w:cs="Arial"/>
      <w:b/>
      <w:sz w:val="24"/>
      <w:szCs w:val="24"/>
    </w:rPr>
  </w:style>
  <w:style w:type="character" w:customStyle="1" w:styleId="Heading3Char">
    <w:name w:val="Heading 3 Char"/>
    <w:basedOn w:val="DefaultParagraphFont"/>
    <w:link w:val="Heading3"/>
    <w:uiPriority w:val="9"/>
    <w:rsid w:val="00996BF3"/>
    <w:rPr>
      <w:rFonts w:ascii="Arial" w:eastAsiaTheme="majorEastAsia" w:hAnsi="Arial" w:cs="Arial"/>
      <w:b/>
      <w:sz w:val="24"/>
      <w:szCs w:val="24"/>
    </w:rPr>
  </w:style>
  <w:style w:type="character" w:styleId="Hyperlink">
    <w:name w:val="Hyperlink"/>
    <w:basedOn w:val="DefaultParagraphFont"/>
    <w:uiPriority w:val="99"/>
    <w:unhideWhenUsed/>
    <w:rsid w:val="00996BF3"/>
    <w:rPr>
      <w:color w:val="0563C1" w:themeColor="hyperlink"/>
      <w:u w:val="single"/>
    </w:rPr>
  </w:style>
  <w:style w:type="paragraph" w:styleId="ListParagraph">
    <w:name w:val="List Paragraph"/>
    <w:aliases w:val="Párrafo de lista1,Colorful List - Accent 11"/>
    <w:basedOn w:val="Normal"/>
    <w:link w:val="ListParagraphChar"/>
    <w:uiPriority w:val="34"/>
    <w:qFormat/>
    <w:rsid w:val="00996BF3"/>
    <w:pPr>
      <w:ind w:left="720"/>
      <w:contextualSpacing/>
    </w:pPr>
  </w:style>
  <w:style w:type="paragraph" w:styleId="HTMLPreformatted">
    <w:name w:val="HTML Preformatted"/>
    <w:basedOn w:val="Normal"/>
    <w:link w:val="HTMLPreformattedChar"/>
    <w:uiPriority w:val="99"/>
    <w:semiHidden/>
    <w:unhideWhenUsed/>
    <w:rsid w:val="009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96BF3"/>
    <w:rPr>
      <w:rFonts w:ascii="Courier New" w:eastAsia="Times New Roman" w:hAnsi="Courier New" w:cs="Courier New"/>
      <w:sz w:val="20"/>
      <w:szCs w:val="20"/>
      <w:lang w:val="en-US"/>
    </w:rPr>
  </w:style>
  <w:style w:type="paragraph" w:styleId="TOC1">
    <w:name w:val="toc 1"/>
    <w:basedOn w:val="Normal"/>
    <w:next w:val="Normal"/>
    <w:autoRedefine/>
    <w:uiPriority w:val="39"/>
    <w:unhideWhenUsed/>
    <w:rsid w:val="00996BF3"/>
    <w:pPr>
      <w:spacing w:after="100"/>
    </w:pPr>
  </w:style>
  <w:style w:type="paragraph" w:styleId="TOC2">
    <w:name w:val="toc 2"/>
    <w:basedOn w:val="Normal"/>
    <w:next w:val="Normal"/>
    <w:autoRedefine/>
    <w:uiPriority w:val="39"/>
    <w:unhideWhenUsed/>
    <w:rsid w:val="00996BF3"/>
    <w:pPr>
      <w:spacing w:after="100"/>
      <w:ind w:left="240"/>
    </w:pPr>
  </w:style>
  <w:style w:type="paragraph" w:styleId="TOC3">
    <w:name w:val="toc 3"/>
    <w:basedOn w:val="Normal"/>
    <w:next w:val="Normal"/>
    <w:autoRedefine/>
    <w:uiPriority w:val="39"/>
    <w:semiHidden/>
    <w:unhideWhenUsed/>
    <w:rsid w:val="00996BF3"/>
    <w:pPr>
      <w:spacing w:after="100"/>
      <w:ind w:left="480"/>
    </w:p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locked/>
    <w:rsid w:val="00996BF3"/>
    <w:rPr>
      <w:sz w:val="20"/>
      <w:szCs w:val="20"/>
      <w:lang w:val="en-US"/>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
    <w:basedOn w:val="Normal"/>
    <w:link w:val="FootnoteTextChar"/>
    <w:uiPriority w:val="99"/>
    <w:unhideWhenUsed/>
    <w:qFormat/>
    <w:rsid w:val="00996BF3"/>
    <w:rPr>
      <w:sz w:val="20"/>
      <w:szCs w:val="20"/>
      <w:lang w:val="en-US"/>
    </w:rPr>
  </w:style>
  <w:style w:type="character" w:customStyle="1" w:styleId="FootnoteTextChar1">
    <w:name w:val="Footnote Text Char1"/>
    <w:basedOn w:val="DefaultParagraphFont"/>
    <w:uiPriority w:val="99"/>
    <w:semiHidden/>
    <w:rsid w:val="00996BF3"/>
    <w:rPr>
      <w:sz w:val="20"/>
      <w:szCs w:val="20"/>
    </w:rPr>
  </w:style>
  <w:style w:type="character" w:customStyle="1" w:styleId="NoSpacingChar">
    <w:name w:val="No Spacing Char"/>
    <w:basedOn w:val="DefaultParagraphFont"/>
    <w:link w:val="NoSpacing"/>
    <w:uiPriority w:val="1"/>
    <w:locked/>
    <w:rsid w:val="00996BF3"/>
  </w:style>
  <w:style w:type="paragraph" w:styleId="NoSpacing">
    <w:name w:val="No Spacing"/>
    <w:link w:val="NoSpacingChar"/>
    <w:uiPriority w:val="1"/>
    <w:qFormat/>
    <w:rsid w:val="00996BF3"/>
    <w:pPr>
      <w:spacing w:after="0" w:line="240" w:lineRule="auto"/>
    </w:pPr>
  </w:style>
  <w:style w:type="character" w:customStyle="1" w:styleId="ListParagraphChar">
    <w:name w:val="List Paragraph Char"/>
    <w:aliases w:val="Párrafo de lista1 Char,Colorful List - Accent 11 Char"/>
    <w:link w:val="ListParagraph"/>
    <w:uiPriority w:val="34"/>
    <w:locked/>
    <w:rsid w:val="00996BF3"/>
    <w:rPr>
      <w:sz w:val="24"/>
      <w:szCs w:val="24"/>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
    <w:basedOn w:val="DefaultParagraphFont"/>
    <w:link w:val="AppelnotedebasdepageCharCharCharCharCharCharChar"/>
    <w:uiPriority w:val="99"/>
    <w:unhideWhenUsed/>
    <w:qFormat/>
    <w:rsid w:val="00996BF3"/>
    <w:rPr>
      <w:vertAlign w:val="superscript"/>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996BF3"/>
    <w:pPr>
      <w:jc w:val="both"/>
    </w:pPr>
    <w:rPr>
      <w:sz w:val="22"/>
      <w:szCs w:val="22"/>
      <w:vertAlign w:val="superscript"/>
    </w:rPr>
  </w:style>
  <w:style w:type="character" w:customStyle="1" w:styleId="tlid-translation">
    <w:name w:val="tlid-translation"/>
    <w:basedOn w:val="DefaultParagraphFont"/>
    <w:rsid w:val="00996BF3"/>
  </w:style>
  <w:style w:type="paragraph" w:customStyle="1" w:styleId="Default">
    <w:name w:val="Default"/>
    <w:rsid w:val="00871B4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11A31"/>
    <w:rPr>
      <w:sz w:val="16"/>
      <w:szCs w:val="16"/>
    </w:rPr>
  </w:style>
  <w:style w:type="paragraph" w:styleId="CommentText">
    <w:name w:val="annotation text"/>
    <w:basedOn w:val="Normal"/>
    <w:link w:val="CommentTextChar"/>
    <w:uiPriority w:val="99"/>
    <w:semiHidden/>
    <w:unhideWhenUsed/>
    <w:rsid w:val="00911A31"/>
    <w:rPr>
      <w:sz w:val="20"/>
      <w:szCs w:val="20"/>
    </w:rPr>
  </w:style>
  <w:style w:type="character" w:customStyle="1" w:styleId="CommentTextChar">
    <w:name w:val="Comment Text Char"/>
    <w:basedOn w:val="DefaultParagraphFont"/>
    <w:link w:val="CommentText"/>
    <w:uiPriority w:val="99"/>
    <w:semiHidden/>
    <w:rsid w:val="00911A31"/>
    <w:rPr>
      <w:sz w:val="20"/>
      <w:szCs w:val="20"/>
    </w:rPr>
  </w:style>
  <w:style w:type="paragraph" w:styleId="CommentSubject">
    <w:name w:val="annotation subject"/>
    <w:basedOn w:val="CommentText"/>
    <w:next w:val="CommentText"/>
    <w:link w:val="CommentSubjectChar"/>
    <w:uiPriority w:val="99"/>
    <w:semiHidden/>
    <w:unhideWhenUsed/>
    <w:rsid w:val="00911A31"/>
    <w:rPr>
      <w:b/>
      <w:bCs/>
    </w:rPr>
  </w:style>
  <w:style w:type="character" w:customStyle="1" w:styleId="CommentSubjectChar">
    <w:name w:val="Comment Subject Char"/>
    <w:basedOn w:val="CommentTextChar"/>
    <w:link w:val="CommentSubject"/>
    <w:uiPriority w:val="99"/>
    <w:semiHidden/>
    <w:rsid w:val="00911A31"/>
    <w:rPr>
      <w:b/>
      <w:bCs/>
      <w:sz w:val="20"/>
      <w:szCs w:val="20"/>
    </w:rPr>
  </w:style>
  <w:style w:type="paragraph" w:styleId="BalloonText">
    <w:name w:val="Balloon Text"/>
    <w:basedOn w:val="Normal"/>
    <w:link w:val="BalloonTextChar"/>
    <w:uiPriority w:val="99"/>
    <w:semiHidden/>
    <w:unhideWhenUsed/>
    <w:rsid w:val="00911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A31"/>
    <w:rPr>
      <w:rFonts w:ascii="Segoe UI" w:hAnsi="Segoe UI" w:cs="Segoe UI"/>
      <w:sz w:val="18"/>
      <w:szCs w:val="18"/>
    </w:rPr>
  </w:style>
  <w:style w:type="paragraph" w:styleId="Header">
    <w:name w:val="header"/>
    <w:basedOn w:val="Normal"/>
    <w:link w:val="HeaderChar"/>
    <w:uiPriority w:val="99"/>
    <w:unhideWhenUsed/>
    <w:rsid w:val="00104563"/>
    <w:pPr>
      <w:tabs>
        <w:tab w:val="center" w:pos="4536"/>
        <w:tab w:val="right" w:pos="9072"/>
      </w:tabs>
    </w:pPr>
  </w:style>
  <w:style w:type="character" w:customStyle="1" w:styleId="HeaderChar">
    <w:name w:val="Header Char"/>
    <w:basedOn w:val="DefaultParagraphFont"/>
    <w:link w:val="Header"/>
    <w:uiPriority w:val="99"/>
    <w:rsid w:val="00104563"/>
    <w:rPr>
      <w:sz w:val="24"/>
      <w:szCs w:val="24"/>
    </w:rPr>
  </w:style>
  <w:style w:type="paragraph" w:styleId="Footer">
    <w:name w:val="footer"/>
    <w:basedOn w:val="Normal"/>
    <w:link w:val="FooterChar"/>
    <w:uiPriority w:val="99"/>
    <w:unhideWhenUsed/>
    <w:rsid w:val="00104563"/>
    <w:pPr>
      <w:tabs>
        <w:tab w:val="center" w:pos="4536"/>
        <w:tab w:val="right" w:pos="9072"/>
      </w:tabs>
    </w:pPr>
  </w:style>
  <w:style w:type="character" w:customStyle="1" w:styleId="FooterChar">
    <w:name w:val="Footer Char"/>
    <w:basedOn w:val="DefaultParagraphFont"/>
    <w:link w:val="Footer"/>
    <w:uiPriority w:val="99"/>
    <w:rsid w:val="00104563"/>
    <w:rPr>
      <w:sz w:val="24"/>
      <w:szCs w:val="24"/>
    </w:rPr>
  </w:style>
  <w:style w:type="paragraph" w:customStyle="1" w:styleId="BodyC">
    <w:name w:val="Body C"/>
    <w:rsid w:val="00622BA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de-DE" w:eastAsia="en-GB"/>
    </w:rPr>
  </w:style>
  <w:style w:type="character" w:styleId="LineNumber">
    <w:name w:val="line number"/>
    <w:basedOn w:val="DefaultParagraphFont"/>
    <w:uiPriority w:val="99"/>
    <w:semiHidden/>
    <w:unhideWhenUsed/>
    <w:rsid w:val="007B752B"/>
  </w:style>
  <w:style w:type="paragraph" w:styleId="Revision">
    <w:name w:val="Revision"/>
    <w:hidden/>
    <w:uiPriority w:val="99"/>
    <w:semiHidden/>
    <w:rsid w:val="00170A4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5089">
      <w:bodyDiv w:val="1"/>
      <w:marLeft w:val="0"/>
      <w:marRight w:val="0"/>
      <w:marTop w:val="0"/>
      <w:marBottom w:val="0"/>
      <w:divBdr>
        <w:top w:val="none" w:sz="0" w:space="0" w:color="auto"/>
        <w:left w:val="none" w:sz="0" w:space="0" w:color="auto"/>
        <w:bottom w:val="none" w:sz="0" w:space="0" w:color="auto"/>
        <w:right w:val="none" w:sz="0" w:space="0" w:color="auto"/>
      </w:divBdr>
    </w:div>
    <w:div w:id="1026174415">
      <w:bodyDiv w:val="1"/>
      <w:marLeft w:val="0"/>
      <w:marRight w:val="0"/>
      <w:marTop w:val="0"/>
      <w:marBottom w:val="0"/>
      <w:divBdr>
        <w:top w:val="none" w:sz="0" w:space="0" w:color="auto"/>
        <w:left w:val="none" w:sz="0" w:space="0" w:color="auto"/>
        <w:bottom w:val="none" w:sz="0" w:space="0" w:color="auto"/>
        <w:right w:val="none" w:sz="0" w:space="0" w:color="auto"/>
      </w:divBdr>
      <w:divsChild>
        <w:div w:id="766852789">
          <w:marLeft w:val="0"/>
          <w:marRight w:val="0"/>
          <w:marTop w:val="0"/>
          <w:marBottom w:val="0"/>
          <w:divBdr>
            <w:top w:val="single" w:sz="2" w:space="15" w:color="auto"/>
            <w:left w:val="single" w:sz="2" w:space="15" w:color="auto"/>
            <w:bottom w:val="single" w:sz="2" w:space="15" w:color="auto"/>
            <w:right w:val="single" w:sz="2" w:space="15" w:color="auto"/>
          </w:divBdr>
        </w:div>
      </w:divsChild>
    </w:div>
    <w:div w:id="1046292369">
      <w:bodyDiv w:val="1"/>
      <w:marLeft w:val="0"/>
      <w:marRight w:val="0"/>
      <w:marTop w:val="0"/>
      <w:marBottom w:val="0"/>
      <w:divBdr>
        <w:top w:val="none" w:sz="0" w:space="0" w:color="auto"/>
        <w:left w:val="none" w:sz="0" w:space="0" w:color="auto"/>
        <w:bottom w:val="none" w:sz="0" w:space="0" w:color="auto"/>
        <w:right w:val="none" w:sz="0" w:space="0" w:color="auto"/>
      </w:divBdr>
    </w:div>
    <w:div w:id="11132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9EBF24FF7984781B7427C980835C8" ma:contentTypeVersion="14" ma:contentTypeDescription="Een nieuw document maken." ma:contentTypeScope="" ma:versionID="b537d974651c252a5454b95a336efa70">
  <xsd:schema xmlns:xsd="http://www.w3.org/2001/XMLSchema" xmlns:xs="http://www.w3.org/2001/XMLSchema" xmlns:p="http://schemas.microsoft.com/office/2006/metadata/properties" xmlns:ns3="7b308179-90de-49b9-be99-867e8915f3fe" xmlns:ns4="91f398d7-a5a0-4c8c-bd0c-245a25df5e0c" targetNamespace="http://schemas.microsoft.com/office/2006/metadata/properties" ma:root="true" ma:fieldsID="8f65c48faf7c38a038aabaa99b82fa9a" ns3:_="" ns4:_="">
    <xsd:import namespace="7b308179-90de-49b9-be99-867e8915f3fe"/>
    <xsd:import namespace="91f398d7-a5a0-4c8c-bd0c-245a25df5e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179-90de-49b9-be99-867e8915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f398d7-a5a0-4c8c-bd0c-245a25df5e0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DEB43-1FF7-43EC-8C7C-6DAB37D90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179-90de-49b9-be99-867e8915f3fe"/>
    <ds:schemaRef ds:uri="91f398d7-a5a0-4c8c-bd0c-245a25df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4BDCE-673D-4524-9B12-87F277A06699}">
  <ds:schemaRefs>
    <ds:schemaRef ds:uri="http://schemas.microsoft.com/sharepoint/v3/contenttype/forms"/>
  </ds:schemaRefs>
</ds:datastoreItem>
</file>

<file path=customXml/itemProps3.xml><?xml version="1.0" encoding="utf-8"?>
<ds:datastoreItem xmlns:ds="http://schemas.openxmlformats.org/officeDocument/2006/customXml" ds:itemID="{1150F953-3D66-4DFF-8FAE-3D3828093986}">
  <ds:schemaRefs>
    <ds:schemaRef ds:uri="http://schemas.openxmlformats.org/officeDocument/2006/bibliography"/>
  </ds:schemaRefs>
</ds:datastoreItem>
</file>

<file path=customXml/itemProps4.xml><?xml version="1.0" encoding="utf-8"?>
<ds:datastoreItem xmlns:ds="http://schemas.openxmlformats.org/officeDocument/2006/customXml" ds:itemID="{B65B04D4-4365-4C8D-94BF-D6739C4C91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5000</Words>
  <Characters>28504</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Kahuthia Murimi</dc:creator>
  <cp:keywords/>
  <dc:description/>
  <cp:lastModifiedBy>sathish mohan</cp:lastModifiedBy>
  <cp:revision>13</cp:revision>
  <cp:lastPrinted>2022-11-13T11:16:00Z</cp:lastPrinted>
  <dcterms:created xsi:type="dcterms:W3CDTF">2022-12-05T11:20:00Z</dcterms:created>
  <dcterms:modified xsi:type="dcterms:W3CDTF">2025-06-26T17:58:00Z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0x010100AB29EBF24FF7984781B7427C980835C8</vt:lpwstr>
  </property>
  <property fmtid="{D5CDD505-2E9C-101B-9397-08002B2CF9AE}" pid="3" name="GrammarlyDocumentId">
    <vt:lpwstr>265943776f37c4ab05331337657711ff3c6f4c6b97b8745dcd105de1a2ba1f37</vt:lpwstr>
  </property>
</Properties>
</file>