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Ind w:w="421"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174"/>
        <w:gridCol w:w="2167"/>
        <w:gridCol w:w="3164"/>
      </w:tblGrid>
      <w:tr w:rsidR="008A5DEC" w:rsidRPr="000B6335" w14:paraId="66A0865A" w14:textId="77777777" w:rsidTr="000C7D98">
        <w:trPr>
          <w:cantSplit/>
          <w:trHeight w:val="1340"/>
        </w:trPr>
        <w:tc>
          <w:tcPr>
            <w:tcW w:w="3174" w:type="dxa"/>
            <w:tcBorders>
              <w:top w:val="single" w:sz="4" w:space="0" w:color="auto"/>
              <w:left w:val="single" w:sz="4" w:space="0" w:color="auto"/>
              <w:bottom w:val="single" w:sz="4" w:space="0" w:color="auto"/>
              <w:right w:val="single" w:sz="4" w:space="0" w:color="auto"/>
            </w:tcBorders>
          </w:tcPr>
          <w:p w14:paraId="4FC0F0B0" w14:textId="77777777" w:rsidR="008A5DEC" w:rsidRPr="001F2DC7" w:rsidRDefault="008A5DEC" w:rsidP="008524EE">
            <w:pPr>
              <w:rPr>
                <w:rFonts w:ascii="Arial" w:hAnsi="Arial" w:cs="Arial"/>
                <w:b/>
                <w:bCs/>
              </w:rPr>
            </w:pPr>
            <w:r w:rsidRPr="001F2DC7">
              <w:br w:type="page"/>
            </w:r>
            <w:r w:rsidRPr="001F2DC7">
              <w:br w:type="page"/>
            </w:r>
          </w:p>
          <w:p w14:paraId="37DE667B" w14:textId="77777777" w:rsidR="008A5DEC" w:rsidRPr="001F2DC7" w:rsidRDefault="008A5DEC" w:rsidP="008524EE">
            <w:pPr>
              <w:rPr>
                <w:rFonts w:ascii="Arial" w:hAnsi="Arial" w:cs="Arial"/>
                <w:b/>
                <w:bCs/>
              </w:rPr>
            </w:pPr>
            <w:r w:rsidRPr="001F2DC7">
              <w:rPr>
                <w:rFonts w:ascii="Arial" w:hAnsi="Arial"/>
                <w:b/>
              </w:rPr>
              <w:t>AFRICAN UNION</w:t>
            </w:r>
          </w:p>
        </w:tc>
        <w:tc>
          <w:tcPr>
            <w:tcW w:w="2167" w:type="dxa"/>
            <w:vMerge w:val="restart"/>
            <w:tcBorders>
              <w:top w:val="single" w:sz="4" w:space="0" w:color="auto"/>
              <w:left w:val="single" w:sz="4" w:space="0" w:color="auto"/>
              <w:bottom w:val="single" w:sz="4" w:space="0" w:color="auto"/>
              <w:right w:val="single" w:sz="4" w:space="0" w:color="auto"/>
            </w:tcBorders>
          </w:tcPr>
          <w:p w14:paraId="6A0E4EA7" w14:textId="77777777" w:rsidR="008A5DEC" w:rsidRPr="001F2DC7" w:rsidRDefault="008A5DEC" w:rsidP="008524EE">
            <w:pPr>
              <w:rPr>
                <w:rFonts w:ascii="Arial" w:hAnsi="Arial" w:cs="Arial"/>
              </w:rPr>
            </w:pPr>
          </w:p>
          <w:p w14:paraId="41EC51EE" w14:textId="77777777" w:rsidR="008A5DEC" w:rsidRPr="001F2DC7" w:rsidRDefault="008A5DEC" w:rsidP="008524EE">
            <w:pPr>
              <w:rPr>
                <w:rFonts w:ascii="Arial" w:hAnsi="Arial" w:cs="Arial"/>
              </w:rPr>
            </w:pPr>
            <w:r w:rsidRPr="001F2DC7">
              <w:rPr>
                <w:rFonts w:ascii="Arial" w:hAnsi="Arial"/>
                <w:noProof/>
                <w:lang w:eastAsia="fr-FR"/>
              </w:rPr>
              <w:drawing>
                <wp:anchor distT="0" distB="0" distL="114300" distR="114300" simplePos="0" relativeHeight="251657216" behindDoc="1" locked="0" layoutInCell="1" allowOverlap="1" wp14:anchorId="0C1FA1EE" wp14:editId="3493E427">
                  <wp:simplePos x="0" y="0"/>
                  <wp:positionH relativeFrom="column">
                    <wp:posOffset>182880</wp:posOffset>
                  </wp:positionH>
                  <wp:positionV relativeFrom="paragraph">
                    <wp:posOffset>38100</wp:posOffset>
                  </wp:positionV>
                  <wp:extent cx="933450" cy="914400"/>
                  <wp:effectExtent l="0" t="0" r="0" b="0"/>
                  <wp:wrapNone/>
                  <wp:docPr id="3" name="Picture 3" descr="AU Cou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U Cour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64" w:type="dxa"/>
            <w:tcBorders>
              <w:top w:val="single" w:sz="4" w:space="0" w:color="auto"/>
              <w:left w:val="single" w:sz="4" w:space="0" w:color="auto"/>
              <w:bottom w:val="single" w:sz="4" w:space="0" w:color="auto"/>
              <w:right w:val="single" w:sz="4" w:space="0" w:color="auto"/>
            </w:tcBorders>
          </w:tcPr>
          <w:p w14:paraId="220FFB91" w14:textId="77777777" w:rsidR="008A5DEC" w:rsidRPr="001F2DC7" w:rsidRDefault="008A5DEC" w:rsidP="008524EE">
            <w:pPr>
              <w:rPr>
                <w:rFonts w:ascii="Arial" w:hAnsi="Arial" w:cs="Arial"/>
                <w:b/>
                <w:bCs/>
              </w:rPr>
            </w:pPr>
          </w:p>
          <w:p w14:paraId="5A32B6ED" w14:textId="77777777" w:rsidR="008A5DEC" w:rsidRPr="001F2DC7" w:rsidRDefault="008A5DEC" w:rsidP="008524EE">
            <w:pPr>
              <w:rPr>
                <w:rFonts w:ascii="Arial" w:hAnsi="Arial" w:cs="Arial"/>
                <w:b/>
                <w:bCs/>
              </w:rPr>
            </w:pPr>
            <w:r w:rsidRPr="001F2DC7">
              <w:rPr>
                <w:rFonts w:ascii="Arial" w:hAnsi="Arial"/>
                <w:b/>
              </w:rPr>
              <w:t>UNION AFRICAINE</w:t>
            </w:r>
          </w:p>
        </w:tc>
      </w:tr>
      <w:tr w:rsidR="008A5DEC" w:rsidRPr="000B6335" w14:paraId="379C260F" w14:textId="77777777" w:rsidTr="000C7D98">
        <w:trPr>
          <w:cantSplit/>
          <w:trHeight w:val="1061"/>
        </w:trPr>
        <w:tc>
          <w:tcPr>
            <w:tcW w:w="3174" w:type="dxa"/>
            <w:tcBorders>
              <w:top w:val="single" w:sz="4" w:space="0" w:color="auto"/>
              <w:left w:val="single" w:sz="4" w:space="0" w:color="auto"/>
              <w:bottom w:val="single" w:sz="4" w:space="0" w:color="auto"/>
              <w:right w:val="single" w:sz="4" w:space="0" w:color="auto"/>
            </w:tcBorders>
            <w:hideMark/>
          </w:tcPr>
          <w:p w14:paraId="374F05E2" w14:textId="77777777" w:rsidR="008A5DEC" w:rsidRPr="001F2DC7" w:rsidRDefault="00000000" w:rsidP="008524EE">
            <w:pPr>
              <w:rPr>
                <w:rFonts w:ascii="Arial" w:hAnsi="Arial" w:cs="Arial"/>
              </w:rPr>
            </w:pPr>
            <w:r>
              <w:rPr>
                <w:rFonts w:ascii="Arial" w:hAnsi="Arial"/>
              </w:rPr>
              <w:object w:dxaOrig="1440" w:dyaOrig="1440" w14:anchorId="2E9918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23.35pt;margin-top:9.6pt;width:94.2pt;height:28.2pt;z-index:-251658240;mso-wrap-edited:f;mso-width-percent:0;mso-height-percent:0;mso-position-horizontal-relative:text;mso-position-vertical-relative:text;mso-width-percent:0;mso-height-percent:0;mso-width-relative:page;mso-height-relative:page">
                  <v:imagedata r:id="rId12" o:title=""/>
                </v:shape>
                <o:OLEObject Type="Embed" ProgID="PBrush" ShapeID="_x0000_s2052" DrawAspect="Content" ObjectID="_1812469460" r:id="rId13"/>
              </w:object>
            </w:r>
          </w:p>
        </w:tc>
        <w:tc>
          <w:tcPr>
            <w:tcW w:w="2167" w:type="dxa"/>
            <w:vMerge/>
            <w:tcBorders>
              <w:top w:val="single" w:sz="4" w:space="0" w:color="auto"/>
              <w:left w:val="single" w:sz="4" w:space="0" w:color="auto"/>
              <w:bottom w:val="single" w:sz="4" w:space="0" w:color="auto"/>
              <w:right w:val="single" w:sz="4" w:space="0" w:color="auto"/>
            </w:tcBorders>
            <w:vAlign w:val="center"/>
            <w:hideMark/>
          </w:tcPr>
          <w:p w14:paraId="6DA18B1C" w14:textId="77777777" w:rsidR="008A5DEC" w:rsidRPr="001F2DC7" w:rsidRDefault="008A5DEC" w:rsidP="008524EE">
            <w:pPr>
              <w:rPr>
                <w:rFonts w:ascii="Arial" w:hAnsi="Arial" w:cs="Arial"/>
              </w:rPr>
            </w:pPr>
          </w:p>
        </w:tc>
        <w:tc>
          <w:tcPr>
            <w:tcW w:w="3164" w:type="dxa"/>
            <w:tcBorders>
              <w:top w:val="single" w:sz="4" w:space="0" w:color="auto"/>
              <w:left w:val="single" w:sz="4" w:space="0" w:color="auto"/>
              <w:bottom w:val="single" w:sz="4" w:space="0" w:color="auto"/>
              <w:right w:val="single" w:sz="4" w:space="0" w:color="auto"/>
            </w:tcBorders>
          </w:tcPr>
          <w:p w14:paraId="6962B378" w14:textId="77777777" w:rsidR="008A5DEC" w:rsidRPr="001F2DC7" w:rsidRDefault="008A5DEC" w:rsidP="008524EE">
            <w:pPr>
              <w:rPr>
                <w:rFonts w:ascii="Arial" w:hAnsi="Arial" w:cs="Arial"/>
                <w:b/>
                <w:bCs/>
              </w:rPr>
            </w:pPr>
          </w:p>
          <w:p w14:paraId="0A8BFE01" w14:textId="77777777" w:rsidR="008A5DEC" w:rsidRPr="001F2DC7" w:rsidRDefault="008A5DEC" w:rsidP="008524EE">
            <w:pPr>
              <w:rPr>
                <w:rFonts w:ascii="Arial" w:hAnsi="Arial" w:cs="Arial"/>
                <w:b/>
                <w:bCs/>
              </w:rPr>
            </w:pPr>
            <w:r w:rsidRPr="001F2DC7">
              <w:rPr>
                <w:rFonts w:ascii="Arial" w:hAnsi="Arial"/>
                <w:b/>
              </w:rPr>
              <w:t>UNIÃO AFRICANA</w:t>
            </w:r>
          </w:p>
        </w:tc>
      </w:tr>
      <w:tr w:rsidR="008A5DEC" w:rsidRPr="000B6335" w14:paraId="490CD3A1" w14:textId="77777777" w:rsidTr="000C7D98">
        <w:trPr>
          <w:cantSplit/>
          <w:trHeight w:val="1169"/>
        </w:trPr>
        <w:tc>
          <w:tcPr>
            <w:tcW w:w="8505" w:type="dxa"/>
            <w:gridSpan w:val="3"/>
            <w:tcBorders>
              <w:top w:val="single" w:sz="4" w:space="0" w:color="auto"/>
              <w:left w:val="single" w:sz="4" w:space="0" w:color="auto"/>
              <w:bottom w:val="single" w:sz="4" w:space="0" w:color="auto"/>
              <w:right w:val="single" w:sz="4" w:space="0" w:color="auto"/>
            </w:tcBorders>
            <w:vAlign w:val="center"/>
            <w:hideMark/>
          </w:tcPr>
          <w:p w14:paraId="7C6CE20A" w14:textId="4501C029" w:rsidR="008A5DEC" w:rsidRPr="001F2DC7" w:rsidRDefault="008A5DEC" w:rsidP="008524EE">
            <w:pPr>
              <w:rPr>
                <w:rFonts w:ascii="Arial" w:hAnsi="Arial" w:cs="Arial"/>
                <w:b/>
                <w:lang w:val="en-US"/>
              </w:rPr>
            </w:pPr>
            <w:r w:rsidRPr="001F2DC7">
              <w:rPr>
                <w:rFonts w:ascii="Arial" w:hAnsi="Arial"/>
                <w:b/>
                <w:lang w:val="en-US"/>
              </w:rPr>
              <w:t>AFRICAN COURT ON HUMAN AND PEOPLES’ RIGHTS</w:t>
            </w:r>
          </w:p>
          <w:p w14:paraId="78289C9B" w14:textId="793F825B" w:rsidR="008A5DEC" w:rsidRPr="001F2DC7" w:rsidRDefault="008A5DEC" w:rsidP="008524EE">
            <w:pPr>
              <w:rPr>
                <w:rFonts w:ascii="Arial" w:hAnsi="Arial" w:cs="Arial"/>
                <w:b/>
              </w:rPr>
            </w:pPr>
            <w:r w:rsidRPr="001F2DC7">
              <w:rPr>
                <w:rFonts w:ascii="Arial" w:hAnsi="Arial"/>
                <w:b/>
              </w:rPr>
              <w:t>COUR AFRICAINE DES DROITS DE L’HOMME ET DES PEUPLES</w:t>
            </w:r>
          </w:p>
        </w:tc>
      </w:tr>
    </w:tbl>
    <w:p w14:paraId="7D45E3C1" w14:textId="77777777" w:rsidR="00996BF3" w:rsidRPr="000B6335" w:rsidRDefault="00996BF3" w:rsidP="008524EE">
      <w:pPr>
        <w:rPr>
          <w:rFonts w:ascii="Arial" w:hAnsi="Arial" w:cs="Arial"/>
          <w:b/>
          <w:sz w:val="22"/>
          <w:szCs w:val="22"/>
        </w:rPr>
      </w:pPr>
    </w:p>
    <w:p w14:paraId="22CE1769" w14:textId="79879ECF" w:rsidR="00404D35" w:rsidRPr="000B6335" w:rsidRDefault="00404D35" w:rsidP="008524EE">
      <w:pPr>
        <w:rPr>
          <w:rFonts w:ascii="Arial" w:hAnsi="Arial" w:cs="Arial"/>
          <w:b/>
          <w:sz w:val="22"/>
          <w:szCs w:val="22"/>
        </w:rPr>
      </w:pPr>
    </w:p>
    <w:p w14:paraId="62E456A5" w14:textId="6CDCE40F" w:rsidR="00F71499" w:rsidRPr="000B6335" w:rsidRDefault="00F71499" w:rsidP="008524EE">
      <w:pPr>
        <w:rPr>
          <w:rFonts w:ascii="Arial" w:hAnsi="Arial" w:cs="Arial"/>
          <w:b/>
          <w:sz w:val="22"/>
          <w:szCs w:val="22"/>
        </w:rPr>
      </w:pPr>
    </w:p>
    <w:p w14:paraId="66FBC5CC" w14:textId="77777777" w:rsidR="00F71499" w:rsidRPr="000B6335" w:rsidRDefault="00F71499" w:rsidP="008524EE">
      <w:pPr>
        <w:rPr>
          <w:rFonts w:ascii="Arial" w:hAnsi="Arial" w:cs="Arial"/>
          <w:b/>
          <w:sz w:val="22"/>
          <w:szCs w:val="22"/>
        </w:rPr>
      </w:pPr>
    </w:p>
    <w:p w14:paraId="20B03C22" w14:textId="77777777" w:rsidR="00996BF3" w:rsidRPr="000B6335" w:rsidRDefault="00996BF3" w:rsidP="008524EE">
      <w:pPr>
        <w:rPr>
          <w:rFonts w:ascii="Arial" w:hAnsi="Arial" w:cs="Arial"/>
          <w:b/>
          <w:lang w:val="en-US"/>
        </w:rPr>
      </w:pPr>
      <w:r w:rsidRPr="000B6335">
        <w:rPr>
          <w:rFonts w:ascii="Arial" w:hAnsi="Arial" w:cs="Arial"/>
          <w:b/>
          <w:lang w:val="en-US"/>
        </w:rPr>
        <w:t>AFFAIRE</w:t>
      </w:r>
    </w:p>
    <w:p w14:paraId="23FF9C2D" w14:textId="77777777" w:rsidR="00996BF3" w:rsidRPr="000B6335" w:rsidRDefault="00996BF3" w:rsidP="008524EE">
      <w:pPr>
        <w:rPr>
          <w:rFonts w:ascii="Arial" w:hAnsi="Arial" w:cs="Arial"/>
          <w:b/>
          <w:lang w:val="en-US"/>
        </w:rPr>
      </w:pPr>
    </w:p>
    <w:p w14:paraId="20172A30" w14:textId="77777777" w:rsidR="00996BF3" w:rsidRPr="000B6335" w:rsidRDefault="00996BF3" w:rsidP="008524EE">
      <w:pPr>
        <w:rPr>
          <w:rFonts w:ascii="Arial" w:hAnsi="Arial" w:cs="Arial"/>
          <w:b/>
          <w:lang w:val="en-US"/>
        </w:rPr>
      </w:pPr>
    </w:p>
    <w:p w14:paraId="0BCEFE81" w14:textId="29968B3B" w:rsidR="00996BF3" w:rsidRPr="000B6335" w:rsidRDefault="00F105D1" w:rsidP="008524EE">
      <w:pPr>
        <w:rPr>
          <w:rFonts w:ascii="Arial" w:hAnsi="Arial" w:cs="Arial"/>
          <w:b/>
          <w:lang w:val="en-US"/>
        </w:rPr>
      </w:pPr>
      <w:r w:rsidRPr="000B6335">
        <w:rPr>
          <w:rFonts w:ascii="Arial" w:hAnsi="Arial" w:cs="Arial"/>
          <w:b/>
          <w:lang w:val="en-US"/>
        </w:rPr>
        <w:t>TIKE MWAMBIPILE ET EQUALITY NOW</w:t>
      </w:r>
    </w:p>
    <w:p w14:paraId="1A9F9707" w14:textId="77777777" w:rsidR="00F105D1" w:rsidRPr="000B6335" w:rsidRDefault="00F105D1" w:rsidP="008524EE">
      <w:pPr>
        <w:rPr>
          <w:rFonts w:ascii="Arial" w:hAnsi="Arial" w:cs="Arial"/>
          <w:b/>
          <w:lang w:val="en-US"/>
        </w:rPr>
      </w:pPr>
    </w:p>
    <w:p w14:paraId="1F065A2E" w14:textId="71261BDF" w:rsidR="00996BF3" w:rsidRPr="000B6335" w:rsidRDefault="007D32AF" w:rsidP="008524EE">
      <w:pPr>
        <w:rPr>
          <w:rFonts w:ascii="Arial" w:hAnsi="Arial" w:cs="Arial"/>
          <w:b/>
        </w:rPr>
      </w:pPr>
      <w:r w:rsidRPr="000B6335">
        <w:rPr>
          <w:rFonts w:ascii="Arial" w:hAnsi="Arial" w:cs="Arial"/>
          <w:b/>
        </w:rPr>
        <w:t>C.</w:t>
      </w:r>
    </w:p>
    <w:p w14:paraId="51BE5CD8" w14:textId="77777777" w:rsidR="00996BF3" w:rsidRPr="000B6335" w:rsidRDefault="00996BF3" w:rsidP="008524EE">
      <w:pPr>
        <w:rPr>
          <w:rFonts w:ascii="Arial" w:hAnsi="Arial" w:cs="Arial"/>
          <w:b/>
        </w:rPr>
      </w:pPr>
    </w:p>
    <w:p w14:paraId="0EFCA4E9" w14:textId="77777777" w:rsidR="00996BF3" w:rsidRPr="000B6335" w:rsidRDefault="00996BF3" w:rsidP="008524EE">
      <w:pPr>
        <w:rPr>
          <w:rFonts w:ascii="Arial" w:hAnsi="Arial" w:cs="Arial"/>
          <w:b/>
        </w:rPr>
      </w:pPr>
      <w:r w:rsidRPr="000B6335">
        <w:rPr>
          <w:rFonts w:ascii="Arial" w:hAnsi="Arial" w:cs="Arial"/>
          <w:b/>
        </w:rPr>
        <w:t>RÉPUBLIQUE-UNIE DE TANZANIE</w:t>
      </w:r>
    </w:p>
    <w:p w14:paraId="0D4F3B57" w14:textId="77777777" w:rsidR="00996BF3" w:rsidRPr="000B6335" w:rsidRDefault="00996BF3" w:rsidP="008524EE">
      <w:pPr>
        <w:rPr>
          <w:rFonts w:ascii="Arial" w:hAnsi="Arial" w:cs="Arial"/>
          <w:b/>
        </w:rPr>
      </w:pPr>
    </w:p>
    <w:p w14:paraId="33A43107" w14:textId="4C34655C" w:rsidR="00996BF3" w:rsidRPr="000B6335" w:rsidRDefault="00996BF3" w:rsidP="008524EE">
      <w:pPr>
        <w:rPr>
          <w:rFonts w:ascii="Arial" w:hAnsi="Arial" w:cs="Arial"/>
          <w:b/>
        </w:rPr>
      </w:pPr>
      <w:r w:rsidRPr="000B6335">
        <w:rPr>
          <w:rFonts w:ascii="Arial" w:hAnsi="Arial" w:cs="Arial"/>
          <w:b/>
        </w:rPr>
        <w:t>REQUÊTE N° 042/2020</w:t>
      </w:r>
    </w:p>
    <w:p w14:paraId="3CF9AAC4" w14:textId="77777777" w:rsidR="00996BF3" w:rsidRPr="000B6335" w:rsidRDefault="00996BF3" w:rsidP="008524EE">
      <w:pPr>
        <w:rPr>
          <w:rFonts w:ascii="Arial" w:hAnsi="Arial" w:cs="Arial"/>
          <w:b/>
        </w:rPr>
      </w:pPr>
    </w:p>
    <w:p w14:paraId="5118F725" w14:textId="77777777" w:rsidR="00996BF3" w:rsidRPr="000B6335" w:rsidRDefault="00996BF3" w:rsidP="008524EE">
      <w:pPr>
        <w:rPr>
          <w:rFonts w:ascii="Arial" w:hAnsi="Arial" w:cs="Arial"/>
          <w:b/>
        </w:rPr>
      </w:pPr>
    </w:p>
    <w:p w14:paraId="45CE2D65" w14:textId="37841DA2" w:rsidR="00996BF3" w:rsidRPr="000B6335" w:rsidRDefault="00EA7E50" w:rsidP="008524EE">
      <w:pPr>
        <w:rPr>
          <w:rFonts w:ascii="Arial" w:hAnsi="Arial" w:cs="Arial"/>
          <w:b/>
        </w:rPr>
      </w:pPr>
      <w:r w:rsidRPr="000B6335">
        <w:rPr>
          <w:rFonts w:ascii="Arial" w:hAnsi="Arial" w:cs="Arial"/>
          <w:b/>
        </w:rPr>
        <w:t>ARRÊT</w:t>
      </w:r>
    </w:p>
    <w:p w14:paraId="29BBDCEE" w14:textId="271759E6" w:rsidR="009A3EE3" w:rsidRPr="000B6335" w:rsidRDefault="009A3EE3" w:rsidP="008524EE">
      <w:pPr>
        <w:rPr>
          <w:rFonts w:ascii="Arial" w:hAnsi="Arial" w:cs="Arial"/>
          <w:b/>
        </w:rPr>
      </w:pPr>
    </w:p>
    <w:p w14:paraId="11B04533" w14:textId="77777777" w:rsidR="00996BF3" w:rsidRPr="000B6335" w:rsidRDefault="00996BF3" w:rsidP="008524EE">
      <w:pPr>
        <w:rPr>
          <w:rFonts w:ascii="Arial" w:hAnsi="Arial" w:cs="Arial"/>
          <w:b/>
          <w:i/>
          <w:iCs/>
        </w:rPr>
      </w:pPr>
    </w:p>
    <w:p w14:paraId="325B7046" w14:textId="77777777" w:rsidR="00996BF3" w:rsidRPr="000B6335" w:rsidRDefault="00996BF3" w:rsidP="008524EE">
      <w:pPr>
        <w:rPr>
          <w:rFonts w:ascii="Arial" w:hAnsi="Arial" w:cs="Arial"/>
          <w:b/>
        </w:rPr>
      </w:pPr>
    </w:p>
    <w:p w14:paraId="78EEF07D" w14:textId="1C345A7A" w:rsidR="00996BF3" w:rsidRPr="000B6335" w:rsidRDefault="00AE136C" w:rsidP="008524EE">
      <w:pPr>
        <w:rPr>
          <w:rFonts w:ascii="Arial" w:hAnsi="Arial" w:cs="Arial"/>
          <w:b/>
        </w:rPr>
      </w:pPr>
      <w:r w:rsidRPr="000B6335">
        <w:rPr>
          <w:rFonts w:ascii="Arial" w:hAnsi="Arial" w:cs="Arial"/>
          <w:b/>
          <w:bCs/>
        </w:rPr>
        <w:t>1</w:t>
      </w:r>
      <w:r w:rsidRPr="000B6335">
        <w:rPr>
          <w:rFonts w:ascii="Arial" w:hAnsi="Arial" w:cs="Arial"/>
          <w:b/>
          <w:bCs/>
          <w:vertAlign w:val="superscript"/>
        </w:rPr>
        <w:t>ER</w:t>
      </w:r>
      <w:r w:rsidRPr="000B6335">
        <w:rPr>
          <w:rFonts w:ascii="Arial" w:hAnsi="Arial" w:cs="Arial"/>
          <w:b/>
          <w:bCs/>
        </w:rPr>
        <w:t xml:space="preserve"> DÉCEMBRE 2022</w:t>
      </w:r>
    </w:p>
    <w:p w14:paraId="018CDB0F" w14:textId="77777777" w:rsidR="00996BF3" w:rsidRPr="000B6335" w:rsidRDefault="00996BF3" w:rsidP="008524EE">
      <w:pPr>
        <w:rPr>
          <w:rFonts w:ascii="Arial" w:hAnsi="Arial" w:cs="Arial"/>
          <w:b/>
        </w:rPr>
        <w:sectPr w:rsidR="00996BF3" w:rsidRPr="000B6335" w:rsidSect="001F2DC7">
          <w:footerReference w:type="default" r:id="rId14"/>
          <w:footerReference w:type="first" r:id="rId15"/>
          <w:pgSz w:w="11906" w:h="16838"/>
          <w:pgMar w:top="1440" w:right="1440" w:bottom="1440" w:left="1440" w:header="708" w:footer="708" w:gutter="0"/>
          <w:pgNumType w:start="0"/>
          <w:cols w:space="720"/>
          <w:titlePg/>
          <w:docGrid w:linePitch="326"/>
        </w:sectPr>
      </w:pPr>
    </w:p>
    <w:p w14:paraId="13BC7471" w14:textId="77777777" w:rsidR="00996BF3" w:rsidRPr="00911167" w:rsidRDefault="00996BF3" w:rsidP="008524EE">
      <w:pPr>
        <w:rPr>
          <w:bCs/>
        </w:rPr>
      </w:pPr>
      <w:bookmarkStart w:id="0" w:name="_Toc121029608"/>
      <w:r w:rsidRPr="00911167">
        <w:lastRenderedPageBreak/>
        <w:t>SOMMAIRE</w:t>
      </w:r>
      <w:bookmarkEnd w:id="0"/>
    </w:p>
    <w:sdt>
      <w:sdtPr>
        <w:rPr>
          <w:rFonts w:ascii="Arial" w:hAnsi="Arial" w:cs="Arial"/>
        </w:rPr>
        <w:id w:val="-453552634"/>
        <w:docPartObj>
          <w:docPartGallery w:val="Table of Contents"/>
          <w:docPartUnique/>
        </w:docPartObj>
      </w:sdtPr>
      <w:sdtContent>
        <w:p w14:paraId="3FCBCA0D" w14:textId="77777777" w:rsidR="00996BF3" w:rsidRPr="000B6335" w:rsidRDefault="00996BF3" w:rsidP="008524EE">
          <w:pPr>
            <w:rPr>
              <w:rFonts w:ascii="Arial" w:hAnsi="Arial" w:cs="Arial"/>
            </w:rPr>
          </w:pPr>
        </w:p>
        <w:p w14:paraId="12C4D437" w14:textId="77777777" w:rsidR="001F2DC7" w:rsidRPr="001F2DC7" w:rsidRDefault="00996BF3" w:rsidP="008524EE">
          <w:pPr>
            <w:rPr>
              <w:rFonts w:ascii="Arial" w:eastAsiaTheme="minorEastAsia" w:hAnsi="Arial" w:cs="Arial"/>
              <w:noProof/>
              <w:sz w:val="22"/>
              <w:szCs w:val="22"/>
              <w:lang w:eastAsia="fr-FR"/>
            </w:rPr>
          </w:pPr>
          <w:r w:rsidRPr="001F2DC7">
            <w:rPr>
              <w:rFonts w:ascii="Arial" w:hAnsi="Arial" w:cs="Arial"/>
            </w:rPr>
            <w:fldChar w:fldCharType="begin"/>
          </w:r>
          <w:r w:rsidRPr="001F2DC7">
            <w:rPr>
              <w:rFonts w:ascii="Arial" w:hAnsi="Arial" w:cs="Arial"/>
            </w:rPr>
            <w:instrText xml:space="preserve"> TOC \o "1-3" \h \z \u </w:instrText>
          </w:r>
          <w:r w:rsidRPr="001F2DC7">
            <w:rPr>
              <w:rFonts w:ascii="Arial" w:hAnsi="Arial" w:cs="Arial"/>
            </w:rPr>
            <w:fldChar w:fldCharType="separate"/>
          </w:r>
          <w:hyperlink w:anchor="_Toc121029608" w:history="1">
            <w:r w:rsidR="001F2DC7" w:rsidRPr="001F2DC7">
              <w:rPr>
                <w:rStyle w:val="Hyperlink"/>
                <w:rFonts w:ascii="Arial" w:hAnsi="Arial" w:cs="Arial"/>
                <w:noProof/>
              </w:rPr>
              <w:t>SOMMAIRE</w:t>
            </w:r>
            <w:r w:rsidR="001F2DC7" w:rsidRPr="001F2DC7">
              <w:rPr>
                <w:rFonts w:ascii="Arial" w:hAnsi="Arial" w:cs="Arial"/>
                <w:noProof/>
                <w:webHidden/>
              </w:rPr>
              <w:tab/>
            </w:r>
            <w:r w:rsidR="001F2DC7" w:rsidRPr="001F2DC7">
              <w:rPr>
                <w:rFonts w:ascii="Arial" w:hAnsi="Arial" w:cs="Arial"/>
                <w:noProof/>
                <w:webHidden/>
              </w:rPr>
              <w:fldChar w:fldCharType="begin"/>
            </w:r>
            <w:r w:rsidR="001F2DC7" w:rsidRPr="001F2DC7">
              <w:rPr>
                <w:rFonts w:ascii="Arial" w:hAnsi="Arial" w:cs="Arial"/>
                <w:noProof/>
                <w:webHidden/>
              </w:rPr>
              <w:instrText xml:space="preserve"> PAGEREF _Toc121029608 \h </w:instrText>
            </w:r>
            <w:r w:rsidR="001F2DC7" w:rsidRPr="001F2DC7">
              <w:rPr>
                <w:rFonts w:ascii="Arial" w:hAnsi="Arial" w:cs="Arial"/>
                <w:noProof/>
                <w:webHidden/>
              </w:rPr>
            </w:r>
            <w:r w:rsidR="001F2DC7" w:rsidRPr="001F2DC7">
              <w:rPr>
                <w:rFonts w:ascii="Arial" w:hAnsi="Arial" w:cs="Arial"/>
                <w:noProof/>
                <w:webHidden/>
              </w:rPr>
              <w:fldChar w:fldCharType="separate"/>
            </w:r>
            <w:r w:rsidR="001F2DC7" w:rsidRPr="001F2DC7">
              <w:rPr>
                <w:rFonts w:ascii="Arial" w:hAnsi="Arial" w:cs="Arial"/>
                <w:noProof/>
                <w:webHidden/>
              </w:rPr>
              <w:t>i</w:t>
            </w:r>
            <w:r w:rsidR="001F2DC7" w:rsidRPr="001F2DC7">
              <w:rPr>
                <w:rFonts w:ascii="Arial" w:hAnsi="Arial" w:cs="Arial"/>
                <w:noProof/>
                <w:webHidden/>
              </w:rPr>
              <w:fldChar w:fldCharType="end"/>
            </w:r>
          </w:hyperlink>
        </w:p>
        <w:p w14:paraId="240E087D" w14:textId="77777777" w:rsidR="001F2DC7" w:rsidRPr="001F2DC7" w:rsidRDefault="001F2DC7" w:rsidP="008524EE">
          <w:pPr>
            <w:rPr>
              <w:rFonts w:ascii="Arial" w:eastAsiaTheme="minorEastAsia" w:hAnsi="Arial" w:cs="Arial"/>
              <w:noProof/>
              <w:sz w:val="22"/>
              <w:szCs w:val="22"/>
              <w:lang w:eastAsia="fr-FR"/>
            </w:rPr>
          </w:pPr>
          <w:hyperlink w:anchor="_Toc121029609" w:history="1">
            <w:r w:rsidRPr="001F2DC7">
              <w:rPr>
                <w:rStyle w:val="Hyperlink"/>
                <w:rFonts w:ascii="Arial" w:hAnsi="Arial" w:cs="Arial"/>
                <w:noProof/>
              </w:rPr>
              <w:t>I.</w:t>
            </w:r>
            <w:r w:rsidRPr="001F2DC7">
              <w:rPr>
                <w:rFonts w:ascii="Arial" w:eastAsiaTheme="minorEastAsia" w:hAnsi="Arial" w:cs="Arial"/>
                <w:noProof/>
                <w:sz w:val="22"/>
                <w:szCs w:val="22"/>
                <w:lang w:eastAsia="fr-FR"/>
              </w:rPr>
              <w:tab/>
            </w:r>
            <w:r w:rsidRPr="001F2DC7">
              <w:rPr>
                <w:rStyle w:val="Hyperlink"/>
                <w:rFonts w:ascii="Arial" w:hAnsi="Arial" w:cs="Arial"/>
                <w:noProof/>
              </w:rPr>
              <w:t>LES PARTIES</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_Toc121029609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2</w:t>
            </w:r>
            <w:r w:rsidRPr="001F2DC7">
              <w:rPr>
                <w:rFonts w:ascii="Arial" w:hAnsi="Arial" w:cs="Arial"/>
                <w:noProof/>
                <w:webHidden/>
              </w:rPr>
              <w:fldChar w:fldCharType="end"/>
            </w:r>
          </w:hyperlink>
        </w:p>
        <w:p w14:paraId="49687A54" w14:textId="77777777" w:rsidR="001F2DC7" w:rsidRPr="001F2DC7" w:rsidRDefault="001F2DC7" w:rsidP="008524EE">
          <w:pPr>
            <w:rPr>
              <w:rFonts w:ascii="Arial" w:eastAsiaTheme="minorEastAsia" w:hAnsi="Arial" w:cs="Arial"/>
              <w:noProof/>
              <w:sz w:val="22"/>
              <w:szCs w:val="22"/>
              <w:lang w:eastAsia="fr-FR"/>
            </w:rPr>
          </w:pPr>
          <w:hyperlink w:anchor="_Toc121029610" w:history="1">
            <w:r w:rsidRPr="001F2DC7">
              <w:rPr>
                <w:rStyle w:val="Hyperlink"/>
                <w:rFonts w:ascii="Arial" w:hAnsi="Arial" w:cs="Arial"/>
                <w:noProof/>
              </w:rPr>
              <w:t>II.</w:t>
            </w:r>
            <w:r w:rsidRPr="001F2DC7">
              <w:rPr>
                <w:rFonts w:ascii="Arial" w:eastAsiaTheme="minorEastAsia" w:hAnsi="Arial" w:cs="Arial"/>
                <w:noProof/>
                <w:sz w:val="22"/>
                <w:szCs w:val="22"/>
                <w:lang w:eastAsia="fr-FR"/>
              </w:rPr>
              <w:tab/>
            </w:r>
            <w:r w:rsidRPr="001F2DC7">
              <w:rPr>
                <w:rStyle w:val="Hyperlink"/>
                <w:rFonts w:ascii="Arial" w:hAnsi="Arial" w:cs="Arial"/>
                <w:noProof/>
              </w:rPr>
              <w:t>OBJET DE LA REQUÊTE</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_Toc121029610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2</w:t>
            </w:r>
            <w:r w:rsidRPr="001F2DC7">
              <w:rPr>
                <w:rFonts w:ascii="Arial" w:hAnsi="Arial" w:cs="Arial"/>
                <w:noProof/>
                <w:webHidden/>
              </w:rPr>
              <w:fldChar w:fldCharType="end"/>
            </w:r>
          </w:hyperlink>
        </w:p>
        <w:p w14:paraId="4829B6F7" w14:textId="77777777" w:rsidR="001F2DC7" w:rsidRPr="001F2DC7" w:rsidRDefault="001F2DC7" w:rsidP="008524EE">
          <w:pPr>
            <w:rPr>
              <w:rFonts w:ascii="Arial" w:eastAsiaTheme="minorEastAsia" w:hAnsi="Arial" w:cs="Arial"/>
              <w:noProof/>
              <w:sz w:val="22"/>
              <w:szCs w:val="22"/>
              <w:lang w:eastAsia="fr-FR"/>
            </w:rPr>
          </w:pPr>
          <w:hyperlink w:anchor="_Toc121029611" w:history="1">
            <w:r w:rsidRPr="001F2DC7">
              <w:rPr>
                <w:rStyle w:val="Hyperlink"/>
                <w:rFonts w:ascii="Arial" w:hAnsi="Arial" w:cs="Arial"/>
                <w:noProof/>
              </w:rPr>
              <w:t>A.</w:t>
            </w:r>
            <w:r w:rsidRPr="001F2DC7">
              <w:rPr>
                <w:rFonts w:ascii="Arial" w:eastAsiaTheme="minorEastAsia" w:hAnsi="Arial" w:cs="Arial"/>
                <w:noProof/>
                <w:sz w:val="22"/>
                <w:szCs w:val="22"/>
                <w:lang w:eastAsia="fr-FR"/>
              </w:rPr>
              <w:tab/>
            </w:r>
            <w:r w:rsidRPr="001F2DC7">
              <w:rPr>
                <w:rStyle w:val="Hyperlink"/>
                <w:rFonts w:ascii="Arial" w:hAnsi="Arial" w:cs="Arial"/>
                <w:noProof/>
              </w:rPr>
              <w:t>Faits de la cause</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_Toc121029611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2</w:t>
            </w:r>
            <w:r w:rsidRPr="001F2DC7">
              <w:rPr>
                <w:rFonts w:ascii="Arial" w:hAnsi="Arial" w:cs="Arial"/>
                <w:noProof/>
                <w:webHidden/>
              </w:rPr>
              <w:fldChar w:fldCharType="end"/>
            </w:r>
          </w:hyperlink>
        </w:p>
        <w:p w14:paraId="035D0264" w14:textId="77777777" w:rsidR="001F2DC7" w:rsidRPr="001F2DC7" w:rsidRDefault="001F2DC7" w:rsidP="008524EE">
          <w:pPr>
            <w:rPr>
              <w:rFonts w:ascii="Arial" w:eastAsiaTheme="minorEastAsia" w:hAnsi="Arial" w:cs="Arial"/>
              <w:noProof/>
              <w:sz w:val="22"/>
              <w:szCs w:val="22"/>
              <w:lang w:eastAsia="fr-FR"/>
            </w:rPr>
          </w:pPr>
          <w:hyperlink w:anchor="_Toc121029612" w:history="1">
            <w:r w:rsidRPr="001F2DC7">
              <w:rPr>
                <w:rStyle w:val="Hyperlink"/>
                <w:rFonts w:ascii="Arial" w:hAnsi="Arial" w:cs="Arial"/>
                <w:noProof/>
              </w:rPr>
              <w:t>B.</w:t>
            </w:r>
            <w:r w:rsidRPr="001F2DC7">
              <w:rPr>
                <w:rFonts w:ascii="Arial" w:eastAsiaTheme="minorEastAsia" w:hAnsi="Arial" w:cs="Arial"/>
                <w:noProof/>
                <w:sz w:val="22"/>
                <w:szCs w:val="22"/>
                <w:lang w:eastAsia="fr-FR"/>
              </w:rPr>
              <w:tab/>
            </w:r>
            <w:r w:rsidRPr="001F2DC7">
              <w:rPr>
                <w:rStyle w:val="Hyperlink"/>
                <w:rFonts w:ascii="Arial" w:hAnsi="Arial" w:cs="Arial"/>
                <w:noProof/>
              </w:rPr>
              <w:t>Violations alléguées</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_Toc121029612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3</w:t>
            </w:r>
            <w:r w:rsidRPr="001F2DC7">
              <w:rPr>
                <w:rFonts w:ascii="Arial" w:hAnsi="Arial" w:cs="Arial"/>
                <w:noProof/>
                <w:webHidden/>
              </w:rPr>
              <w:fldChar w:fldCharType="end"/>
            </w:r>
          </w:hyperlink>
        </w:p>
        <w:p w14:paraId="223175F2" w14:textId="77777777" w:rsidR="001F2DC7" w:rsidRPr="001F2DC7" w:rsidRDefault="001F2DC7" w:rsidP="008524EE">
          <w:pPr>
            <w:rPr>
              <w:rFonts w:ascii="Arial" w:eastAsiaTheme="minorEastAsia" w:hAnsi="Arial" w:cs="Arial"/>
              <w:noProof/>
              <w:sz w:val="22"/>
              <w:szCs w:val="22"/>
              <w:lang w:eastAsia="fr-FR"/>
            </w:rPr>
          </w:pPr>
          <w:hyperlink w:anchor="_Toc121029613" w:history="1">
            <w:r w:rsidRPr="001F2DC7">
              <w:rPr>
                <w:rStyle w:val="Hyperlink"/>
                <w:rFonts w:ascii="Arial" w:hAnsi="Arial" w:cs="Arial"/>
                <w:noProof/>
              </w:rPr>
              <w:t>III.</w:t>
            </w:r>
            <w:r w:rsidRPr="001F2DC7">
              <w:rPr>
                <w:rFonts w:ascii="Arial" w:eastAsiaTheme="minorEastAsia" w:hAnsi="Arial" w:cs="Arial"/>
                <w:noProof/>
                <w:sz w:val="22"/>
                <w:szCs w:val="22"/>
                <w:lang w:eastAsia="fr-FR"/>
              </w:rPr>
              <w:tab/>
            </w:r>
            <w:r w:rsidRPr="001F2DC7">
              <w:rPr>
                <w:rStyle w:val="Hyperlink"/>
                <w:rFonts w:ascii="Arial" w:hAnsi="Arial" w:cs="Arial"/>
                <w:noProof/>
              </w:rPr>
              <w:t>RÉSUMÉ DE LA PROCÉDURE DEVANT LA COUR DE CÉANS</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_Toc121029613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4</w:t>
            </w:r>
            <w:r w:rsidRPr="001F2DC7">
              <w:rPr>
                <w:rFonts w:ascii="Arial" w:hAnsi="Arial" w:cs="Arial"/>
                <w:noProof/>
                <w:webHidden/>
              </w:rPr>
              <w:fldChar w:fldCharType="end"/>
            </w:r>
          </w:hyperlink>
        </w:p>
        <w:p w14:paraId="5E86808E" w14:textId="77777777" w:rsidR="001F2DC7" w:rsidRPr="001F2DC7" w:rsidRDefault="001F2DC7" w:rsidP="008524EE">
          <w:pPr>
            <w:rPr>
              <w:rFonts w:ascii="Arial" w:eastAsiaTheme="minorEastAsia" w:hAnsi="Arial" w:cs="Arial"/>
              <w:noProof/>
              <w:sz w:val="22"/>
              <w:szCs w:val="22"/>
              <w:lang w:eastAsia="fr-FR"/>
            </w:rPr>
          </w:pPr>
          <w:hyperlink w:anchor="_Toc121029614" w:history="1">
            <w:r w:rsidRPr="001F2DC7">
              <w:rPr>
                <w:rStyle w:val="Hyperlink"/>
                <w:rFonts w:ascii="Arial" w:hAnsi="Arial" w:cs="Arial"/>
                <w:noProof/>
              </w:rPr>
              <w:t>IV.</w:t>
            </w:r>
            <w:r w:rsidRPr="001F2DC7">
              <w:rPr>
                <w:rFonts w:ascii="Arial" w:eastAsiaTheme="minorEastAsia" w:hAnsi="Arial" w:cs="Arial"/>
                <w:noProof/>
                <w:sz w:val="22"/>
                <w:szCs w:val="22"/>
                <w:lang w:eastAsia="fr-FR"/>
              </w:rPr>
              <w:tab/>
            </w:r>
            <w:r w:rsidRPr="001F2DC7">
              <w:rPr>
                <w:rStyle w:val="Hyperlink"/>
                <w:rFonts w:ascii="Arial" w:hAnsi="Arial" w:cs="Arial"/>
                <w:noProof/>
              </w:rPr>
              <w:t>DEMANDES DES PARTIES</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_Toc121029614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6</w:t>
            </w:r>
            <w:r w:rsidRPr="001F2DC7">
              <w:rPr>
                <w:rFonts w:ascii="Arial" w:hAnsi="Arial" w:cs="Arial"/>
                <w:noProof/>
                <w:webHidden/>
              </w:rPr>
              <w:fldChar w:fldCharType="end"/>
            </w:r>
          </w:hyperlink>
        </w:p>
        <w:p w14:paraId="68FEB7E7" w14:textId="77777777" w:rsidR="001F2DC7" w:rsidRPr="001F2DC7" w:rsidRDefault="001F2DC7" w:rsidP="008524EE">
          <w:pPr>
            <w:rPr>
              <w:rFonts w:ascii="Arial" w:eastAsiaTheme="minorEastAsia" w:hAnsi="Arial" w:cs="Arial"/>
              <w:noProof/>
              <w:sz w:val="22"/>
              <w:szCs w:val="22"/>
              <w:lang w:eastAsia="fr-FR"/>
            </w:rPr>
          </w:pPr>
          <w:hyperlink w:anchor="_Toc121029615" w:history="1">
            <w:r w:rsidRPr="001F2DC7">
              <w:rPr>
                <w:rStyle w:val="Hyperlink"/>
                <w:rFonts w:ascii="Arial" w:hAnsi="Arial" w:cs="Arial"/>
                <w:noProof/>
              </w:rPr>
              <w:t>V.</w:t>
            </w:r>
            <w:r w:rsidRPr="001F2DC7">
              <w:rPr>
                <w:rFonts w:ascii="Arial" w:eastAsiaTheme="minorEastAsia" w:hAnsi="Arial" w:cs="Arial"/>
                <w:noProof/>
                <w:sz w:val="22"/>
                <w:szCs w:val="22"/>
                <w:lang w:eastAsia="fr-FR"/>
              </w:rPr>
              <w:tab/>
            </w:r>
            <w:r w:rsidRPr="001F2DC7">
              <w:rPr>
                <w:rStyle w:val="Hyperlink"/>
                <w:rFonts w:ascii="Arial" w:hAnsi="Arial" w:cs="Arial"/>
                <w:noProof/>
              </w:rPr>
              <w:t>SUR LA COMPÉTENCE</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_Toc121029615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8</w:t>
            </w:r>
            <w:r w:rsidRPr="001F2DC7">
              <w:rPr>
                <w:rFonts w:ascii="Arial" w:hAnsi="Arial" w:cs="Arial"/>
                <w:noProof/>
                <w:webHidden/>
              </w:rPr>
              <w:fldChar w:fldCharType="end"/>
            </w:r>
          </w:hyperlink>
        </w:p>
        <w:p w14:paraId="0EE1FD7A" w14:textId="77777777" w:rsidR="001F2DC7" w:rsidRPr="001F2DC7" w:rsidRDefault="001F2DC7" w:rsidP="008524EE">
          <w:pPr>
            <w:rPr>
              <w:rFonts w:ascii="Arial" w:eastAsiaTheme="minorEastAsia" w:hAnsi="Arial" w:cs="Arial"/>
              <w:noProof/>
              <w:sz w:val="22"/>
              <w:szCs w:val="22"/>
              <w:lang w:eastAsia="fr-FR"/>
            </w:rPr>
          </w:pPr>
          <w:hyperlink w:anchor="_Toc121029616" w:history="1">
            <w:r w:rsidRPr="001F2DC7">
              <w:rPr>
                <w:rStyle w:val="Hyperlink"/>
                <w:rFonts w:ascii="Arial" w:hAnsi="Arial" w:cs="Arial"/>
                <w:noProof/>
              </w:rPr>
              <w:t>VI.</w:t>
            </w:r>
            <w:r w:rsidRPr="001F2DC7">
              <w:rPr>
                <w:rFonts w:ascii="Arial" w:eastAsiaTheme="minorEastAsia" w:hAnsi="Arial" w:cs="Arial"/>
                <w:noProof/>
                <w:sz w:val="22"/>
                <w:szCs w:val="22"/>
                <w:lang w:eastAsia="fr-FR"/>
              </w:rPr>
              <w:tab/>
            </w:r>
            <w:r w:rsidRPr="001F2DC7">
              <w:rPr>
                <w:rStyle w:val="Hyperlink"/>
                <w:rFonts w:ascii="Arial" w:hAnsi="Arial" w:cs="Arial"/>
                <w:noProof/>
              </w:rPr>
              <w:t>SUR LA RECEVABILITÉ</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_Toc121029616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10</w:t>
            </w:r>
            <w:r w:rsidRPr="001F2DC7">
              <w:rPr>
                <w:rFonts w:ascii="Arial" w:hAnsi="Arial" w:cs="Arial"/>
                <w:noProof/>
                <w:webHidden/>
              </w:rPr>
              <w:fldChar w:fldCharType="end"/>
            </w:r>
          </w:hyperlink>
        </w:p>
        <w:p w14:paraId="0EC5DBA8" w14:textId="77777777" w:rsidR="001F2DC7" w:rsidRPr="001F2DC7" w:rsidRDefault="001F2DC7" w:rsidP="008524EE">
          <w:pPr>
            <w:rPr>
              <w:rFonts w:ascii="Arial" w:eastAsiaTheme="minorEastAsia" w:hAnsi="Arial" w:cs="Arial"/>
              <w:noProof/>
              <w:sz w:val="22"/>
              <w:szCs w:val="22"/>
              <w:lang w:eastAsia="fr-FR"/>
            </w:rPr>
          </w:pPr>
          <w:hyperlink w:anchor="_Toc121029617" w:history="1">
            <w:r w:rsidRPr="001F2DC7">
              <w:rPr>
                <w:rStyle w:val="Hyperlink"/>
                <w:rFonts w:ascii="Arial" w:eastAsia="Times New Roman" w:hAnsi="Arial" w:cs="Arial"/>
                <w:noProof/>
              </w:rPr>
              <w:t>A.</w:t>
            </w:r>
            <w:r w:rsidRPr="001F2DC7">
              <w:rPr>
                <w:rFonts w:ascii="Arial" w:eastAsiaTheme="minorEastAsia" w:hAnsi="Arial" w:cs="Arial"/>
                <w:noProof/>
                <w:sz w:val="22"/>
                <w:szCs w:val="22"/>
                <w:lang w:eastAsia="fr-FR"/>
              </w:rPr>
              <w:tab/>
            </w:r>
            <w:r w:rsidRPr="001F2DC7">
              <w:rPr>
                <w:rStyle w:val="Hyperlink"/>
                <w:rFonts w:ascii="Arial" w:hAnsi="Arial" w:cs="Arial"/>
                <w:noProof/>
              </w:rPr>
              <w:t>Exceptions d’irrecevabilité de la Requête</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_Toc121029617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12</w:t>
            </w:r>
            <w:r w:rsidRPr="001F2DC7">
              <w:rPr>
                <w:rFonts w:ascii="Arial" w:hAnsi="Arial" w:cs="Arial"/>
                <w:noProof/>
                <w:webHidden/>
              </w:rPr>
              <w:fldChar w:fldCharType="end"/>
            </w:r>
          </w:hyperlink>
        </w:p>
        <w:p w14:paraId="5788878F" w14:textId="77777777" w:rsidR="001F2DC7" w:rsidRPr="001F2DC7" w:rsidRDefault="001F2DC7" w:rsidP="008524EE">
          <w:pPr>
            <w:rPr>
              <w:rFonts w:ascii="Arial" w:eastAsiaTheme="minorEastAsia" w:hAnsi="Arial" w:cs="Arial"/>
              <w:noProof/>
              <w:sz w:val="22"/>
              <w:szCs w:val="22"/>
              <w:lang w:eastAsia="fr-FR"/>
            </w:rPr>
          </w:pPr>
          <w:hyperlink w:anchor="_Toc121029618" w:history="1">
            <w:r w:rsidRPr="001F2DC7">
              <w:rPr>
                <w:rStyle w:val="Hyperlink"/>
                <w:rFonts w:ascii="Arial" w:eastAsia="Times New Roman" w:hAnsi="Arial" w:cs="Arial"/>
                <w:noProof/>
              </w:rPr>
              <w:t>B.</w:t>
            </w:r>
            <w:r w:rsidRPr="001F2DC7">
              <w:rPr>
                <w:rFonts w:ascii="Arial" w:eastAsiaTheme="minorEastAsia" w:hAnsi="Arial" w:cs="Arial"/>
                <w:noProof/>
                <w:sz w:val="22"/>
                <w:szCs w:val="22"/>
                <w:lang w:eastAsia="fr-FR"/>
              </w:rPr>
              <w:tab/>
            </w:r>
            <w:r w:rsidRPr="001F2DC7">
              <w:rPr>
                <w:rStyle w:val="Hyperlink"/>
                <w:rFonts w:ascii="Arial" w:hAnsi="Arial" w:cs="Arial"/>
                <w:noProof/>
              </w:rPr>
              <w:t>Autres conditions de recevabilité</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_Toc121029618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19</w:t>
            </w:r>
            <w:r w:rsidRPr="001F2DC7">
              <w:rPr>
                <w:rFonts w:ascii="Arial" w:hAnsi="Arial" w:cs="Arial"/>
                <w:noProof/>
                <w:webHidden/>
              </w:rPr>
              <w:fldChar w:fldCharType="end"/>
            </w:r>
          </w:hyperlink>
        </w:p>
        <w:p w14:paraId="2BC55663" w14:textId="77777777" w:rsidR="001F2DC7" w:rsidRPr="001F2DC7" w:rsidRDefault="001F2DC7" w:rsidP="008524EE">
          <w:pPr>
            <w:rPr>
              <w:rFonts w:ascii="Arial" w:eastAsiaTheme="minorEastAsia" w:hAnsi="Arial" w:cs="Arial"/>
              <w:noProof/>
              <w:sz w:val="22"/>
              <w:szCs w:val="22"/>
              <w:lang w:eastAsia="fr-FR"/>
            </w:rPr>
          </w:pPr>
          <w:hyperlink w:anchor="_Toc121029619" w:history="1">
            <w:r w:rsidRPr="001F2DC7">
              <w:rPr>
                <w:rStyle w:val="Hyperlink"/>
                <w:rFonts w:ascii="Arial" w:eastAsia="Times New Roman" w:hAnsi="Arial" w:cs="Arial"/>
                <w:noProof/>
              </w:rPr>
              <w:t>VII.</w:t>
            </w:r>
            <w:r w:rsidRPr="001F2DC7">
              <w:rPr>
                <w:rFonts w:ascii="Arial" w:eastAsiaTheme="minorEastAsia" w:hAnsi="Arial" w:cs="Arial"/>
                <w:noProof/>
                <w:sz w:val="22"/>
                <w:szCs w:val="22"/>
                <w:lang w:eastAsia="fr-FR"/>
              </w:rPr>
              <w:tab/>
            </w:r>
            <w:r w:rsidRPr="001F2DC7">
              <w:rPr>
                <w:rStyle w:val="Hyperlink"/>
                <w:rFonts w:ascii="Arial" w:hAnsi="Arial" w:cs="Arial"/>
                <w:noProof/>
              </w:rPr>
              <w:t>SUR LA DEMANDE DE MESURES PROVISOIRES</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_Toc121029619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20</w:t>
            </w:r>
            <w:r w:rsidRPr="001F2DC7">
              <w:rPr>
                <w:rFonts w:ascii="Arial" w:hAnsi="Arial" w:cs="Arial"/>
                <w:noProof/>
                <w:webHidden/>
              </w:rPr>
              <w:fldChar w:fldCharType="end"/>
            </w:r>
          </w:hyperlink>
        </w:p>
        <w:p w14:paraId="4C8FDAD9" w14:textId="77777777" w:rsidR="001F2DC7" w:rsidRPr="001F2DC7" w:rsidRDefault="001F2DC7" w:rsidP="008524EE">
          <w:pPr>
            <w:rPr>
              <w:rFonts w:ascii="Arial" w:eastAsiaTheme="minorEastAsia" w:hAnsi="Arial" w:cs="Arial"/>
              <w:noProof/>
              <w:sz w:val="22"/>
              <w:szCs w:val="22"/>
              <w:lang w:eastAsia="fr-FR"/>
            </w:rPr>
          </w:pPr>
          <w:hyperlink w:anchor="_Toc121029620" w:history="1">
            <w:r w:rsidRPr="001F2DC7">
              <w:rPr>
                <w:rStyle w:val="Hyperlink"/>
                <w:rFonts w:ascii="Arial" w:hAnsi="Arial" w:cs="Arial"/>
                <w:noProof/>
              </w:rPr>
              <w:t>VIII.</w:t>
            </w:r>
            <w:r w:rsidRPr="001F2DC7">
              <w:rPr>
                <w:rFonts w:ascii="Arial" w:eastAsiaTheme="minorEastAsia" w:hAnsi="Arial" w:cs="Arial"/>
                <w:noProof/>
                <w:sz w:val="22"/>
                <w:szCs w:val="22"/>
                <w:lang w:eastAsia="fr-FR"/>
              </w:rPr>
              <w:tab/>
            </w:r>
            <w:r w:rsidRPr="001F2DC7">
              <w:rPr>
                <w:rStyle w:val="Hyperlink"/>
                <w:rFonts w:ascii="Arial" w:hAnsi="Arial" w:cs="Arial"/>
                <w:noProof/>
              </w:rPr>
              <w:t>SUR LES FRAIS DE PROCÉDURE</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_Toc121029620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20</w:t>
            </w:r>
            <w:r w:rsidRPr="001F2DC7">
              <w:rPr>
                <w:rFonts w:ascii="Arial" w:hAnsi="Arial" w:cs="Arial"/>
                <w:noProof/>
                <w:webHidden/>
              </w:rPr>
              <w:fldChar w:fldCharType="end"/>
            </w:r>
          </w:hyperlink>
        </w:p>
        <w:p w14:paraId="45CB8A3A" w14:textId="77777777" w:rsidR="001F2DC7" w:rsidRPr="001F2DC7" w:rsidRDefault="001F2DC7" w:rsidP="008524EE">
          <w:pPr>
            <w:rPr>
              <w:rFonts w:ascii="Arial" w:eastAsiaTheme="minorEastAsia" w:hAnsi="Arial" w:cs="Arial"/>
              <w:noProof/>
              <w:sz w:val="22"/>
              <w:szCs w:val="22"/>
              <w:lang w:eastAsia="fr-FR"/>
            </w:rPr>
          </w:pPr>
          <w:hyperlink w:anchor="_Toc121029621" w:history="1">
            <w:r w:rsidRPr="001F2DC7">
              <w:rPr>
                <w:rStyle w:val="Hyperlink"/>
                <w:rFonts w:ascii="Arial" w:hAnsi="Arial" w:cs="Arial"/>
                <w:noProof/>
              </w:rPr>
              <w:t>IX.</w:t>
            </w:r>
            <w:r w:rsidRPr="001F2DC7">
              <w:rPr>
                <w:rFonts w:ascii="Arial" w:eastAsiaTheme="minorEastAsia" w:hAnsi="Arial" w:cs="Arial"/>
                <w:noProof/>
                <w:sz w:val="22"/>
                <w:szCs w:val="22"/>
                <w:lang w:eastAsia="fr-FR"/>
              </w:rPr>
              <w:tab/>
            </w:r>
            <w:r w:rsidRPr="001F2DC7">
              <w:rPr>
                <w:rStyle w:val="Hyperlink"/>
                <w:rFonts w:ascii="Arial" w:hAnsi="Arial" w:cs="Arial"/>
                <w:noProof/>
              </w:rPr>
              <w:t>DISPOSITIF</w:t>
            </w:r>
            <w:r w:rsidRPr="001F2DC7">
              <w:rPr>
                <w:rFonts w:ascii="Arial" w:hAnsi="Arial" w:cs="Arial"/>
                <w:noProof/>
                <w:webHidden/>
              </w:rPr>
              <w:tab/>
            </w:r>
            <w:r w:rsidRPr="001F2DC7">
              <w:rPr>
                <w:rFonts w:ascii="Arial" w:hAnsi="Arial" w:cs="Arial"/>
                <w:noProof/>
                <w:webHidden/>
              </w:rPr>
              <w:fldChar w:fldCharType="begin"/>
            </w:r>
            <w:r w:rsidRPr="001F2DC7">
              <w:rPr>
                <w:rFonts w:ascii="Arial" w:hAnsi="Arial" w:cs="Arial"/>
                <w:noProof/>
                <w:webHidden/>
              </w:rPr>
              <w:instrText xml:space="preserve"> PAGEREF _Toc121029621 \h </w:instrText>
            </w:r>
            <w:r w:rsidRPr="001F2DC7">
              <w:rPr>
                <w:rFonts w:ascii="Arial" w:hAnsi="Arial" w:cs="Arial"/>
                <w:noProof/>
                <w:webHidden/>
              </w:rPr>
            </w:r>
            <w:r w:rsidRPr="001F2DC7">
              <w:rPr>
                <w:rFonts w:ascii="Arial" w:hAnsi="Arial" w:cs="Arial"/>
                <w:noProof/>
                <w:webHidden/>
              </w:rPr>
              <w:fldChar w:fldCharType="separate"/>
            </w:r>
            <w:r w:rsidRPr="001F2DC7">
              <w:rPr>
                <w:rFonts w:ascii="Arial" w:hAnsi="Arial" w:cs="Arial"/>
                <w:noProof/>
                <w:webHidden/>
              </w:rPr>
              <w:t>21</w:t>
            </w:r>
            <w:r w:rsidRPr="001F2DC7">
              <w:rPr>
                <w:rFonts w:ascii="Arial" w:hAnsi="Arial" w:cs="Arial"/>
                <w:noProof/>
                <w:webHidden/>
              </w:rPr>
              <w:fldChar w:fldCharType="end"/>
            </w:r>
          </w:hyperlink>
        </w:p>
        <w:p w14:paraId="76E15396" w14:textId="397EEE01" w:rsidR="00996BF3" w:rsidRPr="000B6335" w:rsidRDefault="00996BF3" w:rsidP="008524EE">
          <w:pPr>
            <w:rPr>
              <w:rFonts w:ascii="Arial" w:hAnsi="Arial" w:cs="Arial"/>
            </w:rPr>
          </w:pPr>
          <w:r w:rsidRPr="001F2DC7">
            <w:rPr>
              <w:rFonts w:ascii="Arial" w:hAnsi="Arial" w:cs="Arial"/>
            </w:rPr>
            <w:fldChar w:fldCharType="end"/>
          </w:r>
        </w:p>
      </w:sdtContent>
    </w:sdt>
    <w:p w14:paraId="3D509302" w14:textId="77777777" w:rsidR="00996BF3" w:rsidRPr="000B6335" w:rsidRDefault="00996BF3" w:rsidP="008524EE">
      <w:pPr>
        <w:rPr>
          <w:rFonts w:ascii="Arial" w:hAnsi="Arial" w:cs="Arial"/>
        </w:rPr>
      </w:pPr>
    </w:p>
    <w:p w14:paraId="572494C2" w14:textId="77777777" w:rsidR="00996BF3" w:rsidRPr="000B6335" w:rsidRDefault="00996BF3" w:rsidP="008524EE">
      <w:pPr>
        <w:rPr>
          <w:rFonts w:ascii="Arial" w:eastAsia="Arial" w:hAnsi="Arial" w:cs="Arial"/>
          <w:b/>
        </w:rPr>
        <w:sectPr w:rsidR="00996BF3" w:rsidRPr="000B6335" w:rsidSect="00642A7B">
          <w:pgSz w:w="11906" w:h="16838"/>
          <w:pgMar w:top="1440" w:right="1440" w:bottom="1440" w:left="1440" w:header="706" w:footer="706" w:gutter="0"/>
          <w:pgNumType w:fmt="lowerRoman" w:start="1"/>
          <w:cols w:space="720"/>
          <w:docGrid w:linePitch="326"/>
        </w:sectPr>
      </w:pPr>
    </w:p>
    <w:p w14:paraId="316BB8EF" w14:textId="309D973E" w:rsidR="00996BF3" w:rsidRPr="000B6335" w:rsidRDefault="00996BF3" w:rsidP="008524EE">
      <w:pPr>
        <w:rPr>
          <w:rFonts w:ascii="Arial" w:hAnsi="Arial" w:cs="Arial"/>
        </w:rPr>
      </w:pPr>
      <w:r w:rsidRPr="000B6335">
        <w:rPr>
          <w:rFonts w:ascii="Arial" w:hAnsi="Arial" w:cs="Arial"/>
          <w:b/>
        </w:rPr>
        <w:lastRenderedPageBreak/>
        <w:t>La Cour, composée de :</w:t>
      </w:r>
      <w:r w:rsidRPr="000B6335">
        <w:rPr>
          <w:rFonts w:ascii="Arial" w:hAnsi="Arial" w:cs="Arial"/>
        </w:rPr>
        <w:t xml:space="preserve"> Blaise TCHIKAYA, Vice-président ; Ben KIOKO, Rafaâ BEN ACHOUR, Suzanne MENGUE, Tujilane R. CHIZUMILA, Chafika BENSAOULA, Stella I. ANUKAM, Dumisa B. NTSEBEZA, Modibo SACKO et Dennis D. ADJEI – Juges ; et de Robert ENO, Greffier.</w:t>
      </w:r>
    </w:p>
    <w:p w14:paraId="0CA2763B" w14:textId="77777777" w:rsidR="00996BF3" w:rsidRPr="000B6335" w:rsidRDefault="00996BF3" w:rsidP="008524EE">
      <w:pPr>
        <w:rPr>
          <w:rFonts w:ascii="Arial" w:eastAsia="Calibri" w:hAnsi="Arial" w:cs="Arial"/>
        </w:rPr>
      </w:pPr>
      <w:r w:rsidRPr="000B6335">
        <w:rPr>
          <w:rFonts w:ascii="Arial" w:hAnsi="Arial" w:cs="Arial"/>
        </w:rPr>
        <w:t xml:space="preserve"> </w:t>
      </w:r>
    </w:p>
    <w:p w14:paraId="4F9E5AE6" w14:textId="25AAE848" w:rsidR="00996BF3" w:rsidRPr="000B6335" w:rsidRDefault="00996BF3" w:rsidP="008524EE">
      <w:pPr>
        <w:rPr>
          <w:rFonts w:ascii="Arial" w:hAnsi="Arial" w:cs="Arial"/>
        </w:rPr>
      </w:pPr>
      <w:r w:rsidRPr="000B6335">
        <w:rPr>
          <w:rFonts w:ascii="Arial" w:hAnsi="Arial" w:cs="Arial"/>
        </w:rPr>
        <w:t>Conformément à l’article 22 du Protocole relatif à la Charte africaine des droits de l’homme et des peuples portant création d’une Cour africaine des droits de l’homme et des peuples (ci-après désigné le « Protocole ») et à la règle 9(2) du Règlement intérieur de la Cour (ci-après désigné « le Règlement »), la Juge Imani D. ABOUD, Présidente de la Cour et de nationalité tanzanienne, s’est récusée.</w:t>
      </w:r>
    </w:p>
    <w:p w14:paraId="0911FC81" w14:textId="77777777" w:rsidR="00996BF3" w:rsidRPr="000B6335" w:rsidRDefault="00996BF3" w:rsidP="008524EE">
      <w:pPr>
        <w:rPr>
          <w:rFonts w:ascii="Arial" w:eastAsia="Calibri" w:hAnsi="Arial" w:cs="Arial"/>
          <w:kern w:val="20"/>
          <w:lang w:eastAsia="ja-JP"/>
        </w:rPr>
      </w:pPr>
    </w:p>
    <w:p w14:paraId="12109744" w14:textId="77777777" w:rsidR="00996BF3" w:rsidRPr="000B6335" w:rsidRDefault="00996BF3" w:rsidP="008524EE">
      <w:pPr>
        <w:rPr>
          <w:rFonts w:ascii="Arial" w:hAnsi="Arial" w:cs="Arial"/>
        </w:rPr>
      </w:pPr>
      <w:r w:rsidRPr="000B6335">
        <w:rPr>
          <w:rFonts w:ascii="Arial" w:hAnsi="Arial" w:cs="Arial"/>
        </w:rPr>
        <w:t>En l’affaire :</w:t>
      </w:r>
    </w:p>
    <w:p w14:paraId="2187BA3C" w14:textId="77777777" w:rsidR="00996BF3" w:rsidRPr="000B6335" w:rsidRDefault="00996BF3" w:rsidP="008524EE">
      <w:pPr>
        <w:rPr>
          <w:rFonts w:ascii="Arial" w:hAnsi="Arial" w:cs="Arial"/>
        </w:rPr>
      </w:pPr>
    </w:p>
    <w:p w14:paraId="3EBFD916" w14:textId="77777777" w:rsidR="00F105D1" w:rsidRPr="000B6335" w:rsidRDefault="00F105D1" w:rsidP="008524EE">
      <w:pPr>
        <w:rPr>
          <w:rFonts w:ascii="Arial" w:hAnsi="Arial" w:cs="Arial"/>
        </w:rPr>
      </w:pPr>
      <w:r w:rsidRPr="000B6335">
        <w:rPr>
          <w:rFonts w:ascii="Arial" w:hAnsi="Arial" w:cs="Arial"/>
        </w:rPr>
        <w:t>Tike MWAMBIPILE et EQUALITY NOW</w:t>
      </w:r>
    </w:p>
    <w:p w14:paraId="60F7EF5E" w14:textId="77777777" w:rsidR="00F105D1" w:rsidRPr="000B6335" w:rsidRDefault="00F105D1" w:rsidP="008524EE">
      <w:pPr>
        <w:rPr>
          <w:rFonts w:ascii="Arial" w:hAnsi="Arial" w:cs="Arial"/>
          <w:i/>
          <w:iCs/>
        </w:rPr>
      </w:pPr>
    </w:p>
    <w:p w14:paraId="469EDDF6" w14:textId="222D580B" w:rsidR="003E752A" w:rsidRPr="000B6335" w:rsidRDefault="007F3931" w:rsidP="008524EE">
      <w:pPr>
        <w:rPr>
          <w:rFonts w:ascii="Arial" w:hAnsi="Arial" w:cs="Arial"/>
          <w:i/>
          <w:iCs/>
          <w:szCs w:val="22"/>
        </w:rPr>
      </w:pPr>
      <w:r w:rsidRPr="000B6335">
        <w:rPr>
          <w:rFonts w:ascii="Arial" w:hAnsi="Arial" w:cs="Arial"/>
          <w:i/>
        </w:rPr>
        <w:t>r</w:t>
      </w:r>
      <w:r w:rsidR="00F105D1" w:rsidRPr="000B6335">
        <w:rPr>
          <w:rFonts w:ascii="Arial" w:hAnsi="Arial" w:cs="Arial"/>
          <w:i/>
        </w:rPr>
        <w:t>eprésentée par :</w:t>
      </w:r>
    </w:p>
    <w:p w14:paraId="7AEB11AA" w14:textId="77777777" w:rsidR="003E752A" w:rsidRPr="000B6335" w:rsidRDefault="003E752A" w:rsidP="008524EE">
      <w:pPr>
        <w:rPr>
          <w:rFonts w:ascii="Arial" w:hAnsi="Arial" w:cs="Arial"/>
          <w:szCs w:val="22"/>
        </w:rPr>
      </w:pPr>
    </w:p>
    <w:p w14:paraId="47911F06" w14:textId="77777777" w:rsidR="00E033B1" w:rsidRPr="000D767F" w:rsidRDefault="00AF5ED5" w:rsidP="008524EE">
      <w:pPr>
        <w:rPr>
          <w:rFonts w:ascii="Arial" w:hAnsi="Arial" w:cs="Arial"/>
          <w:bCs/>
        </w:rPr>
      </w:pPr>
      <w:r w:rsidRPr="000D767F">
        <w:rPr>
          <w:rFonts w:ascii="Arial" w:hAnsi="Arial" w:cs="Arial"/>
        </w:rPr>
        <w:t xml:space="preserve">Maître Jebra KAMBOLE, </w:t>
      </w:r>
    </w:p>
    <w:p w14:paraId="22A6C2D7" w14:textId="3389C681" w:rsidR="00F105D1" w:rsidRPr="000D767F" w:rsidRDefault="00AF5ED5" w:rsidP="008524EE">
      <w:pPr>
        <w:rPr>
          <w:rFonts w:ascii="Arial" w:hAnsi="Arial" w:cs="Arial"/>
          <w:bCs/>
        </w:rPr>
      </w:pPr>
      <w:r w:rsidRPr="000D767F">
        <w:rPr>
          <w:rFonts w:ascii="Arial" w:hAnsi="Arial" w:cs="Arial"/>
          <w:i/>
          <w:iCs/>
        </w:rPr>
        <w:t>Law Guards Advocates</w:t>
      </w:r>
    </w:p>
    <w:p w14:paraId="728D75D6" w14:textId="77777777" w:rsidR="00F105D1" w:rsidRPr="000D767F" w:rsidRDefault="00F105D1" w:rsidP="008524EE">
      <w:pPr>
        <w:rPr>
          <w:rFonts w:ascii="Arial" w:hAnsi="Arial" w:cs="Arial"/>
        </w:rPr>
      </w:pPr>
    </w:p>
    <w:p w14:paraId="37EE9ABD" w14:textId="77777777" w:rsidR="00F105D1" w:rsidRPr="000B6335" w:rsidRDefault="00F105D1" w:rsidP="008524EE">
      <w:pPr>
        <w:rPr>
          <w:rFonts w:ascii="Arial" w:hAnsi="Arial" w:cs="Arial"/>
        </w:rPr>
      </w:pPr>
      <w:r w:rsidRPr="000B6335">
        <w:rPr>
          <w:rFonts w:ascii="Arial" w:hAnsi="Arial" w:cs="Arial"/>
        </w:rPr>
        <w:t>contre</w:t>
      </w:r>
    </w:p>
    <w:p w14:paraId="57B31236" w14:textId="77777777" w:rsidR="00F105D1" w:rsidRPr="000B6335" w:rsidRDefault="00F105D1" w:rsidP="008524EE">
      <w:pPr>
        <w:rPr>
          <w:rFonts w:ascii="Arial" w:hAnsi="Arial" w:cs="Arial"/>
        </w:rPr>
      </w:pPr>
    </w:p>
    <w:p w14:paraId="0BCE7B63" w14:textId="77777777" w:rsidR="00F105D1" w:rsidRPr="000B6335" w:rsidRDefault="00F105D1" w:rsidP="008524EE">
      <w:pPr>
        <w:rPr>
          <w:rFonts w:ascii="Arial" w:hAnsi="Arial" w:cs="Arial"/>
        </w:rPr>
      </w:pPr>
      <w:r w:rsidRPr="000B6335">
        <w:rPr>
          <w:rFonts w:ascii="Arial" w:hAnsi="Arial" w:cs="Arial"/>
        </w:rPr>
        <w:t xml:space="preserve">RÉPUBLIQUE-UNIE DE TANZANIE </w:t>
      </w:r>
    </w:p>
    <w:p w14:paraId="0B60294F" w14:textId="77777777" w:rsidR="00F105D1" w:rsidRPr="000B6335" w:rsidRDefault="00F105D1" w:rsidP="008524EE">
      <w:pPr>
        <w:rPr>
          <w:rFonts w:ascii="Arial" w:hAnsi="Arial" w:cs="Arial"/>
          <w:i/>
          <w:iCs/>
        </w:rPr>
      </w:pPr>
    </w:p>
    <w:p w14:paraId="02C3B0C8" w14:textId="0BE0554F" w:rsidR="003E752A" w:rsidRPr="000B6335" w:rsidRDefault="007F3931" w:rsidP="008524EE">
      <w:pPr>
        <w:rPr>
          <w:rFonts w:ascii="Arial" w:hAnsi="Arial" w:cs="Arial"/>
          <w:i/>
          <w:iCs/>
          <w:szCs w:val="22"/>
        </w:rPr>
      </w:pPr>
      <w:r w:rsidRPr="000B6335">
        <w:rPr>
          <w:rFonts w:ascii="Arial" w:hAnsi="Arial" w:cs="Arial"/>
          <w:i/>
        </w:rPr>
        <w:t>r</w:t>
      </w:r>
      <w:r w:rsidR="00F105D1" w:rsidRPr="000B6335">
        <w:rPr>
          <w:rFonts w:ascii="Arial" w:hAnsi="Arial" w:cs="Arial"/>
          <w:i/>
        </w:rPr>
        <w:t>eprésentée par :</w:t>
      </w:r>
    </w:p>
    <w:p w14:paraId="43A136AC" w14:textId="77777777" w:rsidR="003E752A" w:rsidRPr="000B6335" w:rsidRDefault="003E752A" w:rsidP="008524EE">
      <w:pPr>
        <w:rPr>
          <w:rFonts w:ascii="Arial" w:hAnsi="Arial" w:cs="Arial"/>
          <w:szCs w:val="22"/>
        </w:rPr>
      </w:pPr>
    </w:p>
    <w:p w14:paraId="031D72DA" w14:textId="1ABB431F" w:rsidR="00F105D1" w:rsidRPr="000B6335" w:rsidRDefault="002903A1" w:rsidP="008524EE">
      <w:pPr>
        <w:rPr>
          <w:rFonts w:ascii="Arial" w:hAnsi="Arial" w:cs="Arial"/>
        </w:rPr>
      </w:pPr>
      <w:r w:rsidRPr="000B6335">
        <w:rPr>
          <w:rFonts w:ascii="Arial" w:hAnsi="Arial" w:cs="Arial"/>
        </w:rPr>
        <w:t xml:space="preserve">Dr. Boniface Nalija Luhende, </w:t>
      </w:r>
      <w:r w:rsidRPr="000B6335">
        <w:rPr>
          <w:rFonts w:ascii="Arial" w:hAnsi="Arial" w:cs="Arial"/>
          <w:i/>
          <w:iCs/>
        </w:rPr>
        <w:t>Solicitor General</w:t>
      </w:r>
      <w:r w:rsidRPr="000B6335">
        <w:rPr>
          <w:rFonts w:ascii="Arial" w:hAnsi="Arial" w:cs="Arial"/>
        </w:rPr>
        <w:t xml:space="preserve">, Bureau du </w:t>
      </w:r>
      <w:r w:rsidRPr="000B6335">
        <w:rPr>
          <w:rFonts w:ascii="Arial" w:hAnsi="Arial" w:cs="Arial"/>
          <w:i/>
          <w:iCs/>
        </w:rPr>
        <w:t>Solicitor General</w:t>
      </w:r>
    </w:p>
    <w:p w14:paraId="1BCBBCAF" w14:textId="77777777" w:rsidR="00F105D1" w:rsidRPr="000B6335" w:rsidRDefault="00F105D1" w:rsidP="008524EE">
      <w:pPr>
        <w:rPr>
          <w:rFonts w:ascii="Arial" w:eastAsia="Calibri" w:hAnsi="Arial" w:cs="Arial"/>
        </w:rPr>
      </w:pPr>
    </w:p>
    <w:p w14:paraId="721254D9" w14:textId="77777777" w:rsidR="00F105D1" w:rsidRPr="000B6335" w:rsidRDefault="00F105D1" w:rsidP="008524EE">
      <w:pPr>
        <w:rPr>
          <w:rFonts w:ascii="Arial" w:hAnsi="Arial" w:cs="Arial"/>
        </w:rPr>
      </w:pPr>
      <w:r w:rsidRPr="000B6335">
        <w:rPr>
          <w:rFonts w:ascii="Arial" w:hAnsi="Arial" w:cs="Arial"/>
        </w:rPr>
        <w:t>après en avoir délibéré,</w:t>
      </w:r>
    </w:p>
    <w:p w14:paraId="5C386F2B" w14:textId="77777777" w:rsidR="00996BF3" w:rsidRPr="000B6335" w:rsidRDefault="00996BF3" w:rsidP="008524EE">
      <w:pPr>
        <w:rPr>
          <w:rFonts w:ascii="Arial" w:hAnsi="Arial" w:cs="Arial"/>
          <w:b/>
        </w:rPr>
      </w:pPr>
    </w:p>
    <w:p w14:paraId="7FE00D74" w14:textId="01D77143" w:rsidR="00996BF3" w:rsidRPr="000B6335" w:rsidRDefault="00996BF3" w:rsidP="008524EE">
      <w:pPr>
        <w:rPr>
          <w:rFonts w:ascii="Arial" w:hAnsi="Arial" w:cs="Arial"/>
        </w:rPr>
      </w:pPr>
      <w:r w:rsidRPr="000B6335">
        <w:rPr>
          <w:rFonts w:ascii="Arial" w:hAnsi="Arial" w:cs="Arial"/>
          <w:i/>
        </w:rPr>
        <w:t>rend le présent Arrêt</w:t>
      </w:r>
      <w:r w:rsidRPr="000B6335">
        <w:rPr>
          <w:rFonts w:ascii="Arial" w:hAnsi="Arial" w:cs="Arial"/>
        </w:rPr>
        <w:t> :</w:t>
      </w:r>
    </w:p>
    <w:p w14:paraId="3AD873A8" w14:textId="77777777" w:rsidR="00F105D1" w:rsidRPr="000B6335" w:rsidRDefault="00F105D1" w:rsidP="008524EE">
      <w:pPr>
        <w:rPr>
          <w:rFonts w:ascii="Arial" w:eastAsiaTheme="majorEastAsia" w:hAnsi="Arial" w:cs="Arial"/>
          <w:b/>
          <w:bCs/>
        </w:rPr>
      </w:pPr>
      <w:r w:rsidRPr="000B6335">
        <w:rPr>
          <w:rFonts w:ascii="Arial" w:hAnsi="Arial" w:cs="Arial"/>
        </w:rPr>
        <w:br w:type="page"/>
      </w:r>
    </w:p>
    <w:p w14:paraId="150C2F0B" w14:textId="511557DC" w:rsidR="00996BF3" w:rsidRPr="000B6335" w:rsidRDefault="00996BF3" w:rsidP="008524EE">
      <w:bookmarkStart w:id="1" w:name="_Toc121029609"/>
      <w:r w:rsidRPr="000B6335">
        <w:lastRenderedPageBreak/>
        <w:t>LES PARTIES</w:t>
      </w:r>
      <w:bookmarkEnd w:id="1"/>
      <w:r w:rsidRPr="000B6335">
        <w:t xml:space="preserve"> </w:t>
      </w:r>
    </w:p>
    <w:p w14:paraId="0F7576AA" w14:textId="77777777" w:rsidR="00996BF3" w:rsidRPr="000B6335" w:rsidRDefault="00996BF3" w:rsidP="008524EE">
      <w:pPr>
        <w:rPr>
          <w:rFonts w:ascii="Arial" w:hAnsi="Arial" w:cs="Arial"/>
          <w:lang w:val="en-US"/>
        </w:rPr>
      </w:pPr>
    </w:p>
    <w:p w14:paraId="4070D8BC" w14:textId="68517E91" w:rsidR="00F105D1" w:rsidRPr="000B6335" w:rsidRDefault="00F105D1" w:rsidP="008524EE">
      <w:pPr>
        <w:rPr>
          <w:rFonts w:ascii="Arial" w:hAnsi="Arial" w:cs="Arial"/>
        </w:rPr>
      </w:pPr>
      <w:r w:rsidRPr="000B6335">
        <w:rPr>
          <w:rFonts w:ascii="Arial" w:hAnsi="Arial" w:cs="Arial"/>
        </w:rPr>
        <w:t xml:space="preserve">Les Requérantes sont dame Tike Mwambipile, ressortissante tanzanienne, et </w:t>
      </w:r>
      <w:r w:rsidRPr="000B6335">
        <w:rPr>
          <w:rFonts w:ascii="Arial" w:hAnsi="Arial" w:cs="Arial"/>
          <w:i/>
          <w:iCs/>
        </w:rPr>
        <w:t>Equality Now</w:t>
      </w:r>
      <w:r w:rsidRPr="000B6335">
        <w:rPr>
          <w:rFonts w:ascii="Arial" w:hAnsi="Arial" w:cs="Arial"/>
        </w:rPr>
        <w:t>, une organisation non gouvernementale (ONG) dotée du statut d’observateur auprès de la Commission africaine des droits de l’homme et des peuples (ci-après dénommée « la Commission africaine »). Elles contestent les règlements et directives de l’État défendeur excluant les filles enceintes et les jeunes mères des établissements scolaires publics.</w:t>
      </w:r>
    </w:p>
    <w:p w14:paraId="0ACB4E03" w14:textId="77777777" w:rsidR="00996BF3" w:rsidRPr="000B6335" w:rsidRDefault="00996BF3" w:rsidP="008524EE">
      <w:pPr>
        <w:rPr>
          <w:rFonts w:ascii="Arial" w:hAnsi="Arial" w:cs="Arial"/>
        </w:rPr>
      </w:pPr>
    </w:p>
    <w:p w14:paraId="2082DC71" w14:textId="0C0E505B" w:rsidR="002F75C8" w:rsidRPr="000B6335" w:rsidRDefault="002F75C8" w:rsidP="008524EE">
      <w:pPr>
        <w:rPr>
          <w:rFonts w:ascii="Arial" w:hAnsi="Arial" w:cs="Arial"/>
        </w:rPr>
      </w:pPr>
      <w:r w:rsidRPr="000B6335">
        <w:rPr>
          <w:rFonts w:ascii="Arial" w:hAnsi="Arial" w:cs="Arial"/>
        </w:rPr>
        <w:t xml:space="preserve">La Requête est dirigée contre la République-Unie de Tanzanie (ci-après dénommée « l’État défendeur »), qui est devenue partie à la Charte africaine des droits de l’homme et des peuples (ci-après désignée la « Charte ») le 21 octobre 1986 et au Protocole le 10 février 2006. Elle a également déposé, le 29 mars 2010, la Déclaration prévue à l’article 34(6) du Protocole (ci-après désignée la Déclaration »), par laquelle elle accepte la compétence de la Cour pour recevoir des requêtes émanant d’individus et d’organisations non gouvernementales. Le 21 novembre 2019 l’État défendeur a déposé auprès du Président de la Commission de l’Union africaine un instrument de retrait de sa Déclaration. La Cour a décidé que le retrait de la Déclaration n’avait aucune incidence, ni sur les affaires pendantes, ni sur de nouvelles affaires introduites devant elle avant sa prise d’effet un </w:t>
      </w:r>
      <w:r w:rsidR="007F3931" w:rsidRPr="000B6335">
        <w:rPr>
          <w:rFonts w:ascii="Arial" w:hAnsi="Arial" w:cs="Arial"/>
        </w:rPr>
        <w:t xml:space="preserve">(1) </w:t>
      </w:r>
      <w:r w:rsidRPr="000B6335">
        <w:rPr>
          <w:rFonts w:ascii="Arial" w:hAnsi="Arial" w:cs="Arial"/>
        </w:rPr>
        <w:t>an après le dépôt de l’instrument y relatif, à savoir le 22 novembre 2020.</w:t>
      </w:r>
      <w:r w:rsidRPr="000B6335">
        <w:rPr>
          <w:rFonts w:ascii="Arial" w:hAnsi="Arial" w:cs="Arial"/>
          <w:bCs/>
          <w:vertAlign w:val="superscript"/>
        </w:rPr>
        <w:footnoteReference w:id="1"/>
      </w:r>
    </w:p>
    <w:p w14:paraId="5364A29E" w14:textId="4B28CF7E" w:rsidR="007B752B" w:rsidRPr="000B6335" w:rsidRDefault="007B752B" w:rsidP="008524EE">
      <w:pPr>
        <w:rPr>
          <w:rFonts w:ascii="Arial" w:hAnsi="Arial" w:cs="Arial"/>
        </w:rPr>
      </w:pPr>
    </w:p>
    <w:p w14:paraId="77ACEB03" w14:textId="77777777" w:rsidR="00DF4B42" w:rsidRPr="000B6335" w:rsidRDefault="00DF4B42" w:rsidP="008524EE">
      <w:pPr>
        <w:rPr>
          <w:rFonts w:ascii="Arial" w:hAnsi="Arial" w:cs="Arial"/>
        </w:rPr>
      </w:pPr>
    </w:p>
    <w:p w14:paraId="40500512" w14:textId="77777777" w:rsidR="00996BF3" w:rsidRPr="000B6335" w:rsidRDefault="00996BF3" w:rsidP="008524EE">
      <w:bookmarkStart w:id="2" w:name="_Toc121029610"/>
      <w:bookmarkStart w:id="3" w:name="_Toc39148228"/>
      <w:r w:rsidRPr="000B6335">
        <w:t>OBJET DE LA REQUÊTE</w:t>
      </w:r>
      <w:bookmarkEnd w:id="2"/>
      <w:r w:rsidRPr="000B6335">
        <w:t xml:space="preserve"> </w:t>
      </w:r>
    </w:p>
    <w:p w14:paraId="58DF47DF" w14:textId="77777777" w:rsidR="00996BF3" w:rsidRPr="000B6335" w:rsidRDefault="00996BF3" w:rsidP="008524EE">
      <w:pPr>
        <w:rPr>
          <w:rFonts w:ascii="Arial" w:hAnsi="Arial" w:cs="Arial"/>
          <w:lang w:val="en-US"/>
        </w:rPr>
      </w:pPr>
    </w:p>
    <w:p w14:paraId="08D52908" w14:textId="77777777" w:rsidR="00996BF3" w:rsidRPr="000B6335" w:rsidRDefault="00996BF3" w:rsidP="008524EE">
      <w:bookmarkStart w:id="4" w:name="_Toc121029611"/>
      <w:r w:rsidRPr="000B6335">
        <w:t>Faits de la cause</w:t>
      </w:r>
      <w:bookmarkEnd w:id="4"/>
    </w:p>
    <w:p w14:paraId="7493C469" w14:textId="77777777" w:rsidR="00996BF3" w:rsidRPr="000B6335" w:rsidRDefault="00996BF3" w:rsidP="008524EE">
      <w:pPr>
        <w:rPr>
          <w:rFonts w:ascii="Arial" w:hAnsi="Arial" w:cs="Arial"/>
        </w:rPr>
      </w:pPr>
    </w:p>
    <w:p w14:paraId="35828DD2" w14:textId="01FF32C5" w:rsidR="00996BF3" w:rsidRPr="000B6335" w:rsidRDefault="00A01763" w:rsidP="008524EE">
      <w:pPr>
        <w:rPr>
          <w:rFonts w:ascii="Arial" w:hAnsi="Arial" w:cs="Arial"/>
        </w:rPr>
      </w:pPr>
      <w:r w:rsidRPr="000B6335">
        <w:rPr>
          <w:rFonts w:ascii="Arial" w:hAnsi="Arial" w:cs="Arial"/>
        </w:rPr>
        <w:t>La Requête introductive d’instance porte sur une allégation d’interdiction faite, par l’État défendeur, aux filles enceintes de fréquenter les établissements publics d’enseignement primaire et secondaire et d’y être</w:t>
      </w:r>
      <w:r w:rsidR="004A51B0" w:rsidRPr="000B6335">
        <w:rPr>
          <w:rFonts w:ascii="Arial" w:hAnsi="Arial" w:cs="Arial"/>
        </w:rPr>
        <w:t xml:space="preserve"> </w:t>
      </w:r>
      <w:r w:rsidRPr="000B6335">
        <w:rPr>
          <w:rFonts w:ascii="Arial" w:hAnsi="Arial" w:cs="Arial"/>
        </w:rPr>
        <w:t>réadmises même après l’accouchement, ce qui, selon les Requérantes, constitue une violation du droit à l’éducation et du droit à la non-discrimination.</w:t>
      </w:r>
    </w:p>
    <w:p w14:paraId="17ABB157" w14:textId="77777777" w:rsidR="00750A36" w:rsidRPr="000B6335" w:rsidRDefault="00750A36" w:rsidP="008524EE">
      <w:pPr>
        <w:rPr>
          <w:rFonts w:ascii="Arial" w:hAnsi="Arial" w:cs="Arial"/>
        </w:rPr>
      </w:pPr>
    </w:p>
    <w:p w14:paraId="6C878B80" w14:textId="77777777" w:rsidR="00996BF3" w:rsidRPr="000B6335" w:rsidRDefault="00996BF3" w:rsidP="008524EE">
      <w:bookmarkStart w:id="5" w:name="_Toc121029612"/>
      <w:r w:rsidRPr="000B6335">
        <w:t>Violations alléguées</w:t>
      </w:r>
      <w:bookmarkEnd w:id="5"/>
    </w:p>
    <w:p w14:paraId="26FFA204" w14:textId="77777777" w:rsidR="00996BF3" w:rsidRPr="000B6335" w:rsidRDefault="00996BF3" w:rsidP="008524EE">
      <w:pPr>
        <w:rPr>
          <w:rFonts w:ascii="Arial" w:hAnsi="Arial" w:cs="Arial"/>
        </w:rPr>
      </w:pPr>
    </w:p>
    <w:bookmarkEnd w:id="3"/>
    <w:p w14:paraId="37F73850" w14:textId="7039EF67" w:rsidR="00996BF3" w:rsidRPr="000B6335" w:rsidRDefault="00996BF3" w:rsidP="008524EE">
      <w:pPr>
        <w:rPr>
          <w:rFonts w:ascii="Arial" w:hAnsi="Arial" w:cs="Arial"/>
        </w:rPr>
      </w:pPr>
      <w:r w:rsidRPr="000B6335">
        <w:rPr>
          <w:rFonts w:ascii="Arial" w:hAnsi="Arial" w:cs="Arial"/>
        </w:rPr>
        <w:t>Les Requérantes allèguent que l’État défendeur a violé les droits de toutes les filles résidant sur son territoire, notamment :</w:t>
      </w:r>
    </w:p>
    <w:p w14:paraId="22382C22" w14:textId="77777777" w:rsidR="00996BF3" w:rsidRPr="000B6335" w:rsidRDefault="00996BF3" w:rsidP="008524EE">
      <w:pPr>
        <w:rPr>
          <w:rFonts w:ascii="Arial" w:hAnsi="Arial" w:cs="Arial"/>
        </w:rPr>
      </w:pPr>
    </w:p>
    <w:p w14:paraId="3A6863AD" w14:textId="2C969AEE" w:rsidR="00A01763" w:rsidRPr="000B6335" w:rsidRDefault="00A01763" w:rsidP="008524EE">
      <w:pPr>
        <w:rPr>
          <w:rFonts w:ascii="Arial" w:hAnsi="Arial" w:cs="Arial"/>
          <w:bCs/>
          <w:sz w:val="22"/>
          <w:szCs w:val="22"/>
        </w:rPr>
      </w:pPr>
      <w:r w:rsidRPr="000B6335">
        <w:rPr>
          <w:rFonts w:ascii="Arial" w:hAnsi="Arial" w:cs="Arial"/>
          <w:sz w:val="22"/>
        </w:rPr>
        <w:t>Le droit à l’éducation protégé par :</w:t>
      </w:r>
    </w:p>
    <w:p w14:paraId="28C26285" w14:textId="77777777" w:rsidR="00DF0876" w:rsidRPr="000B6335" w:rsidRDefault="00DF0876" w:rsidP="008524EE">
      <w:pPr>
        <w:rPr>
          <w:rFonts w:ascii="Arial" w:hAnsi="Arial" w:cs="Arial"/>
          <w:bCs/>
          <w:sz w:val="22"/>
          <w:szCs w:val="22"/>
        </w:rPr>
      </w:pPr>
    </w:p>
    <w:p w14:paraId="51C4BF1C" w14:textId="2B39243A" w:rsidR="00A01763" w:rsidRPr="000B6335" w:rsidRDefault="00A01763" w:rsidP="008524EE">
      <w:pPr>
        <w:rPr>
          <w:rFonts w:ascii="Arial" w:hAnsi="Arial" w:cs="Arial"/>
          <w:bCs/>
          <w:sz w:val="22"/>
          <w:szCs w:val="22"/>
        </w:rPr>
      </w:pPr>
      <w:r w:rsidRPr="000B6335">
        <w:rPr>
          <w:rFonts w:ascii="Arial" w:hAnsi="Arial" w:cs="Arial"/>
          <w:sz w:val="22"/>
        </w:rPr>
        <w:t xml:space="preserve">Les articles 1 et 17(1) de la Charte ; </w:t>
      </w:r>
    </w:p>
    <w:p w14:paraId="03E47828" w14:textId="49E9D9B5" w:rsidR="00A01763" w:rsidRPr="000B6335" w:rsidRDefault="00A01763" w:rsidP="008524EE">
      <w:pPr>
        <w:rPr>
          <w:rFonts w:ascii="Arial" w:hAnsi="Arial" w:cs="Arial"/>
          <w:bCs/>
          <w:sz w:val="22"/>
          <w:szCs w:val="22"/>
        </w:rPr>
      </w:pPr>
      <w:r w:rsidRPr="000B6335">
        <w:rPr>
          <w:rFonts w:ascii="Arial" w:hAnsi="Arial" w:cs="Arial"/>
          <w:sz w:val="22"/>
        </w:rPr>
        <w:t>L’article 11 de la Charte africaine des droits et du bien-être de l’enfant (ci-après dénommée « la Charte africaine des enfants ») ;</w:t>
      </w:r>
    </w:p>
    <w:p w14:paraId="6EE247FB" w14:textId="7E43F9CF" w:rsidR="00A01763" w:rsidRPr="000B6335" w:rsidRDefault="00A01763" w:rsidP="008524EE">
      <w:pPr>
        <w:rPr>
          <w:rFonts w:ascii="Arial" w:hAnsi="Arial" w:cs="Arial"/>
          <w:bCs/>
          <w:sz w:val="22"/>
          <w:szCs w:val="22"/>
        </w:rPr>
      </w:pPr>
      <w:r w:rsidRPr="000B6335">
        <w:rPr>
          <w:rFonts w:ascii="Arial" w:hAnsi="Arial" w:cs="Arial"/>
          <w:sz w:val="22"/>
        </w:rPr>
        <w:t>L’article 12 du Protocole à la Charte africaine des droits de l’homme et des peuples relatif aux droits de la femme en Afrique (ci-après dénommé « le Protocole de Maputo ») ;</w:t>
      </w:r>
    </w:p>
    <w:p w14:paraId="79F063E3" w14:textId="77777777" w:rsidR="00A01763" w:rsidRPr="000B6335" w:rsidRDefault="00A01763" w:rsidP="008524EE">
      <w:pPr>
        <w:rPr>
          <w:rFonts w:ascii="Arial" w:hAnsi="Arial" w:cs="Arial"/>
          <w:bCs/>
          <w:sz w:val="22"/>
          <w:szCs w:val="22"/>
        </w:rPr>
      </w:pPr>
      <w:r w:rsidRPr="000B6335">
        <w:rPr>
          <w:rFonts w:ascii="Arial" w:hAnsi="Arial" w:cs="Arial"/>
          <w:sz w:val="22"/>
        </w:rPr>
        <w:t>Les articles 13 et 23 de la Charte africaine de la jeunesse ;</w:t>
      </w:r>
    </w:p>
    <w:p w14:paraId="1634F779" w14:textId="77777777" w:rsidR="00A01763" w:rsidRPr="000B6335" w:rsidRDefault="00A01763" w:rsidP="008524EE">
      <w:pPr>
        <w:rPr>
          <w:rFonts w:ascii="Arial" w:hAnsi="Arial" w:cs="Arial"/>
          <w:bCs/>
          <w:sz w:val="22"/>
          <w:szCs w:val="22"/>
        </w:rPr>
      </w:pPr>
      <w:r w:rsidRPr="000B6335">
        <w:rPr>
          <w:rFonts w:ascii="Arial" w:hAnsi="Arial" w:cs="Arial"/>
          <w:sz w:val="22"/>
        </w:rPr>
        <w:t>L’article 10 de la Convention sur l’élimination de toutes les formes de discrimination à l’égard des femmes (ci-après dénommée « CEDAW ») ;</w:t>
      </w:r>
    </w:p>
    <w:p w14:paraId="0906A81D" w14:textId="77777777" w:rsidR="00A01763" w:rsidRPr="000B6335" w:rsidRDefault="00A01763" w:rsidP="008524EE">
      <w:pPr>
        <w:rPr>
          <w:rFonts w:ascii="Arial" w:hAnsi="Arial" w:cs="Arial"/>
          <w:sz w:val="22"/>
          <w:szCs w:val="22"/>
        </w:rPr>
      </w:pPr>
      <w:r w:rsidRPr="000B6335">
        <w:rPr>
          <w:rFonts w:ascii="Arial" w:hAnsi="Arial" w:cs="Arial"/>
          <w:sz w:val="22"/>
        </w:rPr>
        <w:lastRenderedPageBreak/>
        <w:t>Les articles 28 et 29 de la Convention relative aux droits de l’enfant (ci-après dénommée « la CDE ») ;</w:t>
      </w:r>
    </w:p>
    <w:p w14:paraId="5F6C1B21" w14:textId="77777777" w:rsidR="00A01763" w:rsidRPr="000B6335" w:rsidRDefault="00A01763" w:rsidP="008524EE">
      <w:pPr>
        <w:rPr>
          <w:rFonts w:ascii="Arial" w:hAnsi="Arial" w:cs="Arial"/>
          <w:sz w:val="22"/>
          <w:szCs w:val="22"/>
        </w:rPr>
      </w:pPr>
      <w:r w:rsidRPr="000B6335">
        <w:rPr>
          <w:rFonts w:ascii="Arial" w:hAnsi="Arial" w:cs="Arial"/>
          <w:sz w:val="22"/>
        </w:rPr>
        <w:t>L’article 13 du Pacte international relatif aux droits économiques, sociaux et culturels (ci-après dénommé « PIDESC ») ;</w:t>
      </w:r>
    </w:p>
    <w:p w14:paraId="51599C7A" w14:textId="77777777" w:rsidR="00A01763" w:rsidRPr="000B6335" w:rsidRDefault="00A01763" w:rsidP="008524EE">
      <w:pPr>
        <w:rPr>
          <w:rFonts w:ascii="Arial" w:hAnsi="Arial" w:cs="Arial"/>
          <w:sz w:val="22"/>
          <w:szCs w:val="22"/>
        </w:rPr>
      </w:pPr>
      <w:r w:rsidRPr="000B6335">
        <w:rPr>
          <w:rFonts w:ascii="Arial" w:hAnsi="Arial" w:cs="Arial"/>
          <w:sz w:val="22"/>
        </w:rPr>
        <w:t>L’article 18(4) du Pacte international relatif aux droits civils et politiques (ci-après dénommé « PIDCP ») ;</w:t>
      </w:r>
    </w:p>
    <w:p w14:paraId="75D4C5D7" w14:textId="77777777" w:rsidR="00A01763" w:rsidRPr="000B6335" w:rsidRDefault="00A01763" w:rsidP="008524EE">
      <w:pPr>
        <w:rPr>
          <w:rFonts w:ascii="Arial" w:hAnsi="Arial" w:cs="Arial"/>
          <w:sz w:val="22"/>
          <w:szCs w:val="22"/>
        </w:rPr>
      </w:pPr>
      <w:r w:rsidRPr="000B6335">
        <w:rPr>
          <w:rFonts w:ascii="Arial" w:hAnsi="Arial" w:cs="Arial"/>
          <w:sz w:val="22"/>
        </w:rPr>
        <w:t>Les articles 1, 3 et 4 de la Convention de l’Organisation des Nations Unies pour l’'éducation, la science et la culture concernant la lutte contre la discrimination dans le domaine de l’enseignement (ci-après dénommée « la Convention concernant la lutte contre la discrimination dans le domaine de l'enseignement ») ; et</w:t>
      </w:r>
    </w:p>
    <w:p w14:paraId="7EB6BAEB" w14:textId="77777777" w:rsidR="00A01763" w:rsidRPr="000B6335" w:rsidRDefault="00A01763" w:rsidP="008524EE">
      <w:pPr>
        <w:rPr>
          <w:rFonts w:ascii="Arial" w:hAnsi="Arial" w:cs="Arial"/>
          <w:bCs/>
          <w:sz w:val="22"/>
          <w:szCs w:val="22"/>
        </w:rPr>
      </w:pPr>
      <w:r w:rsidRPr="000B6335">
        <w:rPr>
          <w:rFonts w:ascii="Arial" w:hAnsi="Arial" w:cs="Arial"/>
          <w:sz w:val="22"/>
        </w:rPr>
        <w:t>L’article 26 de la Déclaration universelle des droits de l’homme.</w:t>
      </w:r>
    </w:p>
    <w:p w14:paraId="087352E4" w14:textId="77777777" w:rsidR="00A01763" w:rsidRDefault="00A01763" w:rsidP="008524EE">
      <w:pPr>
        <w:rPr>
          <w:rFonts w:ascii="Arial" w:hAnsi="Arial" w:cs="Arial"/>
          <w:bCs/>
          <w:sz w:val="22"/>
          <w:szCs w:val="22"/>
        </w:rPr>
      </w:pPr>
    </w:p>
    <w:p w14:paraId="383CF3AB" w14:textId="77777777" w:rsidR="00D43B9D" w:rsidRPr="000B6335" w:rsidRDefault="00D43B9D" w:rsidP="008524EE">
      <w:pPr>
        <w:rPr>
          <w:rFonts w:ascii="Arial" w:hAnsi="Arial" w:cs="Arial"/>
          <w:bCs/>
          <w:sz w:val="22"/>
          <w:szCs w:val="22"/>
        </w:rPr>
      </w:pPr>
    </w:p>
    <w:p w14:paraId="432DC647" w14:textId="77AF9302" w:rsidR="00A01763" w:rsidRPr="000B6335" w:rsidRDefault="00A01763" w:rsidP="008524EE">
      <w:pPr>
        <w:rPr>
          <w:rFonts w:ascii="Arial" w:hAnsi="Arial" w:cs="Arial"/>
          <w:bCs/>
          <w:sz w:val="22"/>
          <w:szCs w:val="22"/>
        </w:rPr>
      </w:pPr>
      <w:r w:rsidRPr="000B6335">
        <w:rPr>
          <w:rFonts w:ascii="Arial" w:hAnsi="Arial" w:cs="Arial"/>
          <w:sz w:val="22"/>
        </w:rPr>
        <w:t>Le droit à la non-discrimination protégé par :</w:t>
      </w:r>
    </w:p>
    <w:p w14:paraId="4E1C63D7" w14:textId="77777777" w:rsidR="00A01763" w:rsidRPr="000B6335" w:rsidRDefault="00A01763" w:rsidP="008524EE">
      <w:pPr>
        <w:rPr>
          <w:rFonts w:ascii="Arial" w:hAnsi="Arial" w:cs="Arial"/>
          <w:bCs/>
          <w:sz w:val="22"/>
          <w:szCs w:val="22"/>
        </w:rPr>
      </w:pPr>
      <w:r w:rsidRPr="000B6335">
        <w:rPr>
          <w:rFonts w:ascii="Arial" w:hAnsi="Arial" w:cs="Arial"/>
          <w:sz w:val="22"/>
        </w:rPr>
        <w:t>Les articles 1, 2, 17(1) et 18(3) de la Charte ;</w:t>
      </w:r>
    </w:p>
    <w:p w14:paraId="322F04F9" w14:textId="190C159F" w:rsidR="00A01763" w:rsidRPr="000B6335" w:rsidRDefault="00A01763" w:rsidP="008524EE">
      <w:pPr>
        <w:rPr>
          <w:rFonts w:ascii="Arial" w:hAnsi="Arial" w:cs="Arial"/>
          <w:bCs/>
          <w:sz w:val="22"/>
          <w:szCs w:val="22"/>
        </w:rPr>
      </w:pPr>
      <w:r w:rsidRPr="000B6335">
        <w:rPr>
          <w:rFonts w:ascii="Arial" w:hAnsi="Arial" w:cs="Arial"/>
          <w:sz w:val="22"/>
        </w:rPr>
        <w:t>Les articles 1, 3, 4, 11 et 24 de la Charte africaine des enfants ;</w:t>
      </w:r>
    </w:p>
    <w:p w14:paraId="50DEA471" w14:textId="77777777" w:rsidR="00A01763" w:rsidRPr="000B6335" w:rsidRDefault="00A01763" w:rsidP="008524EE">
      <w:pPr>
        <w:rPr>
          <w:rFonts w:ascii="Arial" w:hAnsi="Arial" w:cs="Arial"/>
          <w:bCs/>
          <w:sz w:val="22"/>
          <w:szCs w:val="22"/>
        </w:rPr>
      </w:pPr>
      <w:r w:rsidRPr="000B6335">
        <w:rPr>
          <w:rFonts w:ascii="Arial" w:hAnsi="Arial" w:cs="Arial"/>
          <w:sz w:val="22"/>
        </w:rPr>
        <w:t>Les articles 2 et 12 du Protocole de Maputo ; et</w:t>
      </w:r>
    </w:p>
    <w:p w14:paraId="085750AE" w14:textId="7830D34E" w:rsidR="00A01763" w:rsidRPr="000B6335" w:rsidRDefault="00A01763" w:rsidP="008524EE">
      <w:pPr>
        <w:rPr>
          <w:rFonts w:ascii="Arial" w:hAnsi="Arial" w:cs="Arial"/>
          <w:bCs/>
          <w:sz w:val="22"/>
          <w:szCs w:val="22"/>
        </w:rPr>
      </w:pPr>
      <w:r w:rsidRPr="000B6335">
        <w:rPr>
          <w:rFonts w:ascii="Arial" w:hAnsi="Arial" w:cs="Arial"/>
          <w:sz w:val="22"/>
        </w:rPr>
        <w:t>Les articles 1, 2, 3 et 4 de la Convention concernant la lutte contre la discrimination dans le domaine de l'enseignement.</w:t>
      </w:r>
    </w:p>
    <w:p w14:paraId="042754D8" w14:textId="787AB034" w:rsidR="00750A36" w:rsidRPr="000B6335" w:rsidRDefault="00750A36" w:rsidP="008524EE">
      <w:pPr>
        <w:rPr>
          <w:rFonts w:ascii="Arial" w:hAnsi="Arial" w:cs="Arial"/>
          <w:bCs/>
          <w:sz w:val="22"/>
          <w:szCs w:val="22"/>
        </w:rPr>
      </w:pPr>
    </w:p>
    <w:p w14:paraId="15C6BFE4" w14:textId="77777777" w:rsidR="00F32C9F" w:rsidRPr="000B6335" w:rsidRDefault="00F32C9F" w:rsidP="008524EE">
      <w:pPr>
        <w:rPr>
          <w:rFonts w:ascii="Arial" w:hAnsi="Arial" w:cs="Arial"/>
          <w:bCs/>
          <w:sz w:val="22"/>
          <w:szCs w:val="22"/>
        </w:rPr>
      </w:pPr>
    </w:p>
    <w:p w14:paraId="516E8717" w14:textId="77777777" w:rsidR="00996BF3" w:rsidRPr="000B6335" w:rsidRDefault="00996BF3" w:rsidP="008524EE">
      <w:bookmarkStart w:id="6" w:name="_Toc121029613"/>
      <w:r w:rsidRPr="000B6335">
        <w:t>RÉSUMÉ DE LA PROCÉDURE DEVANT LA COUR DE CÉANS</w:t>
      </w:r>
      <w:bookmarkEnd w:id="6"/>
    </w:p>
    <w:p w14:paraId="18415134" w14:textId="77777777" w:rsidR="00996BF3" w:rsidRPr="000B6335" w:rsidRDefault="00996BF3" w:rsidP="008524EE">
      <w:pPr>
        <w:rPr>
          <w:rFonts w:ascii="Arial" w:hAnsi="Arial" w:cs="Arial"/>
        </w:rPr>
      </w:pPr>
    </w:p>
    <w:p w14:paraId="71C990E8" w14:textId="734F7A2C" w:rsidR="00013403" w:rsidRPr="000B6335" w:rsidRDefault="00541221" w:rsidP="008524EE">
      <w:pPr>
        <w:rPr>
          <w:rFonts w:ascii="Arial" w:hAnsi="Arial" w:cs="Arial"/>
        </w:rPr>
      </w:pPr>
      <w:r w:rsidRPr="000B6335">
        <w:rPr>
          <w:rFonts w:ascii="Arial" w:hAnsi="Arial" w:cs="Arial"/>
        </w:rPr>
        <w:t>La Requête, assortie d’une demande de mesures provisoires, a été reçue au Greffe le 19 novembre 2020.</w:t>
      </w:r>
    </w:p>
    <w:p w14:paraId="58BFBA4E" w14:textId="77777777" w:rsidR="004714CB" w:rsidRPr="000B6335" w:rsidRDefault="004714CB" w:rsidP="008524EE">
      <w:pPr>
        <w:rPr>
          <w:rFonts w:ascii="Arial" w:hAnsi="Arial" w:cs="Arial"/>
        </w:rPr>
      </w:pPr>
    </w:p>
    <w:p w14:paraId="1E14C019" w14:textId="649E7E95" w:rsidR="00040AB6" w:rsidRPr="000B6335" w:rsidRDefault="00040AB6" w:rsidP="008524EE">
      <w:pPr>
        <w:rPr>
          <w:rFonts w:ascii="Arial" w:hAnsi="Arial" w:cs="Arial"/>
        </w:rPr>
      </w:pPr>
      <w:r w:rsidRPr="000B6335">
        <w:rPr>
          <w:rFonts w:ascii="Arial" w:hAnsi="Arial" w:cs="Arial"/>
        </w:rPr>
        <w:t>Le 22 décembre 2020, la Requête introductive d’instance</w:t>
      </w:r>
      <w:r w:rsidR="00310BCC" w:rsidRPr="000B6335">
        <w:rPr>
          <w:rFonts w:ascii="Arial" w:hAnsi="Arial" w:cs="Arial"/>
        </w:rPr>
        <w:t xml:space="preserve"> ainsi que la</w:t>
      </w:r>
      <w:r w:rsidRPr="000B6335">
        <w:rPr>
          <w:rFonts w:ascii="Arial" w:hAnsi="Arial" w:cs="Arial"/>
        </w:rPr>
        <w:t xml:space="preserve"> demande de mesures provisoires et de</w:t>
      </w:r>
      <w:r w:rsidR="00310BCC" w:rsidRPr="000B6335">
        <w:rPr>
          <w:rFonts w:ascii="Arial" w:hAnsi="Arial" w:cs="Arial"/>
        </w:rPr>
        <w:t>s</w:t>
      </w:r>
      <w:r w:rsidRPr="000B6335">
        <w:rPr>
          <w:rFonts w:ascii="Arial" w:hAnsi="Arial" w:cs="Arial"/>
        </w:rPr>
        <w:t xml:space="preserve"> documents probatoires</w:t>
      </w:r>
      <w:r w:rsidR="00310BCC" w:rsidRPr="000B6335">
        <w:rPr>
          <w:rFonts w:ascii="Arial" w:hAnsi="Arial" w:cs="Arial"/>
        </w:rPr>
        <w:t xml:space="preserve"> additionnels ont </w:t>
      </w:r>
      <w:r w:rsidRPr="000B6335">
        <w:rPr>
          <w:rFonts w:ascii="Arial" w:hAnsi="Arial" w:cs="Arial"/>
        </w:rPr>
        <w:t>été notifié</w:t>
      </w:r>
      <w:r w:rsidR="00310BCC" w:rsidRPr="000B6335">
        <w:rPr>
          <w:rFonts w:ascii="Arial" w:hAnsi="Arial" w:cs="Arial"/>
        </w:rPr>
        <w:t>s</w:t>
      </w:r>
      <w:r w:rsidRPr="000B6335">
        <w:rPr>
          <w:rFonts w:ascii="Arial" w:hAnsi="Arial" w:cs="Arial"/>
        </w:rPr>
        <w:t xml:space="preserve"> à l’État défendeur. </w:t>
      </w:r>
    </w:p>
    <w:p w14:paraId="1A7F3EA9" w14:textId="77777777" w:rsidR="0024774B" w:rsidRPr="000B6335" w:rsidRDefault="0024774B" w:rsidP="008524EE">
      <w:pPr>
        <w:rPr>
          <w:rFonts w:ascii="Arial" w:hAnsi="Arial" w:cs="Arial"/>
        </w:rPr>
      </w:pPr>
    </w:p>
    <w:p w14:paraId="3A76951B" w14:textId="2528449F" w:rsidR="008D137B" w:rsidRPr="000B6335" w:rsidRDefault="008D137B" w:rsidP="008524EE">
      <w:pPr>
        <w:rPr>
          <w:rFonts w:ascii="Arial" w:hAnsi="Arial" w:cs="Arial"/>
        </w:rPr>
      </w:pPr>
      <w:r w:rsidRPr="000B6335">
        <w:rPr>
          <w:rFonts w:ascii="Arial" w:hAnsi="Arial" w:cs="Arial"/>
        </w:rPr>
        <w:t xml:space="preserve">Le 23 avril 2021, le Greffe a adressé un courrier au Comité africain d’experts des droits et du bien-être de l’enfant (ci-après dénommé « le CAEDBE ») ainsi qu’à la Commission africaine afin d’obtenir la confirmation que l’objet de la présente Requête </w:t>
      </w:r>
      <w:r w:rsidR="00310BCC" w:rsidRPr="000B6335">
        <w:rPr>
          <w:rFonts w:ascii="Arial" w:hAnsi="Arial" w:cs="Arial"/>
        </w:rPr>
        <w:t>se rapporte à une question</w:t>
      </w:r>
      <w:r w:rsidRPr="000B6335">
        <w:rPr>
          <w:rFonts w:ascii="Arial" w:hAnsi="Arial" w:cs="Arial"/>
        </w:rPr>
        <w:t xml:space="preserve"> </w:t>
      </w:r>
      <w:r w:rsidR="006B0E2B" w:rsidRPr="000B6335">
        <w:rPr>
          <w:rFonts w:ascii="Arial" w:hAnsi="Arial" w:cs="Arial"/>
        </w:rPr>
        <w:t>dont il a été saisi.</w:t>
      </w:r>
      <w:r w:rsidRPr="000B6335">
        <w:rPr>
          <w:rFonts w:ascii="Arial" w:hAnsi="Arial" w:cs="Arial"/>
        </w:rPr>
        <w:t xml:space="preserve"> Dans le même courrier la Cour a demandé si le CAEDBE ou la Commission serait intéressé à intervenir, directement ou à travers l’un de leurs mécanismes, en qualité d’</w:t>
      </w:r>
      <w:r w:rsidRPr="000B6335">
        <w:rPr>
          <w:rFonts w:ascii="Arial" w:hAnsi="Arial" w:cs="Arial"/>
          <w:i/>
          <w:iCs/>
        </w:rPr>
        <w:t xml:space="preserve">amicus curiae </w:t>
      </w:r>
      <w:r w:rsidRPr="000B6335">
        <w:rPr>
          <w:rFonts w:ascii="Arial" w:hAnsi="Arial" w:cs="Arial"/>
        </w:rPr>
        <w:t>dans la présente affaire.</w:t>
      </w:r>
    </w:p>
    <w:p w14:paraId="305C5078" w14:textId="77777777" w:rsidR="008D137B" w:rsidRPr="000B6335" w:rsidRDefault="008D137B" w:rsidP="008524EE">
      <w:pPr>
        <w:rPr>
          <w:rFonts w:ascii="Arial" w:hAnsi="Arial" w:cs="Arial"/>
        </w:rPr>
      </w:pPr>
    </w:p>
    <w:p w14:paraId="777E9E2F" w14:textId="1E51709F" w:rsidR="00E83420" w:rsidRPr="000B6335" w:rsidRDefault="003E05EB" w:rsidP="008524EE">
      <w:pPr>
        <w:rPr>
          <w:rFonts w:ascii="Arial" w:hAnsi="Arial" w:cs="Arial"/>
        </w:rPr>
      </w:pPr>
      <w:r w:rsidRPr="000B6335">
        <w:rPr>
          <w:rFonts w:ascii="Arial" w:hAnsi="Arial" w:cs="Arial"/>
        </w:rPr>
        <w:t>Le 29 juillet 2021, le CAEDBE a informé la Cour qu’il avait reçu une communication similaire à la présente Requête, mais qu’il ne l’avait pas encore tranchée. Le CAEDBE a, en outre, informé la Cour qu’il avait déjà déclaré ladite communication recevable et notifié aux requérants et à l’État défendeur qu’il entendait incessamment tenir une audience sur l’affaire lors de sa session prévue au mois de novembre 2021. L’audience qui avait été programmée pour la 37</w:t>
      </w:r>
      <w:r w:rsidRPr="000B6335">
        <w:rPr>
          <w:rFonts w:ascii="Arial" w:hAnsi="Arial" w:cs="Arial"/>
          <w:vertAlign w:val="superscript"/>
        </w:rPr>
        <w:t>e</w:t>
      </w:r>
      <w:r w:rsidRPr="000B6335">
        <w:rPr>
          <w:rFonts w:ascii="Arial" w:hAnsi="Arial" w:cs="Arial"/>
        </w:rPr>
        <w:t xml:space="preserve"> Session du CAEDBE, a été reportée à la 38</w:t>
      </w:r>
      <w:r w:rsidRPr="000B6335">
        <w:rPr>
          <w:rFonts w:ascii="Arial" w:hAnsi="Arial" w:cs="Arial"/>
          <w:vertAlign w:val="superscript"/>
        </w:rPr>
        <w:t>e</w:t>
      </w:r>
      <w:r w:rsidRPr="000B6335">
        <w:rPr>
          <w:rFonts w:ascii="Arial" w:hAnsi="Arial" w:cs="Arial"/>
        </w:rPr>
        <w:t xml:space="preserve"> Session en raison du décès subi du président de l’État défendeur dans la même semaine où elle était censée se tenir. Le CAEDBE a également informé la Cour de sa décision de ne pas intervenir en qualité d’</w:t>
      </w:r>
      <w:r w:rsidRPr="000B6335">
        <w:rPr>
          <w:rFonts w:ascii="Arial" w:hAnsi="Arial" w:cs="Arial"/>
          <w:i/>
          <w:iCs/>
        </w:rPr>
        <w:t>amicus curiae</w:t>
      </w:r>
      <w:r w:rsidRPr="000B6335">
        <w:rPr>
          <w:rFonts w:ascii="Arial" w:hAnsi="Arial" w:cs="Arial"/>
        </w:rPr>
        <w:t xml:space="preserve"> étant donné qu’il examinait déjà l’affaire dans le cadre de sa compétence.</w:t>
      </w:r>
    </w:p>
    <w:p w14:paraId="675A9761" w14:textId="77777777" w:rsidR="00B935BE" w:rsidRPr="000B6335" w:rsidRDefault="00B935BE" w:rsidP="008524EE">
      <w:pPr>
        <w:rPr>
          <w:rFonts w:ascii="Arial" w:hAnsi="Arial" w:cs="Arial"/>
        </w:rPr>
      </w:pPr>
    </w:p>
    <w:p w14:paraId="3FB8FED3" w14:textId="3CF8A29C" w:rsidR="008D137B" w:rsidRPr="000B6335" w:rsidRDefault="00E83420" w:rsidP="008524EE">
      <w:pPr>
        <w:rPr>
          <w:rFonts w:ascii="Arial" w:hAnsi="Arial" w:cs="Arial"/>
        </w:rPr>
      </w:pPr>
      <w:r w:rsidRPr="000B6335">
        <w:rPr>
          <w:rFonts w:ascii="Arial" w:hAnsi="Arial" w:cs="Arial"/>
        </w:rPr>
        <w:t xml:space="preserve">La Commission </w:t>
      </w:r>
      <w:r w:rsidR="00142382" w:rsidRPr="000B6335">
        <w:rPr>
          <w:rFonts w:ascii="Arial" w:hAnsi="Arial" w:cs="Arial"/>
        </w:rPr>
        <w:t xml:space="preserve">africaine </w:t>
      </w:r>
      <w:r w:rsidRPr="000B6335">
        <w:rPr>
          <w:rFonts w:ascii="Arial" w:hAnsi="Arial" w:cs="Arial"/>
        </w:rPr>
        <w:t xml:space="preserve">n’a pas donné suite à la demande de la Cour. </w:t>
      </w:r>
    </w:p>
    <w:p w14:paraId="68B79BCF" w14:textId="77777777" w:rsidR="008D137B" w:rsidRPr="000B6335" w:rsidRDefault="008D137B" w:rsidP="008524EE">
      <w:pPr>
        <w:rPr>
          <w:rFonts w:ascii="Arial" w:hAnsi="Arial" w:cs="Arial"/>
        </w:rPr>
      </w:pPr>
    </w:p>
    <w:p w14:paraId="0F249860" w14:textId="1B296895" w:rsidR="008D137B" w:rsidRPr="000B6335" w:rsidRDefault="008D137B" w:rsidP="008524EE">
      <w:pPr>
        <w:rPr>
          <w:rFonts w:ascii="Arial" w:hAnsi="Arial" w:cs="Arial"/>
        </w:rPr>
      </w:pPr>
      <w:r w:rsidRPr="000B6335">
        <w:rPr>
          <w:rFonts w:ascii="Arial" w:hAnsi="Arial" w:cs="Arial"/>
        </w:rPr>
        <w:lastRenderedPageBreak/>
        <w:t xml:space="preserve">Le 24 septembre 2021, la Cour a adressé un courrier au Greffier de la Cour de justice de l’Afrique de l’Est à l’effet d’obtenir confirmation que la présente Requête était liée à une affaire qui a été </w:t>
      </w:r>
      <w:r w:rsidR="00D54C40" w:rsidRPr="000B6335">
        <w:rPr>
          <w:rFonts w:ascii="Arial" w:hAnsi="Arial" w:cs="Arial"/>
        </w:rPr>
        <w:t>introduite devant</w:t>
      </w:r>
      <w:r w:rsidRPr="000B6335">
        <w:rPr>
          <w:rFonts w:ascii="Arial" w:hAnsi="Arial" w:cs="Arial"/>
        </w:rPr>
        <w:t xml:space="preserve"> ladite </w:t>
      </w:r>
      <w:r w:rsidR="005B1D57" w:rsidRPr="000B6335">
        <w:rPr>
          <w:rFonts w:ascii="Arial" w:hAnsi="Arial" w:cs="Arial"/>
        </w:rPr>
        <w:t>Cour.</w:t>
      </w:r>
    </w:p>
    <w:p w14:paraId="1190A5F2" w14:textId="77777777" w:rsidR="008D137B" w:rsidRPr="000B6335" w:rsidRDefault="008D137B" w:rsidP="008524EE">
      <w:pPr>
        <w:rPr>
          <w:rFonts w:ascii="Arial" w:hAnsi="Arial" w:cs="Arial"/>
        </w:rPr>
      </w:pPr>
    </w:p>
    <w:p w14:paraId="00E02861" w14:textId="4C4C9F93" w:rsidR="003E05EB" w:rsidRPr="000B6335" w:rsidRDefault="003E05EB" w:rsidP="008524EE">
      <w:pPr>
        <w:rPr>
          <w:rFonts w:ascii="Arial" w:hAnsi="Arial" w:cs="Arial"/>
        </w:rPr>
      </w:pPr>
      <w:r w:rsidRPr="000B6335">
        <w:rPr>
          <w:rFonts w:ascii="Arial" w:hAnsi="Arial" w:cs="Arial"/>
        </w:rPr>
        <w:t>Le 4 octobre 2021, le Greffier de la Cour de justice de l’Afrique de l’Est a informé la Cour que la Cour de justice de l’Afrique de l’Est a été saisie d’un</w:t>
      </w:r>
      <w:r w:rsidR="00D54C40" w:rsidRPr="000B6335">
        <w:rPr>
          <w:rFonts w:ascii="Arial" w:hAnsi="Arial" w:cs="Arial"/>
        </w:rPr>
        <w:t>e</w:t>
      </w:r>
      <w:r w:rsidRPr="000B6335">
        <w:rPr>
          <w:rFonts w:ascii="Arial" w:hAnsi="Arial" w:cs="Arial"/>
        </w:rPr>
        <w:t xml:space="preserve"> </w:t>
      </w:r>
      <w:r w:rsidR="00D54C40" w:rsidRPr="000B6335">
        <w:rPr>
          <w:rFonts w:ascii="Arial" w:hAnsi="Arial" w:cs="Arial"/>
        </w:rPr>
        <w:t>affaire portant</w:t>
      </w:r>
      <w:r w:rsidRPr="000B6335">
        <w:rPr>
          <w:rFonts w:ascii="Arial" w:hAnsi="Arial" w:cs="Arial"/>
        </w:rPr>
        <w:t xml:space="preserve"> sur la même question exposée par la présente Requête, à savoir l’expulsion de jeunes filles enceintes sur la base du Règlement sur l’éducation (expulsion et exclusion des élèves des écoles), lequel est toujours pendant.</w:t>
      </w:r>
    </w:p>
    <w:p w14:paraId="340F8941" w14:textId="77777777" w:rsidR="003E05EB" w:rsidRPr="000B6335" w:rsidRDefault="003E05EB" w:rsidP="008524EE">
      <w:pPr>
        <w:rPr>
          <w:rFonts w:ascii="Arial" w:hAnsi="Arial" w:cs="Arial"/>
        </w:rPr>
      </w:pPr>
    </w:p>
    <w:p w14:paraId="4D08AC5D" w14:textId="2EDC3ED9" w:rsidR="00541221" w:rsidRPr="000B6335" w:rsidRDefault="00541221" w:rsidP="008524EE">
      <w:pPr>
        <w:rPr>
          <w:rFonts w:ascii="Arial" w:hAnsi="Arial" w:cs="Arial"/>
        </w:rPr>
      </w:pPr>
      <w:r w:rsidRPr="000B6335">
        <w:rPr>
          <w:rFonts w:ascii="Arial" w:hAnsi="Arial" w:cs="Arial"/>
        </w:rPr>
        <w:t>La 29 novembre 2021, la Cour a décidé d’examiner la demande de mesures provisoires en même temps que le fond de la Requête.</w:t>
      </w:r>
    </w:p>
    <w:p w14:paraId="61E39635" w14:textId="77777777" w:rsidR="00270C7F" w:rsidRPr="000B6335" w:rsidRDefault="00270C7F" w:rsidP="008524EE">
      <w:pPr>
        <w:rPr>
          <w:rFonts w:ascii="Arial" w:hAnsi="Arial" w:cs="Arial"/>
        </w:rPr>
      </w:pPr>
    </w:p>
    <w:p w14:paraId="448EE4BA" w14:textId="6D39D7A4" w:rsidR="00270C7F" w:rsidRPr="000B6335" w:rsidRDefault="00270C7F" w:rsidP="008524EE">
      <w:pPr>
        <w:rPr>
          <w:rFonts w:ascii="Arial" w:hAnsi="Arial" w:cs="Arial"/>
        </w:rPr>
      </w:pPr>
      <w:r w:rsidRPr="000B6335">
        <w:rPr>
          <w:rFonts w:ascii="Arial" w:hAnsi="Arial" w:cs="Arial"/>
        </w:rPr>
        <w:t>Le 21 février 2022, la Cour a demandé à l’État défendeur de l’informer des développements récents qui seraient éventuellement intervenus concernant cette affaire depuis qu’il a soumis sa réponse.</w:t>
      </w:r>
    </w:p>
    <w:p w14:paraId="6857EAA8" w14:textId="77777777" w:rsidR="00270C7F" w:rsidRPr="000B6335" w:rsidRDefault="00270C7F" w:rsidP="008524EE">
      <w:pPr>
        <w:rPr>
          <w:rFonts w:ascii="Arial" w:hAnsi="Arial" w:cs="Arial"/>
        </w:rPr>
      </w:pPr>
    </w:p>
    <w:p w14:paraId="149C15D0" w14:textId="37EFB6DF" w:rsidR="00270C7F" w:rsidRPr="000B6335" w:rsidRDefault="00270C7F" w:rsidP="008524EE">
      <w:pPr>
        <w:rPr>
          <w:rFonts w:ascii="Arial" w:hAnsi="Arial" w:cs="Arial"/>
        </w:rPr>
      </w:pPr>
      <w:r w:rsidRPr="000B6335">
        <w:rPr>
          <w:rFonts w:ascii="Arial" w:hAnsi="Arial" w:cs="Arial"/>
        </w:rPr>
        <w:t xml:space="preserve">Le 22 juillet 2022, l’État défendeur a déposé des observations sur les mesures qu’il a prises pour remédier aux problèmes soulevés par les Requérantes </w:t>
      </w:r>
      <w:r w:rsidR="005B1D57" w:rsidRPr="000B6335">
        <w:rPr>
          <w:rFonts w:ascii="Arial" w:hAnsi="Arial" w:cs="Arial"/>
        </w:rPr>
        <w:t>en l’espèce</w:t>
      </w:r>
      <w:r w:rsidRPr="000B6335">
        <w:rPr>
          <w:rFonts w:ascii="Arial" w:hAnsi="Arial" w:cs="Arial"/>
        </w:rPr>
        <w:t xml:space="preserve">. </w:t>
      </w:r>
    </w:p>
    <w:p w14:paraId="5950F6E2" w14:textId="77777777" w:rsidR="002A3B7B" w:rsidRPr="000B6335" w:rsidRDefault="002A3B7B" w:rsidP="008524EE">
      <w:pPr>
        <w:rPr>
          <w:rFonts w:ascii="Arial" w:hAnsi="Arial" w:cs="Arial"/>
        </w:rPr>
      </w:pPr>
    </w:p>
    <w:p w14:paraId="7C73423F" w14:textId="0C12B14C" w:rsidR="00AF5ED5" w:rsidRPr="000B6335" w:rsidRDefault="00AF5ED5" w:rsidP="008524EE">
      <w:pPr>
        <w:rPr>
          <w:rFonts w:ascii="Arial" w:hAnsi="Arial" w:cs="Arial"/>
        </w:rPr>
      </w:pPr>
      <w:r w:rsidRPr="000B6335">
        <w:rPr>
          <w:rFonts w:ascii="Arial" w:hAnsi="Arial" w:cs="Arial"/>
        </w:rPr>
        <w:t>Les Parties ont soumis leurs observations dans les délais fixés par la Cour.</w:t>
      </w:r>
    </w:p>
    <w:p w14:paraId="4A214617" w14:textId="77777777" w:rsidR="002A3B7B" w:rsidRPr="000B6335" w:rsidRDefault="002A3B7B" w:rsidP="008524EE">
      <w:pPr>
        <w:rPr>
          <w:rFonts w:ascii="Arial" w:hAnsi="Arial" w:cs="Arial"/>
        </w:rPr>
      </w:pPr>
    </w:p>
    <w:p w14:paraId="48A33BA9" w14:textId="046C3C1E" w:rsidR="00DB3162" w:rsidRPr="000B6335" w:rsidRDefault="00DB3162" w:rsidP="008524EE">
      <w:pPr>
        <w:rPr>
          <w:rFonts w:ascii="Arial" w:hAnsi="Arial" w:cs="Arial"/>
        </w:rPr>
      </w:pPr>
      <w:r w:rsidRPr="000B6335">
        <w:rPr>
          <w:rFonts w:ascii="Arial" w:hAnsi="Arial" w:cs="Arial"/>
        </w:rPr>
        <w:t xml:space="preserve">Le 16 septembre 2022, le CAEDBE a transmis à la Cour sa décision dans la Communication n° 0012/Com/001/2019 dans l’affaire opposant </w:t>
      </w:r>
      <w:r w:rsidRPr="000B6335">
        <w:rPr>
          <w:rFonts w:ascii="Arial" w:hAnsi="Arial" w:cs="Arial"/>
          <w:i/>
          <w:iCs/>
        </w:rPr>
        <w:t>Legal and Human Rights Centre</w:t>
      </w:r>
      <w:r w:rsidRPr="000B6335">
        <w:rPr>
          <w:rFonts w:ascii="Arial" w:hAnsi="Arial" w:cs="Arial"/>
        </w:rPr>
        <w:t xml:space="preserve"> et </w:t>
      </w:r>
      <w:r w:rsidRPr="000B6335">
        <w:rPr>
          <w:rFonts w:ascii="Arial" w:hAnsi="Arial" w:cs="Arial"/>
          <w:i/>
          <w:iCs/>
        </w:rPr>
        <w:t>Centre for Reproductive Rights</w:t>
      </w:r>
      <w:r w:rsidRPr="000B6335">
        <w:rPr>
          <w:rFonts w:ascii="Arial" w:hAnsi="Arial" w:cs="Arial"/>
        </w:rPr>
        <w:t xml:space="preserve"> (au nom de jeunes filles tanzaniennes) à la République-Unie de Tanzanie, sur la question de l’expulsion des jeunes filles enceintes et des jeunes mères des établissements scolaires de l’État défendeur, laquelle a été rendue lors de sa 39</w:t>
      </w:r>
      <w:r w:rsidRPr="000B6335">
        <w:rPr>
          <w:rFonts w:ascii="Arial" w:hAnsi="Arial" w:cs="Arial"/>
          <w:vertAlign w:val="superscript"/>
        </w:rPr>
        <w:t>e</w:t>
      </w:r>
      <w:r w:rsidRPr="000B6335">
        <w:rPr>
          <w:rFonts w:ascii="Arial" w:hAnsi="Arial" w:cs="Arial"/>
        </w:rPr>
        <w:t xml:space="preserve"> </w:t>
      </w:r>
      <w:r w:rsidR="005B1D57" w:rsidRPr="000B6335">
        <w:rPr>
          <w:rFonts w:ascii="Arial" w:hAnsi="Arial" w:cs="Arial"/>
        </w:rPr>
        <w:t>s</w:t>
      </w:r>
      <w:r w:rsidRPr="000B6335">
        <w:rPr>
          <w:rFonts w:ascii="Arial" w:hAnsi="Arial" w:cs="Arial"/>
        </w:rPr>
        <w:t>ession tenue du 21 mars au 1</w:t>
      </w:r>
      <w:r w:rsidRPr="000B6335">
        <w:rPr>
          <w:rFonts w:ascii="Arial" w:hAnsi="Arial" w:cs="Arial"/>
          <w:vertAlign w:val="superscript"/>
        </w:rPr>
        <w:t>er</w:t>
      </w:r>
      <w:r w:rsidRPr="000B6335">
        <w:rPr>
          <w:rFonts w:ascii="Arial" w:hAnsi="Arial" w:cs="Arial"/>
        </w:rPr>
        <w:t xml:space="preserve"> avril 2022.</w:t>
      </w:r>
    </w:p>
    <w:p w14:paraId="0BC1D693" w14:textId="77777777" w:rsidR="00DB3162" w:rsidRPr="000B6335" w:rsidRDefault="00DB3162" w:rsidP="008524EE">
      <w:pPr>
        <w:rPr>
          <w:rFonts w:ascii="Arial" w:hAnsi="Arial" w:cs="Arial"/>
        </w:rPr>
      </w:pPr>
    </w:p>
    <w:p w14:paraId="39E1DAE8" w14:textId="15650237" w:rsidR="00541221" w:rsidRPr="000B6335" w:rsidRDefault="009E71B1" w:rsidP="008524EE">
      <w:pPr>
        <w:rPr>
          <w:rFonts w:ascii="Arial" w:hAnsi="Arial" w:cs="Arial"/>
        </w:rPr>
      </w:pPr>
      <w:r w:rsidRPr="000B6335">
        <w:rPr>
          <w:rFonts w:ascii="Arial" w:hAnsi="Arial" w:cs="Arial"/>
        </w:rPr>
        <w:t>Dans le cadre de la procédure, sept (7) organisations ont déposé des mémoires d’</w:t>
      </w:r>
      <w:r w:rsidRPr="000B6335">
        <w:rPr>
          <w:rFonts w:ascii="Arial" w:hAnsi="Arial" w:cs="Arial"/>
          <w:i/>
          <w:iCs/>
        </w:rPr>
        <w:t>amicus curiae</w:t>
      </w:r>
      <w:r w:rsidRPr="000B6335">
        <w:rPr>
          <w:rFonts w:ascii="Arial" w:hAnsi="Arial" w:cs="Arial"/>
        </w:rPr>
        <w:t xml:space="preserve"> qui ont été dûment communiqués aux Parties. Il s’agit de : (i) la Commission tanzanienne des droits de l’homme et de la bonne gouvernance ; (ii) Amnesty International ; (iii) l’UNESCO ; (iv) l’Association des femmes juristes de Tanzanie (TAWLA) ; (v.) l’Initiative Msichana ; (vi) la Fondation Clooney pour la justice ; et (vii) </w:t>
      </w:r>
      <w:r w:rsidRPr="000B6335">
        <w:rPr>
          <w:rFonts w:ascii="Arial" w:hAnsi="Arial" w:cs="Arial"/>
          <w:i/>
          <w:iCs/>
        </w:rPr>
        <w:t>Initiative for Strategic Litigation in Africa</w:t>
      </w:r>
      <w:r w:rsidRPr="000B6335">
        <w:rPr>
          <w:rFonts w:ascii="Arial" w:hAnsi="Arial" w:cs="Arial"/>
        </w:rPr>
        <w:t xml:space="preserve"> (ISLA), </w:t>
      </w:r>
      <w:r w:rsidRPr="000B6335">
        <w:rPr>
          <w:rFonts w:ascii="Arial" w:hAnsi="Arial" w:cs="Arial"/>
          <w:i/>
          <w:iCs/>
        </w:rPr>
        <w:t>Human Rights Watch</w:t>
      </w:r>
      <w:r w:rsidRPr="000B6335">
        <w:rPr>
          <w:rFonts w:ascii="Arial" w:hAnsi="Arial" w:cs="Arial"/>
        </w:rPr>
        <w:t xml:space="preserve"> (HRW) et </w:t>
      </w:r>
      <w:r w:rsidRPr="000B6335">
        <w:rPr>
          <w:rFonts w:ascii="Arial" w:hAnsi="Arial" w:cs="Arial"/>
          <w:i/>
          <w:iCs/>
        </w:rPr>
        <w:t>Women's Link Worldwide</w:t>
      </w:r>
      <w:r w:rsidRPr="000B6335">
        <w:rPr>
          <w:rFonts w:ascii="Arial" w:hAnsi="Arial" w:cs="Arial"/>
        </w:rPr>
        <w:t xml:space="preserve"> qui ont soumis des observations conjointes.</w:t>
      </w:r>
    </w:p>
    <w:p w14:paraId="3387A349" w14:textId="2BC5C6A4" w:rsidR="00715235" w:rsidRPr="000B6335" w:rsidRDefault="00715235" w:rsidP="008524EE">
      <w:pPr>
        <w:rPr>
          <w:rFonts w:ascii="Arial" w:hAnsi="Arial" w:cs="Arial"/>
        </w:rPr>
      </w:pPr>
    </w:p>
    <w:p w14:paraId="23E97DC8" w14:textId="6FBAC7B8" w:rsidR="00996BF3" w:rsidRPr="000B6335" w:rsidRDefault="00996BF3" w:rsidP="008524EE">
      <w:pPr>
        <w:rPr>
          <w:rFonts w:ascii="Arial" w:hAnsi="Arial" w:cs="Arial"/>
        </w:rPr>
      </w:pPr>
      <w:r w:rsidRPr="000B6335">
        <w:rPr>
          <w:rFonts w:ascii="Arial" w:hAnsi="Arial" w:cs="Arial"/>
        </w:rPr>
        <w:t>Les débats ont été clos le 22 septembre 2022 et les Parties en ont été dûment notifiées.</w:t>
      </w:r>
    </w:p>
    <w:p w14:paraId="41807275" w14:textId="3FA74CD1" w:rsidR="00346F48" w:rsidRPr="000B6335" w:rsidRDefault="00346F48" w:rsidP="008524EE">
      <w:pPr>
        <w:rPr>
          <w:rFonts w:ascii="Arial" w:hAnsi="Arial" w:cs="Arial"/>
        </w:rPr>
      </w:pPr>
    </w:p>
    <w:p w14:paraId="103ACE5D" w14:textId="77777777" w:rsidR="005426D7" w:rsidRPr="000B6335" w:rsidRDefault="005426D7" w:rsidP="008524EE">
      <w:pPr>
        <w:rPr>
          <w:rFonts w:ascii="Arial" w:hAnsi="Arial" w:cs="Arial"/>
        </w:rPr>
      </w:pPr>
    </w:p>
    <w:p w14:paraId="120EFB0C" w14:textId="77777777" w:rsidR="00996BF3" w:rsidRPr="000B6335" w:rsidRDefault="00996BF3" w:rsidP="008524EE">
      <w:bookmarkStart w:id="7" w:name="_Toc39148230"/>
      <w:bookmarkStart w:id="8" w:name="_Toc121029614"/>
      <w:r w:rsidRPr="000B6335">
        <w:t>DEMANDES DES PARTIES</w:t>
      </w:r>
      <w:bookmarkEnd w:id="7"/>
      <w:bookmarkEnd w:id="8"/>
    </w:p>
    <w:p w14:paraId="63C1B20E" w14:textId="77777777" w:rsidR="00996BF3" w:rsidRPr="000B6335" w:rsidRDefault="00996BF3" w:rsidP="008524EE">
      <w:pPr>
        <w:rPr>
          <w:rFonts w:ascii="Arial" w:hAnsi="Arial" w:cs="Arial"/>
        </w:rPr>
      </w:pPr>
    </w:p>
    <w:p w14:paraId="6E5888DC" w14:textId="33967978" w:rsidR="00774E86" w:rsidRPr="000B6335" w:rsidRDefault="00774E86" w:rsidP="008524EE">
      <w:pPr>
        <w:rPr>
          <w:rFonts w:ascii="Arial" w:hAnsi="Arial" w:cs="Arial"/>
        </w:rPr>
      </w:pPr>
      <w:r w:rsidRPr="000B6335">
        <w:rPr>
          <w:rFonts w:ascii="Arial" w:hAnsi="Arial" w:cs="Arial"/>
        </w:rPr>
        <w:t>Les Requérantes demandent à la Cour de se prononcer comme suit :</w:t>
      </w:r>
    </w:p>
    <w:p w14:paraId="2EBEB47B" w14:textId="77777777" w:rsidR="00774E86" w:rsidRPr="000B6335" w:rsidRDefault="00774E86" w:rsidP="008524EE">
      <w:pPr>
        <w:rPr>
          <w:rFonts w:ascii="Arial" w:hAnsi="Arial" w:cs="Arial"/>
        </w:rPr>
      </w:pPr>
    </w:p>
    <w:p w14:paraId="4351D676" w14:textId="77777777" w:rsidR="00774E86" w:rsidRPr="000B6335" w:rsidRDefault="00774E86" w:rsidP="008524EE">
      <w:pPr>
        <w:rPr>
          <w:rFonts w:ascii="Arial" w:hAnsi="Arial" w:cs="Arial"/>
          <w:sz w:val="22"/>
          <w:szCs w:val="22"/>
        </w:rPr>
      </w:pPr>
      <w:r w:rsidRPr="000B6335">
        <w:rPr>
          <w:rFonts w:ascii="Arial" w:hAnsi="Arial" w:cs="Arial"/>
          <w:sz w:val="22"/>
        </w:rPr>
        <w:t>Dire que l’expulsion et l’exclusion des filles enceintes et des mères adolescentes de l’accès à l’enseignement public dans l’État défendeur violent leur droit à l’éducation.</w:t>
      </w:r>
    </w:p>
    <w:p w14:paraId="359D4715" w14:textId="77777777" w:rsidR="00774E86" w:rsidRPr="000B6335" w:rsidRDefault="00774E86" w:rsidP="008524EE">
      <w:pPr>
        <w:rPr>
          <w:rFonts w:ascii="Arial" w:hAnsi="Arial" w:cs="Arial"/>
          <w:sz w:val="22"/>
          <w:szCs w:val="22"/>
        </w:rPr>
      </w:pPr>
      <w:r w:rsidRPr="000B6335">
        <w:rPr>
          <w:rFonts w:ascii="Arial" w:hAnsi="Arial" w:cs="Arial"/>
          <w:sz w:val="22"/>
        </w:rPr>
        <w:t xml:space="preserve">Dire que la politique actuelle mise en œuvre par l’État défendeur en interdisant aux filles enceintes et aux adolescentes de fréquenter l’école, tant dans la politique écrite que dans les </w:t>
      </w:r>
      <w:r w:rsidRPr="000B6335">
        <w:rPr>
          <w:rFonts w:ascii="Arial" w:hAnsi="Arial" w:cs="Arial"/>
          <w:sz w:val="22"/>
        </w:rPr>
        <w:lastRenderedPageBreak/>
        <w:t>déclarations de l’État, est, on ne peut plus, illégale, discriminatoire, ne sert pas l’intérêt supérieur de l’enfant et viole leur droit à la non-discrimination.</w:t>
      </w:r>
    </w:p>
    <w:p w14:paraId="6DBCBEC7" w14:textId="77777777" w:rsidR="00774E86" w:rsidRPr="000B6335" w:rsidRDefault="00774E86" w:rsidP="008524EE">
      <w:pPr>
        <w:rPr>
          <w:rFonts w:ascii="Arial" w:hAnsi="Arial" w:cs="Arial"/>
          <w:sz w:val="22"/>
          <w:szCs w:val="22"/>
        </w:rPr>
      </w:pPr>
      <w:r w:rsidRPr="000B6335">
        <w:rPr>
          <w:rFonts w:ascii="Arial" w:hAnsi="Arial" w:cs="Arial"/>
          <w:sz w:val="22"/>
        </w:rPr>
        <w:t>Ordonner à l’État défendeur de révoquer immédiatement la politique d’interdiction (aussi bien le règlement sur l’expulsion que la mise en œuvre des déclarations) et de modifier sa législation pour protéger le droit à l’éducation.</w:t>
      </w:r>
    </w:p>
    <w:p w14:paraId="7CEFC370" w14:textId="77777777" w:rsidR="00774E86" w:rsidRPr="000B6335" w:rsidRDefault="00774E86" w:rsidP="008524EE">
      <w:pPr>
        <w:rPr>
          <w:rFonts w:ascii="Arial" w:hAnsi="Arial" w:cs="Arial"/>
          <w:sz w:val="22"/>
          <w:szCs w:val="22"/>
        </w:rPr>
      </w:pPr>
      <w:r w:rsidRPr="000B6335">
        <w:rPr>
          <w:rFonts w:ascii="Arial" w:hAnsi="Arial" w:cs="Arial"/>
          <w:sz w:val="22"/>
        </w:rPr>
        <w:t xml:space="preserve">Ordonner à l’État défendeur d’abroger immédiatement l’article 4 du Règlement sur l’éducation (expulsion et exclusion des élèves des écoles) de 2002 afin de supprimer le « mariage » comme motif d’expulsion, et de modifier la loi sur le mariage de 1971 afin de porter l’âge du mariage des filles à 18 ans comme c’est le cas pour les garçons. </w:t>
      </w:r>
    </w:p>
    <w:p w14:paraId="1529964D" w14:textId="77777777" w:rsidR="00774E86" w:rsidRPr="000B6335" w:rsidRDefault="00774E86" w:rsidP="008524EE">
      <w:pPr>
        <w:rPr>
          <w:rFonts w:ascii="Arial" w:hAnsi="Arial" w:cs="Arial"/>
          <w:sz w:val="22"/>
          <w:szCs w:val="22"/>
        </w:rPr>
      </w:pPr>
      <w:r w:rsidRPr="000B6335">
        <w:rPr>
          <w:rFonts w:ascii="Arial" w:hAnsi="Arial" w:cs="Arial"/>
          <w:sz w:val="22"/>
        </w:rPr>
        <w:t>Ordonner à l’État défendeur d'élaborer des stratégies, des programmes et des campagnes nationales axés sur la question des grossesses chez les adolescentes et de sensibiliser le public à la santé et aux droits de santé sexuelle et reproductive, ainsi qu’à la lutte contre les mariages d’enfants. Renforcer ainsi les connaissances de la communauté en matière de planification familiale et de contraceptifs soutiendra les efforts visant à réduire le taux élevé de grossesses chez les adolescentes.</w:t>
      </w:r>
    </w:p>
    <w:p w14:paraId="7777D020" w14:textId="77777777" w:rsidR="00774E86" w:rsidRPr="000B6335" w:rsidRDefault="00774E86" w:rsidP="008524EE">
      <w:pPr>
        <w:rPr>
          <w:rFonts w:ascii="Arial" w:hAnsi="Arial" w:cs="Arial"/>
          <w:sz w:val="22"/>
          <w:szCs w:val="22"/>
        </w:rPr>
      </w:pPr>
      <w:r w:rsidRPr="000B6335">
        <w:rPr>
          <w:rFonts w:ascii="Arial" w:hAnsi="Arial" w:cs="Arial"/>
          <w:sz w:val="22"/>
        </w:rPr>
        <w:t>Ordonner à l’État défendeur de mettre au point des stratégies et organiser des campagnes nationales pour permettre aux mères adolescentes de reprendre leurs études. Il peut s’agir notamment d’octroyer des subventions pour permettre aux filles ayant des enfants de reprendre leurs études, de concevoir un système scolaire alternatif offrant la même qualité et le même niveau d’éducation que ceux offerts dans les écoles ordinaires et d’élaborer et de mettre en œuvre des politiques de réinsertion pertinentes pour les filles qui ont accouché.</w:t>
      </w:r>
    </w:p>
    <w:p w14:paraId="4A7858C1" w14:textId="77777777" w:rsidR="00774E86" w:rsidRPr="000B6335" w:rsidRDefault="00774E86" w:rsidP="008524EE">
      <w:pPr>
        <w:rPr>
          <w:rFonts w:ascii="Arial" w:hAnsi="Arial" w:cs="Arial"/>
          <w:sz w:val="22"/>
          <w:szCs w:val="22"/>
        </w:rPr>
      </w:pPr>
      <w:r w:rsidRPr="000B6335">
        <w:rPr>
          <w:rFonts w:ascii="Arial" w:hAnsi="Arial" w:cs="Arial"/>
          <w:sz w:val="22"/>
        </w:rPr>
        <w:t>Ordonner à l’État défendeur de mettre en place des mesures constitutionnelles, législatives et administratives pour garantir le droit à l’éducation, y compris son applicabilité au niveau national, ainsi qu’un droit à des réparations, notamment pécuniaires, et d’abroger, dans un délai de six (6) mois, les lois et politiques discriminatoires qui entravent le droit à l’éducation.</w:t>
      </w:r>
    </w:p>
    <w:p w14:paraId="05F1CB25" w14:textId="77777777" w:rsidR="00774E86" w:rsidRPr="000B6335" w:rsidRDefault="00774E86" w:rsidP="008524EE">
      <w:pPr>
        <w:rPr>
          <w:rFonts w:ascii="Arial" w:hAnsi="Arial" w:cs="Arial"/>
          <w:sz w:val="22"/>
          <w:szCs w:val="22"/>
        </w:rPr>
      </w:pPr>
      <w:r w:rsidRPr="000B6335">
        <w:rPr>
          <w:rFonts w:ascii="Arial" w:hAnsi="Arial" w:cs="Arial"/>
          <w:sz w:val="22"/>
        </w:rPr>
        <w:t>Ordonner à l’État défendeur de rendre compte à la Cour dans un délai de six (6) mois à compter de la date du présent Arrêt des mesures prises en vue de mettre en œuvre l’Arrêt ainsi que les ordonnances qui en découlent.</w:t>
      </w:r>
    </w:p>
    <w:p w14:paraId="280AF48E" w14:textId="2293ACC8" w:rsidR="00774E86" w:rsidRPr="000B6335" w:rsidRDefault="00774E86" w:rsidP="008524EE">
      <w:pPr>
        <w:rPr>
          <w:rFonts w:ascii="Arial" w:hAnsi="Arial" w:cs="Arial"/>
          <w:sz w:val="22"/>
          <w:szCs w:val="22"/>
        </w:rPr>
      </w:pPr>
      <w:r w:rsidRPr="000B6335">
        <w:rPr>
          <w:rFonts w:ascii="Arial" w:hAnsi="Arial" w:cs="Arial"/>
          <w:sz w:val="22"/>
        </w:rPr>
        <w:t>Ordonner à l’État défendeur de publier le présent Arrêt sur le site officiel de son appareil judiciaire et du ministère chargé des Affaires juridiques, dans un délai de deux (2) mois à compter de sa date de notification.</w:t>
      </w:r>
    </w:p>
    <w:p w14:paraId="4754A235" w14:textId="77777777" w:rsidR="00774E86" w:rsidRPr="000B6335" w:rsidRDefault="00774E86" w:rsidP="008524EE">
      <w:pPr>
        <w:rPr>
          <w:rFonts w:ascii="Arial" w:hAnsi="Arial" w:cs="Arial"/>
          <w:sz w:val="22"/>
          <w:szCs w:val="22"/>
        </w:rPr>
      </w:pPr>
      <w:r w:rsidRPr="000B6335">
        <w:rPr>
          <w:rFonts w:ascii="Arial" w:hAnsi="Arial" w:cs="Arial"/>
          <w:sz w:val="22"/>
        </w:rPr>
        <w:t>Constater des violations d’autres droits de l’homme qui n’ont pas été spécifiquement mentionnés par les Requérantes dans la présente Requête.</w:t>
      </w:r>
    </w:p>
    <w:p w14:paraId="14DFB50E" w14:textId="77777777" w:rsidR="00774E86" w:rsidRPr="000B6335" w:rsidRDefault="00774E86" w:rsidP="008524EE">
      <w:pPr>
        <w:rPr>
          <w:rFonts w:ascii="Arial" w:hAnsi="Arial" w:cs="Arial"/>
          <w:sz w:val="22"/>
          <w:szCs w:val="22"/>
        </w:rPr>
      </w:pPr>
      <w:r w:rsidRPr="000B6335">
        <w:rPr>
          <w:rFonts w:ascii="Arial" w:hAnsi="Arial" w:cs="Arial"/>
          <w:sz w:val="22"/>
        </w:rPr>
        <w:t>Accorder toute autre réparation que la Cour jugera nécessaire en l’espèce.</w:t>
      </w:r>
    </w:p>
    <w:p w14:paraId="65319FD8" w14:textId="6A81F696" w:rsidR="00774E86" w:rsidRPr="000B6335" w:rsidRDefault="00774E86" w:rsidP="008524EE">
      <w:pPr>
        <w:rPr>
          <w:rFonts w:ascii="Arial" w:hAnsi="Arial" w:cs="Arial"/>
          <w:sz w:val="22"/>
          <w:szCs w:val="22"/>
        </w:rPr>
      </w:pPr>
      <w:r w:rsidRPr="000B6335">
        <w:rPr>
          <w:rFonts w:ascii="Arial" w:hAnsi="Arial" w:cs="Arial"/>
          <w:sz w:val="22"/>
        </w:rPr>
        <w:t>Condamner l’État défendeur aux dépens.</w:t>
      </w:r>
    </w:p>
    <w:p w14:paraId="1B48E094" w14:textId="77777777" w:rsidR="0049797E" w:rsidRPr="000B6335" w:rsidRDefault="0049797E" w:rsidP="008524EE">
      <w:pPr>
        <w:rPr>
          <w:rFonts w:ascii="Arial" w:hAnsi="Arial" w:cs="Arial"/>
        </w:rPr>
      </w:pPr>
    </w:p>
    <w:p w14:paraId="2F833C25" w14:textId="56E340F1" w:rsidR="009E71B1" w:rsidRPr="000B6335" w:rsidRDefault="009E71B1" w:rsidP="008524EE">
      <w:pPr>
        <w:rPr>
          <w:rFonts w:ascii="Arial" w:eastAsia="Arial Unicode MS" w:hAnsi="Arial" w:cs="Arial"/>
          <w:b/>
          <w:bCs/>
          <w:u w:color="000000"/>
        </w:rPr>
      </w:pPr>
      <w:r w:rsidRPr="000B6335">
        <w:rPr>
          <w:rFonts w:ascii="Arial" w:hAnsi="Arial" w:cs="Arial"/>
        </w:rPr>
        <w:t>En réponse, l’État défendeur demande à la Cour de se prononcer comme suit en ce qui concerne sa compétence et la recevabilité de la Requête :</w:t>
      </w:r>
    </w:p>
    <w:p w14:paraId="2BC2A683" w14:textId="77777777" w:rsidR="00727718" w:rsidRPr="000B6335" w:rsidRDefault="00727718" w:rsidP="008524EE">
      <w:pPr>
        <w:rPr>
          <w:rFonts w:ascii="Arial" w:hAnsi="Arial" w:cs="Arial"/>
          <w:sz w:val="22"/>
          <w:szCs w:val="22"/>
        </w:rPr>
      </w:pPr>
    </w:p>
    <w:p w14:paraId="7AE506AC" w14:textId="7E11D672" w:rsidR="00996BF3" w:rsidRPr="000B6335" w:rsidRDefault="009E71B1" w:rsidP="008524EE">
      <w:pPr>
        <w:rPr>
          <w:rFonts w:ascii="Arial" w:hAnsi="Arial" w:cs="Arial"/>
          <w:sz w:val="22"/>
          <w:szCs w:val="22"/>
        </w:rPr>
      </w:pPr>
      <w:r w:rsidRPr="000B6335">
        <w:rPr>
          <w:rFonts w:ascii="Arial" w:hAnsi="Arial" w:cs="Arial"/>
          <w:sz w:val="22"/>
        </w:rPr>
        <w:t>Dire que la Cour africaine des droits de l’homme et des peuples n’est pas compétente pour connaître de la présente Requête ;</w:t>
      </w:r>
    </w:p>
    <w:p w14:paraId="01EAA65D" w14:textId="27AC00CC" w:rsidR="009E71B1" w:rsidRPr="000B6335" w:rsidRDefault="009E71B1" w:rsidP="008524EE">
      <w:pPr>
        <w:rPr>
          <w:rFonts w:ascii="Arial" w:hAnsi="Arial" w:cs="Arial"/>
          <w:sz w:val="22"/>
          <w:szCs w:val="22"/>
        </w:rPr>
      </w:pPr>
      <w:r w:rsidRPr="000B6335">
        <w:rPr>
          <w:rFonts w:ascii="Arial" w:hAnsi="Arial" w:cs="Arial"/>
          <w:sz w:val="22"/>
        </w:rPr>
        <w:t xml:space="preserve">Dire que la Requête ne satisfait pas à l’exigence de recevabilité prévue à l’article 56 de la Charte et à la règle 50 du Règlement. </w:t>
      </w:r>
    </w:p>
    <w:p w14:paraId="0CA7697B" w14:textId="3203C65B" w:rsidR="009E71B1" w:rsidRPr="000B6335" w:rsidRDefault="009E71B1" w:rsidP="008524EE">
      <w:pPr>
        <w:rPr>
          <w:rFonts w:ascii="Arial" w:hAnsi="Arial" w:cs="Arial"/>
          <w:sz w:val="22"/>
          <w:szCs w:val="22"/>
        </w:rPr>
      </w:pPr>
      <w:r w:rsidRPr="000B6335">
        <w:rPr>
          <w:rFonts w:ascii="Arial" w:hAnsi="Arial" w:cs="Arial"/>
          <w:sz w:val="22"/>
        </w:rPr>
        <w:t>Déclarer la Requête irrecevable.</w:t>
      </w:r>
    </w:p>
    <w:p w14:paraId="55DD5E69" w14:textId="5F63ECB8" w:rsidR="009E71B1" w:rsidRPr="000B6335" w:rsidRDefault="009E71B1" w:rsidP="008524EE">
      <w:pPr>
        <w:rPr>
          <w:rFonts w:ascii="Arial" w:hAnsi="Arial" w:cs="Arial"/>
          <w:sz w:val="22"/>
          <w:szCs w:val="22"/>
        </w:rPr>
      </w:pPr>
      <w:r w:rsidRPr="000B6335">
        <w:rPr>
          <w:rFonts w:ascii="Arial" w:hAnsi="Arial" w:cs="Arial"/>
          <w:sz w:val="22"/>
        </w:rPr>
        <w:t>Rejeter la Requête.</w:t>
      </w:r>
    </w:p>
    <w:p w14:paraId="177D3EDD" w14:textId="77777777" w:rsidR="00ED55BE" w:rsidRPr="000B6335" w:rsidRDefault="00ED55BE" w:rsidP="008524EE">
      <w:pPr>
        <w:rPr>
          <w:rFonts w:ascii="Arial" w:hAnsi="Arial" w:cs="Arial"/>
        </w:rPr>
      </w:pPr>
    </w:p>
    <w:p w14:paraId="3F3DA1E2" w14:textId="577476DD" w:rsidR="009E71B1" w:rsidRPr="000B6335" w:rsidRDefault="00ED55BE" w:rsidP="008524EE">
      <w:pPr>
        <w:rPr>
          <w:rFonts w:ascii="Arial" w:hAnsi="Arial" w:cs="Arial"/>
        </w:rPr>
      </w:pPr>
      <w:r w:rsidRPr="000B6335">
        <w:rPr>
          <w:rFonts w:ascii="Arial" w:hAnsi="Arial" w:cs="Arial"/>
        </w:rPr>
        <w:t>L’État défendeur demande également à la Cour de se prononcer comme suit en ce qui concerne le fond de la Requête :</w:t>
      </w:r>
    </w:p>
    <w:p w14:paraId="304D3BB8" w14:textId="77777777" w:rsidR="007E5238" w:rsidRPr="000B6335" w:rsidRDefault="007E5238" w:rsidP="008524EE">
      <w:pPr>
        <w:rPr>
          <w:rFonts w:ascii="Arial" w:hAnsi="Arial" w:cs="Arial"/>
        </w:rPr>
      </w:pPr>
    </w:p>
    <w:p w14:paraId="2A00EFFA" w14:textId="3E1ADB8A" w:rsidR="00ED55BE" w:rsidRPr="000B6335" w:rsidRDefault="00ED55BE" w:rsidP="008524EE">
      <w:pPr>
        <w:rPr>
          <w:rFonts w:ascii="Arial" w:hAnsi="Arial" w:cs="Arial"/>
          <w:sz w:val="22"/>
          <w:szCs w:val="22"/>
        </w:rPr>
      </w:pPr>
      <w:r w:rsidRPr="000B6335">
        <w:rPr>
          <w:rFonts w:ascii="Arial" w:hAnsi="Arial" w:cs="Arial"/>
          <w:sz w:val="22"/>
        </w:rPr>
        <w:t>Dire que l’État défendeur n’a pas violé les articles 17(1) de la Charte, 11 de la Charte africaine des enfants et 12 du Protocole de Maputo ;</w:t>
      </w:r>
    </w:p>
    <w:p w14:paraId="0CC37103" w14:textId="5B375A12" w:rsidR="00ED55BE" w:rsidRPr="000B6335" w:rsidRDefault="00ED55BE" w:rsidP="008524EE">
      <w:pPr>
        <w:rPr>
          <w:rFonts w:ascii="Arial" w:hAnsi="Arial" w:cs="Arial"/>
          <w:sz w:val="22"/>
          <w:szCs w:val="22"/>
        </w:rPr>
      </w:pPr>
      <w:r w:rsidRPr="000B6335">
        <w:rPr>
          <w:rFonts w:ascii="Arial" w:hAnsi="Arial" w:cs="Arial"/>
          <w:sz w:val="22"/>
        </w:rPr>
        <w:t>Rejeter la Requête au motif qu’elle est dépourvue de tout fondement ;</w:t>
      </w:r>
    </w:p>
    <w:p w14:paraId="75874079" w14:textId="14B4D8CE" w:rsidR="00ED55BE" w:rsidRPr="000B6335" w:rsidRDefault="00ED55BE" w:rsidP="008524EE">
      <w:pPr>
        <w:rPr>
          <w:rFonts w:ascii="Arial" w:hAnsi="Arial" w:cs="Arial"/>
        </w:rPr>
      </w:pPr>
      <w:r w:rsidRPr="000B6335">
        <w:rPr>
          <w:rFonts w:ascii="Arial" w:hAnsi="Arial" w:cs="Arial"/>
          <w:sz w:val="22"/>
        </w:rPr>
        <w:t>Mettre les frais de procédure relatives à la présente Requête à la charge des Requérantes.</w:t>
      </w:r>
    </w:p>
    <w:p w14:paraId="0AEEA043" w14:textId="7CD9D539" w:rsidR="007B752B" w:rsidRPr="000B6335" w:rsidRDefault="007B752B" w:rsidP="008524EE">
      <w:pPr>
        <w:rPr>
          <w:rFonts w:ascii="Arial" w:hAnsi="Arial" w:cs="Arial"/>
        </w:rPr>
      </w:pPr>
    </w:p>
    <w:p w14:paraId="4BD5D7FA" w14:textId="77777777" w:rsidR="005426D7" w:rsidRPr="000B6335" w:rsidRDefault="005426D7" w:rsidP="008524EE">
      <w:pPr>
        <w:rPr>
          <w:rFonts w:ascii="Arial" w:hAnsi="Arial" w:cs="Arial"/>
        </w:rPr>
      </w:pPr>
    </w:p>
    <w:p w14:paraId="3F3DEDA5" w14:textId="77777777" w:rsidR="00996BF3" w:rsidRPr="000B6335" w:rsidRDefault="00996BF3" w:rsidP="008524EE">
      <w:bookmarkStart w:id="9" w:name="_Toc121029615"/>
      <w:r w:rsidRPr="000B6335">
        <w:t>SUR LA COMPÉTENCE</w:t>
      </w:r>
      <w:bookmarkEnd w:id="9"/>
    </w:p>
    <w:p w14:paraId="4D2695C7" w14:textId="77777777" w:rsidR="0078698D" w:rsidRPr="000B6335" w:rsidRDefault="0078698D" w:rsidP="008524EE">
      <w:pPr>
        <w:rPr>
          <w:rFonts w:ascii="Arial" w:eastAsia="Calibri" w:hAnsi="Arial" w:cs="Arial"/>
          <w:b/>
        </w:rPr>
      </w:pPr>
    </w:p>
    <w:p w14:paraId="5C4CC38A" w14:textId="77777777" w:rsidR="0078698D" w:rsidRPr="000B6335" w:rsidRDefault="0078698D" w:rsidP="008524EE">
      <w:pPr>
        <w:rPr>
          <w:rFonts w:ascii="Arial" w:eastAsia="Calibri" w:hAnsi="Arial" w:cs="Arial"/>
          <w:bCs/>
        </w:rPr>
      </w:pPr>
      <w:r w:rsidRPr="000B6335">
        <w:rPr>
          <w:rFonts w:ascii="Arial" w:hAnsi="Arial" w:cs="Arial"/>
        </w:rPr>
        <w:t>La Cour relève que l’article 3 du Protocole dispose :</w:t>
      </w:r>
    </w:p>
    <w:p w14:paraId="07F67395" w14:textId="77777777" w:rsidR="0078698D" w:rsidRPr="000B6335" w:rsidRDefault="0078698D" w:rsidP="008524EE">
      <w:pPr>
        <w:rPr>
          <w:rFonts w:ascii="Arial" w:eastAsia="Calibri" w:hAnsi="Arial" w:cs="Arial"/>
          <w:bCs/>
        </w:rPr>
      </w:pPr>
    </w:p>
    <w:p w14:paraId="14BCC491" w14:textId="77777777" w:rsidR="0078698D" w:rsidRPr="000B6335" w:rsidRDefault="0078698D" w:rsidP="008524EE">
      <w:pPr>
        <w:rPr>
          <w:rFonts w:ascii="Arial" w:eastAsia="Calibri" w:hAnsi="Arial" w:cs="Arial"/>
          <w:bCs/>
          <w:sz w:val="22"/>
          <w:szCs w:val="22"/>
        </w:rPr>
      </w:pPr>
      <w:r w:rsidRPr="000B6335">
        <w:rPr>
          <w:rFonts w:ascii="Arial" w:hAnsi="Arial" w:cs="Arial"/>
          <w:sz w:val="22"/>
        </w:rPr>
        <w:t>La Cour a compétence pour connaître de toutes les affaires et de tous les différends dont elle est saisie concernant l’interprétation et l’application de la Charte, du […] Protocole, et de tout autre instrument pertinent relatif aux droits de l’homme et ratifié par les États concernés.</w:t>
      </w:r>
    </w:p>
    <w:p w14:paraId="28CDB350" w14:textId="77777777" w:rsidR="0078698D" w:rsidRPr="000B6335" w:rsidRDefault="0078698D" w:rsidP="008524EE">
      <w:pPr>
        <w:rPr>
          <w:rFonts w:ascii="Arial" w:eastAsia="Calibri" w:hAnsi="Arial" w:cs="Arial"/>
          <w:bCs/>
          <w:sz w:val="22"/>
          <w:szCs w:val="22"/>
        </w:rPr>
      </w:pPr>
    </w:p>
    <w:p w14:paraId="7664C639" w14:textId="474AFB87" w:rsidR="0078698D" w:rsidRPr="000B6335" w:rsidRDefault="0078698D" w:rsidP="008524EE">
      <w:pPr>
        <w:rPr>
          <w:rFonts w:ascii="Arial" w:eastAsia="Calibri" w:hAnsi="Arial" w:cs="Arial"/>
          <w:bCs/>
          <w:sz w:val="22"/>
          <w:szCs w:val="22"/>
        </w:rPr>
      </w:pPr>
      <w:r w:rsidRPr="000B6335">
        <w:rPr>
          <w:rFonts w:ascii="Arial" w:hAnsi="Arial" w:cs="Arial"/>
          <w:sz w:val="22"/>
        </w:rPr>
        <w:t>En cas de contestation sur le point de savoir si la Cour est compétente, la Cour décide.</w:t>
      </w:r>
    </w:p>
    <w:p w14:paraId="7C218AAF" w14:textId="77777777" w:rsidR="005B1D57" w:rsidRPr="000B6335" w:rsidRDefault="005B1D57" w:rsidP="008524EE">
      <w:pPr>
        <w:rPr>
          <w:rFonts w:ascii="Arial" w:eastAsia="Calibri" w:hAnsi="Arial" w:cs="Arial"/>
          <w:bCs/>
          <w:sz w:val="22"/>
          <w:szCs w:val="22"/>
        </w:rPr>
      </w:pPr>
    </w:p>
    <w:p w14:paraId="22A05675" w14:textId="77777777" w:rsidR="005B1D57" w:rsidRPr="000B6335" w:rsidRDefault="005B1D57" w:rsidP="008524EE">
      <w:pPr>
        <w:rPr>
          <w:rFonts w:ascii="Arial" w:eastAsia="Calibri" w:hAnsi="Arial" w:cs="Arial"/>
          <w:bCs/>
          <w:sz w:val="22"/>
          <w:szCs w:val="22"/>
        </w:rPr>
      </w:pPr>
    </w:p>
    <w:p w14:paraId="36489CF2" w14:textId="1F4F1B93" w:rsidR="0078698D" w:rsidRPr="000B6335" w:rsidRDefault="0078698D" w:rsidP="008524EE">
      <w:pPr>
        <w:rPr>
          <w:rFonts w:ascii="Arial" w:eastAsia="Calibri" w:hAnsi="Arial" w:cs="Arial"/>
        </w:rPr>
      </w:pPr>
      <w:r w:rsidRPr="000B6335">
        <w:rPr>
          <w:rFonts w:ascii="Arial" w:hAnsi="Arial" w:cs="Arial"/>
        </w:rPr>
        <w:t xml:space="preserve">La Cour </w:t>
      </w:r>
      <w:r w:rsidR="005B1D57" w:rsidRPr="000B6335">
        <w:rPr>
          <w:rFonts w:ascii="Arial" w:hAnsi="Arial" w:cs="Arial"/>
        </w:rPr>
        <w:t>note</w:t>
      </w:r>
      <w:r w:rsidRPr="000B6335">
        <w:rPr>
          <w:rFonts w:ascii="Arial" w:hAnsi="Arial" w:cs="Arial"/>
        </w:rPr>
        <w:t xml:space="preserve"> également qu’aux termes de la règle 49(1) du Règlement, elle « procède à un examen préliminaire de sa compétence […] conformément à la Charte, au Protocole et au […] Règlement ».</w:t>
      </w:r>
    </w:p>
    <w:p w14:paraId="1AB9C8C8" w14:textId="77777777" w:rsidR="0078698D" w:rsidRPr="000B6335" w:rsidRDefault="0078698D" w:rsidP="008524EE">
      <w:pPr>
        <w:rPr>
          <w:rFonts w:ascii="Arial" w:eastAsia="Calibri" w:hAnsi="Arial" w:cs="Arial"/>
        </w:rPr>
      </w:pPr>
    </w:p>
    <w:p w14:paraId="64586477" w14:textId="4F73B72C" w:rsidR="0078698D" w:rsidRPr="000B6335" w:rsidRDefault="0078698D" w:rsidP="008524EE">
      <w:pPr>
        <w:rPr>
          <w:rFonts w:ascii="Arial" w:eastAsia="Calibri" w:hAnsi="Arial" w:cs="Arial"/>
        </w:rPr>
      </w:pPr>
      <w:r w:rsidRPr="000B6335">
        <w:rPr>
          <w:rFonts w:ascii="Arial" w:hAnsi="Arial" w:cs="Arial"/>
        </w:rPr>
        <w:t xml:space="preserve">Compte tenu de ce qui précède, la Cour est tenue de procéder à l’examen de sa compétence et </w:t>
      </w:r>
      <w:r w:rsidR="005B1D57" w:rsidRPr="000B6335">
        <w:rPr>
          <w:rFonts w:ascii="Arial" w:hAnsi="Arial" w:cs="Arial"/>
        </w:rPr>
        <w:t xml:space="preserve">de </w:t>
      </w:r>
      <w:r w:rsidRPr="000B6335">
        <w:rPr>
          <w:rFonts w:ascii="Arial" w:hAnsi="Arial" w:cs="Arial"/>
        </w:rPr>
        <w:t>statuer sur les éventuelles exceptions qui s’y rapportent.</w:t>
      </w:r>
    </w:p>
    <w:p w14:paraId="34543737" w14:textId="77777777" w:rsidR="00750A36" w:rsidRPr="000B6335" w:rsidRDefault="00750A36" w:rsidP="008524EE">
      <w:pPr>
        <w:rPr>
          <w:rFonts w:ascii="Arial" w:eastAsia="Calibri" w:hAnsi="Arial" w:cs="Arial"/>
        </w:rPr>
      </w:pPr>
    </w:p>
    <w:p w14:paraId="5A965A0C" w14:textId="006DE38E" w:rsidR="00635E40" w:rsidRPr="000B6335" w:rsidRDefault="00635E40" w:rsidP="008524EE">
      <w:pPr>
        <w:rPr>
          <w:rFonts w:ascii="Arial" w:eastAsia="Calibri" w:hAnsi="Arial" w:cs="Arial"/>
        </w:rPr>
      </w:pPr>
      <w:r w:rsidRPr="000B6335">
        <w:rPr>
          <w:rFonts w:ascii="Arial" w:hAnsi="Arial" w:cs="Arial"/>
        </w:rPr>
        <w:t xml:space="preserve">La Cour relève que l'’État défendeur affirme qu'elle n’est pas compétente pour statuer sur </w:t>
      </w:r>
      <w:r w:rsidR="005B1D57" w:rsidRPr="000B6335">
        <w:rPr>
          <w:rFonts w:ascii="Arial" w:hAnsi="Arial" w:cs="Arial"/>
        </w:rPr>
        <w:t>la présente</w:t>
      </w:r>
      <w:r w:rsidRPr="000B6335">
        <w:rPr>
          <w:rFonts w:ascii="Arial" w:hAnsi="Arial" w:cs="Arial"/>
        </w:rPr>
        <w:t xml:space="preserve"> </w:t>
      </w:r>
      <w:r w:rsidR="005B1D57" w:rsidRPr="000B6335">
        <w:rPr>
          <w:rFonts w:ascii="Arial" w:hAnsi="Arial" w:cs="Arial"/>
        </w:rPr>
        <w:t>R</w:t>
      </w:r>
      <w:r w:rsidRPr="000B6335">
        <w:rPr>
          <w:rFonts w:ascii="Arial" w:hAnsi="Arial" w:cs="Arial"/>
        </w:rPr>
        <w:t>equête car</w:t>
      </w:r>
      <w:r w:rsidR="005B1D57" w:rsidRPr="000B6335">
        <w:rPr>
          <w:rFonts w:ascii="Arial" w:hAnsi="Arial" w:cs="Arial"/>
        </w:rPr>
        <w:t xml:space="preserve"> </w:t>
      </w:r>
      <w:r w:rsidRPr="000B6335">
        <w:rPr>
          <w:rFonts w:ascii="Arial" w:hAnsi="Arial" w:cs="Arial"/>
        </w:rPr>
        <w:t xml:space="preserve">les Requérantes dénoncent les déclarations publiques faites par certains de ses fonctionnaires et l’article 4 de la </w:t>
      </w:r>
      <w:r w:rsidR="005B1D57" w:rsidRPr="000B6335">
        <w:rPr>
          <w:rFonts w:ascii="Arial" w:hAnsi="Arial" w:cs="Arial"/>
        </w:rPr>
        <w:t>R</w:t>
      </w:r>
      <w:r w:rsidRPr="000B6335">
        <w:rPr>
          <w:rFonts w:ascii="Arial" w:hAnsi="Arial" w:cs="Arial"/>
        </w:rPr>
        <w:t>églementation sur l'éducation (expulsion et exclusion des élèves des écoles) de 2002, qui peuvent tous deux être contestés devant les juridictions nationales de l’État défendeur conformément aux dispositions de la Loi sur la réforme du droit (accidents mortels et dispositions diverses).</w:t>
      </w:r>
    </w:p>
    <w:p w14:paraId="79093A11" w14:textId="77777777" w:rsidR="00635E40" w:rsidRPr="000B6335" w:rsidRDefault="00635E40" w:rsidP="008524EE">
      <w:pPr>
        <w:rPr>
          <w:rFonts w:ascii="Arial" w:eastAsia="Calibri" w:hAnsi="Arial" w:cs="Arial"/>
        </w:rPr>
      </w:pPr>
    </w:p>
    <w:p w14:paraId="05D776C9" w14:textId="5C044E1B" w:rsidR="00531CE9" w:rsidRPr="000B6335" w:rsidRDefault="00AF5ED5" w:rsidP="008524EE">
      <w:pPr>
        <w:rPr>
          <w:rFonts w:ascii="Arial" w:eastAsia="Calibri" w:hAnsi="Arial" w:cs="Arial"/>
        </w:rPr>
      </w:pPr>
      <w:r w:rsidRPr="000B6335">
        <w:rPr>
          <w:rFonts w:ascii="Arial" w:hAnsi="Arial" w:cs="Arial"/>
        </w:rPr>
        <w:t>Elle rappelle qu’en vertu de l’article 3 du Protocole, sa compétence matérielle est établie dans la mesure où « la requête porte sur des violations alléguées des dispositions de certains instruments internationaux auxquels l’État défendeur est partie ».</w:t>
      </w:r>
      <w:r w:rsidR="00531CE9" w:rsidRPr="000B6335">
        <w:rPr>
          <w:rStyle w:val="FootnoteReference"/>
          <w:rFonts w:ascii="Arial" w:eastAsia="Calibri" w:hAnsi="Arial" w:cs="Arial"/>
        </w:rPr>
        <w:footnoteReference w:id="2"/>
      </w:r>
      <w:r w:rsidRPr="000B6335">
        <w:rPr>
          <w:rFonts w:ascii="Arial" w:hAnsi="Arial" w:cs="Arial"/>
        </w:rPr>
        <w:t xml:space="preserve"> En l’espèce, les Requérantes allèguent la violation de droits garantis pas la Charte et </w:t>
      </w:r>
      <w:r w:rsidR="00953FF6" w:rsidRPr="000B6335">
        <w:rPr>
          <w:rFonts w:ascii="Arial" w:hAnsi="Arial" w:cs="Arial"/>
        </w:rPr>
        <w:t>par d’</w:t>
      </w:r>
      <w:r w:rsidRPr="000B6335">
        <w:rPr>
          <w:rFonts w:ascii="Arial" w:hAnsi="Arial" w:cs="Arial"/>
        </w:rPr>
        <w:t>autres instruments internationaux relatifs aux droits de l’homme ratifiés par l’État défendeur</w:t>
      </w:r>
      <w:r w:rsidR="00142382" w:rsidRPr="000B6335">
        <w:rPr>
          <w:rFonts w:ascii="Arial" w:hAnsi="Arial" w:cs="Arial"/>
        </w:rPr>
        <w:t>.</w:t>
      </w:r>
      <w:r w:rsidR="001A703A" w:rsidRPr="000B6335">
        <w:rPr>
          <w:rStyle w:val="FootnoteReference"/>
          <w:rFonts w:ascii="Arial" w:hAnsi="Arial" w:cs="Arial"/>
        </w:rPr>
        <w:footnoteReference w:id="3"/>
      </w:r>
      <w:r w:rsidRPr="000B6335">
        <w:rPr>
          <w:rFonts w:ascii="Arial" w:hAnsi="Arial" w:cs="Arial"/>
        </w:rPr>
        <w:t xml:space="preserve"> </w:t>
      </w:r>
    </w:p>
    <w:p w14:paraId="5A7854AE" w14:textId="77777777" w:rsidR="00531CE9" w:rsidRPr="000B6335" w:rsidRDefault="00531CE9" w:rsidP="008524EE">
      <w:pPr>
        <w:rPr>
          <w:rFonts w:ascii="Arial" w:eastAsia="Calibri" w:hAnsi="Arial" w:cs="Arial"/>
        </w:rPr>
      </w:pPr>
    </w:p>
    <w:p w14:paraId="5240FB0D" w14:textId="127A2C21" w:rsidR="00B935BE" w:rsidRPr="000B6335" w:rsidRDefault="00531CE9" w:rsidP="008524EE">
      <w:pPr>
        <w:rPr>
          <w:rFonts w:ascii="Arial" w:eastAsia="Calibri" w:hAnsi="Arial" w:cs="Arial"/>
          <w:bCs/>
        </w:rPr>
      </w:pPr>
      <w:r w:rsidRPr="000B6335">
        <w:rPr>
          <w:rFonts w:ascii="Arial" w:hAnsi="Arial" w:cs="Arial"/>
          <w:bCs/>
        </w:rPr>
        <w:t xml:space="preserve">À la lumière de ce qui précède, la Cour rejette l’exception soulevée par l’État défendeur et conclut que sa compétence matérielle est établie en l’espèce. </w:t>
      </w:r>
    </w:p>
    <w:p w14:paraId="6C6C1447" w14:textId="77777777" w:rsidR="00531CE9" w:rsidRPr="000B6335" w:rsidRDefault="00531CE9" w:rsidP="008524EE">
      <w:pPr>
        <w:rPr>
          <w:rFonts w:ascii="Arial" w:eastAsia="Calibri" w:hAnsi="Arial" w:cs="Arial"/>
          <w:bCs/>
        </w:rPr>
      </w:pPr>
    </w:p>
    <w:p w14:paraId="6B462268" w14:textId="0C768AFA" w:rsidR="00531CE9" w:rsidRPr="000B6335" w:rsidRDefault="00531CE9" w:rsidP="008524EE">
      <w:pPr>
        <w:rPr>
          <w:rFonts w:ascii="Arial" w:eastAsia="Calibri" w:hAnsi="Arial" w:cs="Arial"/>
          <w:bCs/>
        </w:rPr>
      </w:pPr>
      <w:r w:rsidRPr="000B6335">
        <w:rPr>
          <w:rFonts w:ascii="Arial" w:hAnsi="Arial" w:cs="Arial"/>
          <w:bCs/>
        </w:rPr>
        <w:t xml:space="preserve">Notant qu’aucun élément du dossier n’indique que tous les autres aspects de sa compétence ne sont pas satisfaits, la Cour conclut </w:t>
      </w:r>
      <w:r w:rsidR="00A77AEF" w:rsidRPr="000B6335">
        <w:rPr>
          <w:rFonts w:ascii="Arial" w:hAnsi="Arial" w:cs="Arial"/>
          <w:bCs/>
        </w:rPr>
        <w:t>comme suit</w:t>
      </w:r>
      <w:r w:rsidR="00F0389F" w:rsidRPr="000B6335">
        <w:rPr>
          <w:rFonts w:ascii="Arial" w:hAnsi="Arial" w:cs="Arial"/>
          <w:bCs/>
        </w:rPr>
        <w:t> </w:t>
      </w:r>
      <w:r w:rsidRPr="000B6335">
        <w:rPr>
          <w:rFonts w:ascii="Arial" w:hAnsi="Arial" w:cs="Arial"/>
          <w:bCs/>
        </w:rPr>
        <w:t xml:space="preserve">: </w:t>
      </w:r>
    </w:p>
    <w:p w14:paraId="5A24813D" w14:textId="22C07CEF" w:rsidR="0078698D" w:rsidRPr="000B6335" w:rsidRDefault="002E26DA" w:rsidP="008524EE">
      <w:pPr>
        <w:rPr>
          <w:rFonts w:ascii="Arial" w:eastAsia="Calibri" w:hAnsi="Arial" w:cs="Arial"/>
        </w:rPr>
      </w:pPr>
      <w:r w:rsidRPr="000B6335">
        <w:rPr>
          <w:rFonts w:ascii="Arial" w:hAnsi="Arial" w:cs="Arial"/>
        </w:rPr>
        <w:t xml:space="preserve">Elle a la compétence personnelle, dans la mesure où l’État défendeur est partie au Protocole et qu’il a déposé la Déclaration prévue en son article 34(6), en vertu de laquelle les Requérantes ont pu accéder à la Cour conformément à l’article 5(3) du Protocole. En ce qui concerne le paragraphe 2 du présent Arrêt, la Cour rappelle qu’elle a décidé que le retrait de la Déclaration n’avait aucun effet rétroactif et </w:t>
      </w:r>
      <w:r w:rsidRPr="000B6335">
        <w:rPr>
          <w:rFonts w:ascii="Arial" w:hAnsi="Arial" w:cs="Arial"/>
        </w:rPr>
        <w:lastRenderedPageBreak/>
        <w:t>aucune incidence, ni sur les affaires introduites avant le dépôt de l’instrument de retrait, ni sur les nouvelles affaires dont elle a été saisie avant que ledit retrait ne prenne effet.</w:t>
      </w:r>
      <w:r w:rsidR="0078698D" w:rsidRPr="000B6335">
        <w:rPr>
          <w:rFonts w:ascii="Arial" w:eastAsia="Times New Roman" w:hAnsi="Arial" w:cs="Arial"/>
          <w:vertAlign w:val="superscript"/>
          <w:lang w:eastAsia="en-GB"/>
        </w:rPr>
        <w:footnoteReference w:id="4"/>
      </w:r>
      <w:r w:rsidRPr="000B6335">
        <w:rPr>
          <w:rFonts w:ascii="Arial" w:hAnsi="Arial" w:cs="Arial"/>
        </w:rPr>
        <w:t xml:space="preserve"> La présente Requête, introduite avant que le retrait ne prenne effet, n’en est donc pas affectée.</w:t>
      </w:r>
    </w:p>
    <w:p w14:paraId="457EDEEF" w14:textId="77777777" w:rsidR="0078698D" w:rsidRPr="000B6335" w:rsidRDefault="0078698D" w:rsidP="008524EE">
      <w:pPr>
        <w:rPr>
          <w:rFonts w:ascii="Arial" w:eastAsia="Calibri" w:hAnsi="Arial" w:cs="Arial"/>
        </w:rPr>
      </w:pPr>
    </w:p>
    <w:p w14:paraId="2F3B49D9" w14:textId="31CEFC35" w:rsidR="0078698D" w:rsidRPr="000B6335" w:rsidRDefault="00531CE9" w:rsidP="008524EE">
      <w:pPr>
        <w:rPr>
          <w:rFonts w:ascii="Arial" w:eastAsia="Calibri" w:hAnsi="Arial" w:cs="Arial"/>
        </w:rPr>
      </w:pPr>
      <w:r w:rsidRPr="000B6335">
        <w:rPr>
          <w:rFonts w:ascii="Arial" w:hAnsi="Arial" w:cs="Arial"/>
        </w:rPr>
        <w:t>Elle a la compétence temporelle</w:t>
      </w:r>
      <w:r w:rsidR="00A77AEF" w:rsidRPr="000B6335">
        <w:rPr>
          <w:rFonts w:ascii="Arial" w:hAnsi="Arial" w:cs="Arial"/>
        </w:rPr>
        <w:t>,</w:t>
      </w:r>
      <w:r w:rsidRPr="000B6335">
        <w:rPr>
          <w:rFonts w:ascii="Arial" w:hAnsi="Arial" w:cs="Arial"/>
        </w:rPr>
        <w:t xml:space="preserve"> les violations alléguées s</w:t>
      </w:r>
      <w:r w:rsidR="00A77AEF" w:rsidRPr="000B6335">
        <w:rPr>
          <w:rFonts w:ascii="Arial" w:hAnsi="Arial" w:cs="Arial"/>
        </w:rPr>
        <w:t>’étant</w:t>
      </w:r>
      <w:r w:rsidRPr="000B6335">
        <w:rPr>
          <w:rFonts w:ascii="Arial" w:hAnsi="Arial" w:cs="Arial"/>
        </w:rPr>
        <w:t xml:space="preserve"> produites après que l’État défendeur a ratifié la Charte et le Protocole et fait la Déclaration.</w:t>
      </w:r>
    </w:p>
    <w:p w14:paraId="108CC734" w14:textId="77777777" w:rsidR="0078698D" w:rsidRPr="000B6335" w:rsidRDefault="0078698D" w:rsidP="008524EE">
      <w:pPr>
        <w:rPr>
          <w:rFonts w:ascii="Arial" w:eastAsia="Calibri" w:hAnsi="Arial" w:cs="Arial"/>
        </w:rPr>
      </w:pPr>
    </w:p>
    <w:p w14:paraId="03C2C04E" w14:textId="4F9E7F57" w:rsidR="0078698D" w:rsidRPr="000B6335" w:rsidRDefault="00531CE9" w:rsidP="008524EE">
      <w:pPr>
        <w:rPr>
          <w:rFonts w:ascii="Arial" w:eastAsia="Calibri" w:hAnsi="Arial" w:cs="Arial"/>
        </w:rPr>
      </w:pPr>
      <w:r w:rsidRPr="000B6335">
        <w:rPr>
          <w:rFonts w:ascii="Arial" w:hAnsi="Arial" w:cs="Arial"/>
        </w:rPr>
        <w:t>Elle a la compétence territoriale, étant donné que les faits sur lesquels se fondent les allégations de violation se sont produits sur le territoire de l’État défendeur.</w:t>
      </w:r>
    </w:p>
    <w:p w14:paraId="61581C78" w14:textId="77777777" w:rsidR="0078698D" w:rsidRPr="000B6335" w:rsidRDefault="0078698D" w:rsidP="008524EE">
      <w:pPr>
        <w:rPr>
          <w:rFonts w:ascii="Arial" w:eastAsia="Calibri" w:hAnsi="Arial" w:cs="Arial"/>
        </w:rPr>
      </w:pPr>
    </w:p>
    <w:p w14:paraId="0C4900E9" w14:textId="77777777" w:rsidR="0078698D" w:rsidRPr="000B6335" w:rsidRDefault="0078698D" w:rsidP="008524EE">
      <w:pPr>
        <w:rPr>
          <w:rFonts w:ascii="Arial" w:eastAsia="Calibri" w:hAnsi="Arial" w:cs="Arial"/>
        </w:rPr>
      </w:pPr>
      <w:r w:rsidRPr="000B6335">
        <w:rPr>
          <w:rFonts w:ascii="Arial" w:hAnsi="Arial" w:cs="Arial"/>
        </w:rPr>
        <w:t xml:space="preserve">À la lumière de ce qui précède, la Cour conclut qu’elle est compétente pour connaître de la présente Requête. </w:t>
      </w:r>
    </w:p>
    <w:p w14:paraId="73FBCD76" w14:textId="77777777" w:rsidR="00B536E6" w:rsidRPr="000B6335" w:rsidRDefault="00B536E6" w:rsidP="008524EE">
      <w:pPr>
        <w:rPr>
          <w:rFonts w:ascii="Arial" w:hAnsi="Arial" w:cs="Arial"/>
        </w:rPr>
      </w:pPr>
    </w:p>
    <w:p w14:paraId="0862E1CB" w14:textId="77777777" w:rsidR="00626807" w:rsidRPr="000B6335" w:rsidRDefault="00626807" w:rsidP="008524EE">
      <w:pPr>
        <w:rPr>
          <w:rFonts w:ascii="Arial" w:hAnsi="Arial" w:cs="Arial"/>
        </w:rPr>
      </w:pPr>
    </w:p>
    <w:p w14:paraId="29034F1F" w14:textId="77777777" w:rsidR="00996BF3" w:rsidRPr="000B6335" w:rsidRDefault="00996BF3" w:rsidP="008524EE">
      <w:bookmarkStart w:id="10" w:name="_Toc121029616"/>
      <w:r w:rsidRPr="000B6335">
        <w:t>SUR LA RECEVABILITÉ</w:t>
      </w:r>
      <w:bookmarkEnd w:id="10"/>
    </w:p>
    <w:p w14:paraId="7EFF171F" w14:textId="77777777" w:rsidR="00996BF3" w:rsidRPr="000B6335" w:rsidRDefault="00996BF3" w:rsidP="008524EE">
      <w:pPr>
        <w:rPr>
          <w:rFonts w:ascii="Arial" w:hAnsi="Arial" w:cs="Arial"/>
        </w:rPr>
      </w:pPr>
    </w:p>
    <w:p w14:paraId="13E6BB74" w14:textId="77777777" w:rsidR="0078698D" w:rsidRPr="000B6335" w:rsidRDefault="0078698D" w:rsidP="008524EE">
      <w:pPr>
        <w:rPr>
          <w:rFonts w:ascii="Arial" w:eastAsia="Calibri" w:hAnsi="Arial" w:cs="Arial"/>
        </w:rPr>
      </w:pPr>
      <w:r w:rsidRPr="000B6335">
        <w:rPr>
          <w:rFonts w:ascii="Arial" w:hAnsi="Arial" w:cs="Arial"/>
        </w:rPr>
        <w:t xml:space="preserve">En vertu de l’article 6(2) du Protocole, « [l]a Cour statue sur la recevabilité des requêtes en tenant compte des dispositions énoncées à l’article 56 de la Charte ». </w:t>
      </w:r>
    </w:p>
    <w:p w14:paraId="15B217E0" w14:textId="77777777" w:rsidR="0078698D" w:rsidRPr="000B6335" w:rsidRDefault="0078698D" w:rsidP="008524EE">
      <w:pPr>
        <w:rPr>
          <w:rFonts w:ascii="Arial" w:eastAsia="Calibri" w:hAnsi="Arial" w:cs="Arial"/>
          <w:sz w:val="22"/>
          <w:szCs w:val="22"/>
        </w:rPr>
      </w:pPr>
    </w:p>
    <w:p w14:paraId="6C4AB1D5" w14:textId="3D00BDC2" w:rsidR="0078698D" w:rsidRPr="000B6335" w:rsidRDefault="0078698D" w:rsidP="008524EE">
      <w:pPr>
        <w:rPr>
          <w:rFonts w:ascii="Arial" w:eastAsia="Calibri" w:hAnsi="Arial" w:cs="Arial"/>
          <w:iCs/>
        </w:rPr>
      </w:pPr>
      <w:r w:rsidRPr="000B6335">
        <w:rPr>
          <w:rFonts w:ascii="Arial" w:hAnsi="Arial" w:cs="Arial"/>
        </w:rPr>
        <w:t>Aux termes de la règle 50(1) du Règlement, « [l]a Cour procède à un examen de la recevabilité des requêtes introduites devant elle conformément aux articles 56 de la Charte et 6, alinéa 2 du Protocole, et au [...] Règlement ».</w:t>
      </w:r>
    </w:p>
    <w:p w14:paraId="089520D5" w14:textId="77777777" w:rsidR="0078698D" w:rsidRPr="000B6335" w:rsidRDefault="0078698D" w:rsidP="008524EE">
      <w:pPr>
        <w:rPr>
          <w:rFonts w:ascii="Arial" w:eastAsia="Calibri" w:hAnsi="Arial" w:cs="Arial"/>
          <w:sz w:val="22"/>
          <w:szCs w:val="22"/>
        </w:rPr>
      </w:pPr>
      <w:r w:rsidRPr="000B6335">
        <w:rPr>
          <w:rFonts w:ascii="Arial" w:hAnsi="Arial" w:cs="Arial"/>
          <w:sz w:val="22"/>
        </w:rPr>
        <w:t xml:space="preserve"> </w:t>
      </w:r>
    </w:p>
    <w:p w14:paraId="5C1946F2" w14:textId="77777777" w:rsidR="0078698D" w:rsidRPr="000B6335" w:rsidRDefault="0078698D" w:rsidP="008524EE">
      <w:pPr>
        <w:rPr>
          <w:rFonts w:ascii="Arial" w:eastAsia="Calibri" w:hAnsi="Arial" w:cs="Arial"/>
        </w:rPr>
      </w:pPr>
      <w:r w:rsidRPr="000B6335">
        <w:rPr>
          <w:rFonts w:ascii="Arial" w:hAnsi="Arial" w:cs="Arial"/>
        </w:rPr>
        <w:t xml:space="preserve">La règle 50(2) du Règlement, qui reprend en substance les dispositions de l’article 56 de la Charte, est libellée comme suit : </w:t>
      </w:r>
    </w:p>
    <w:p w14:paraId="50C39B43" w14:textId="77777777" w:rsidR="0078698D" w:rsidRPr="000B6335" w:rsidRDefault="0078698D" w:rsidP="008524EE">
      <w:pPr>
        <w:rPr>
          <w:rFonts w:ascii="Arial" w:eastAsia="Calibri" w:hAnsi="Arial" w:cs="Arial"/>
          <w:sz w:val="22"/>
          <w:szCs w:val="22"/>
        </w:rPr>
      </w:pPr>
    </w:p>
    <w:p w14:paraId="7B284203" w14:textId="77777777" w:rsidR="0078698D" w:rsidRPr="000B6335" w:rsidRDefault="0078698D" w:rsidP="008524EE">
      <w:pPr>
        <w:rPr>
          <w:rFonts w:ascii="Arial" w:eastAsia="Calibri" w:hAnsi="Arial" w:cs="Arial"/>
          <w:sz w:val="22"/>
          <w:szCs w:val="22"/>
        </w:rPr>
      </w:pPr>
      <w:r w:rsidRPr="000B6335">
        <w:rPr>
          <w:rFonts w:ascii="Arial" w:hAnsi="Arial" w:cs="Arial"/>
          <w:sz w:val="22"/>
        </w:rPr>
        <w:t>Les Requêtes déposées devant la Cour doivent remplir toutes les conditions ci-après :</w:t>
      </w:r>
    </w:p>
    <w:p w14:paraId="527963C7" w14:textId="77777777" w:rsidR="0078698D" w:rsidRPr="000B6335" w:rsidRDefault="0078698D" w:rsidP="008524EE">
      <w:pPr>
        <w:rPr>
          <w:rFonts w:ascii="Arial" w:eastAsia="Calibri" w:hAnsi="Arial" w:cs="Arial"/>
          <w:sz w:val="22"/>
          <w:szCs w:val="22"/>
        </w:rPr>
      </w:pPr>
      <w:r w:rsidRPr="000B6335">
        <w:rPr>
          <w:rFonts w:ascii="Arial" w:hAnsi="Arial" w:cs="Arial"/>
          <w:sz w:val="22"/>
        </w:rPr>
        <w:t>Indiquer l’identité de leur auteur même si celui-ci demande à la Cour de garder l’anonymat ;</w:t>
      </w:r>
    </w:p>
    <w:p w14:paraId="15F59858" w14:textId="77777777" w:rsidR="0078698D" w:rsidRPr="000B6335" w:rsidRDefault="0078698D" w:rsidP="008524EE">
      <w:pPr>
        <w:rPr>
          <w:rFonts w:ascii="Arial" w:eastAsia="Calibri" w:hAnsi="Arial" w:cs="Arial"/>
          <w:sz w:val="22"/>
          <w:szCs w:val="22"/>
        </w:rPr>
      </w:pPr>
      <w:r w:rsidRPr="000B6335">
        <w:rPr>
          <w:rFonts w:ascii="Arial" w:hAnsi="Arial" w:cs="Arial"/>
          <w:sz w:val="22"/>
        </w:rPr>
        <w:t xml:space="preserve">Être compatibles avec l’Acte constitutif de l’Union africaine et la Charte ; </w:t>
      </w:r>
    </w:p>
    <w:p w14:paraId="09E233A6" w14:textId="14A152D5" w:rsidR="0078698D" w:rsidRPr="000B6335" w:rsidRDefault="0078698D" w:rsidP="008524EE">
      <w:pPr>
        <w:rPr>
          <w:rFonts w:ascii="Arial" w:eastAsia="Calibri" w:hAnsi="Arial" w:cs="Arial"/>
          <w:sz w:val="22"/>
          <w:szCs w:val="22"/>
        </w:rPr>
      </w:pPr>
      <w:r w:rsidRPr="000B6335">
        <w:rPr>
          <w:rFonts w:ascii="Arial" w:hAnsi="Arial" w:cs="Arial"/>
          <w:sz w:val="22"/>
        </w:rPr>
        <w:t>Ne pas être rédigées dans des termes outrageants ou insultants à l’égard de l’État concerné et ses institutions ou de l’Union africaine</w:t>
      </w:r>
      <w:r w:rsidR="00F0389F" w:rsidRPr="000B6335">
        <w:rPr>
          <w:rFonts w:ascii="Arial" w:hAnsi="Arial" w:cs="Arial"/>
          <w:sz w:val="22"/>
        </w:rPr>
        <w:t> </w:t>
      </w:r>
      <w:r w:rsidRPr="000B6335">
        <w:rPr>
          <w:rFonts w:ascii="Arial" w:hAnsi="Arial" w:cs="Arial"/>
          <w:sz w:val="22"/>
        </w:rPr>
        <w:t>;</w:t>
      </w:r>
    </w:p>
    <w:p w14:paraId="45E42C50" w14:textId="77777777" w:rsidR="0078698D" w:rsidRPr="000B6335" w:rsidRDefault="0078698D" w:rsidP="008524EE">
      <w:pPr>
        <w:rPr>
          <w:rFonts w:ascii="Arial" w:eastAsia="Calibri" w:hAnsi="Arial" w:cs="Arial"/>
          <w:sz w:val="22"/>
          <w:szCs w:val="22"/>
        </w:rPr>
      </w:pPr>
      <w:r w:rsidRPr="000B6335">
        <w:rPr>
          <w:rFonts w:ascii="Arial" w:hAnsi="Arial" w:cs="Arial"/>
          <w:sz w:val="22"/>
        </w:rPr>
        <w:t>Ne pas se limiter à rassembler exclusivement des nouvelles diffusées par les moyens de communication de masse ;</w:t>
      </w:r>
    </w:p>
    <w:p w14:paraId="5D84DE10" w14:textId="77777777" w:rsidR="0078698D" w:rsidRPr="000B6335" w:rsidRDefault="0078698D" w:rsidP="008524EE">
      <w:pPr>
        <w:rPr>
          <w:rFonts w:ascii="Arial" w:eastAsia="Calibri" w:hAnsi="Arial" w:cs="Arial"/>
          <w:sz w:val="22"/>
          <w:szCs w:val="22"/>
        </w:rPr>
      </w:pPr>
      <w:r w:rsidRPr="000B6335">
        <w:rPr>
          <w:rFonts w:ascii="Arial" w:hAnsi="Arial" w:cs="Arial"/>
          <w:sz w:val="22"/>
        </w:rPr>
        <w:t>Être postérieures à l’épuisement des recours internes s’ils existent, à moins qu’il ne soit manifeste à la Cour que la procédure de ces recours se prolonge de façon anormale ;</w:t>
      </w:r>
    </w:p>
    <w:p w14:paraId="4D480652" w14:textId="6B4A2712" w:rsidR="0078698D" w:rsidRPr="000B6335" w:rsidRDefault="0078698D" w:rsidP="008524EE">
      <w:pPr>
        <w:rPr>
          <w:rFonts w:ascii="Arial" w:eastAsia="Calibri" w:hAnsi="Arial" w:cs="Arial"/>
          <w:sz w:val="22"/>
          <w:szCs w:val="22"/>
        </w:rPr>
      </w:pPr>
      <w:r w:rsidRPr="000B6335">
        <w:rPr>
          <w:rFonts w:ascii="Arial" w:hAnsi="Arial" w:cs="Arial"/>
          <w:sz w:val="22"/>
        </w:rPr>
        <w:t>Être introduites dans un délai raisonnable courant depuis l’épuisement des recours internes ou depuis la date retenue par la Cour comme faisant commencer à courir le délai de sa saisine ;</w:t>
      </w:r>
    </w:p>
    <w:p w14:paraId="5F2750F4" w14:textId="77777777" w:rsidR="0078698D" w:rsidRPr="000B6335" w:rsidRDefault="0078698D" w:rsidP="008524EE">
      <w:pPr>
        <w:rPr>
          <w:rFonts w:ascii="Arial" w:eastAsia="Calibri" w:hAnsi="Arial" w:cs="Arial"/>
          <w:sz w:val="22"/>
          <w:szCs w:val="22"/>
        </w:rPr>
      </w:pPr>
      <w:r w:rsidRPr="000B6335">
        <w:rPr>
          <w:rFonts w:ascii="Arial" w:hAnsi="Arial" w:cs="Arial"/>
          <w:sz w:val="22"/>
        </w:rPr>
        <w:t>Ne pas concerner des affaires qui ont été réglées par les États concernés, conformément aux principes de la Charte des Nations Unies, de l’Acte constitutif de l’Union africaine ou des dispositions de la Charte.</w:t>
      </w:r>
    </w:p>
    <w:p w14:paraId="02598054" w14:textId="0CBE7561" w:rsidR="0078698D" w:rsidRPr="000B6335" w:rsidRDefault="0078698D" w:rsidP="008524EE">
      <w:pPr>
        <w:rPr>
          <w:rFonts w:ascii="Arial" w:eastAsia="Calibri" w:hAnsi="Arial" w:cs="Arial"/>
        </w:rPr>
      </w:pPr>
    </w:p>
    <w:p w14:paraId="01A9B986" w14:textId="6DC60901" w:rsidR="00531CE9" w:rsidRPr="000B6335" w:rsidRDefault="00531CE9" w:rsidP="008524EE">
      <w:pPr>
        <w:rPr>
          <w:rFonts w:ascii="Arial" w:eastAsia="Calibri" w:hAnsi="Arial" w:cs="Arial"/>
          <w:bCs/>
        </w:rPr>
      </w:pPr>
      <w:r w:rsidRPr="000B6335">
        <w:rPr>
          <w:rFonts w:ascii="Arial" w:hAnsi="Arial" w:cs="Arial"/>
          <w:bCs/>
        </w:rPr>
        <w:t xml:space="preserve">La Cour relève que l’État défendeur soulève trois exceptions d’irrecevabilité de la Requête. Elle va donc </w:t>
      </w:r>
      <w:r w:rsidR="00AE0BE9" w:rsidRPr="000B6335">
        <w:rPr>
          <w:rFonts w:ascii="Arial" w:hAnsi="Arial" w:cs="Arial"/>
        </w:rPr>
        <w:t xml:space="preserve">d’abord </w:t>
      </w:r>
      <w:r w:rsidRPr="000B6335">
        <w:rPr>
          <w:rFonts w:ascii="Arial" w:hAnsi="Arial" w:cs="Arial"/>
          <w:bCs/>
        </w:rPr>
        <w:t>examiner lesdites exceptions</w:t>
      </w:r>
      <w:r w:rsidR="009A5910" w:rsidRPr="000B6335">
        <w:rPr>
          <w:rFonts w:ascii="Arial" w:hAnsi="Arial" w:cs="Arial"/>
        </w:rPr>
        <w:t xml:space="preserve"> (A)</w:t>
      </w:r>
      <w:r w:rsidR="00AE0BE9" w:rsidRPr="000B6335">
        <w:rPr>
          <w:rFonts w:ascii="Arial" w:hAnsi="Arial" w:cs="Arial"/>
          <w:bCs/>
        </w:rPr>
        <w:t xml:space="preserve">, </w:t>
      </w:r>
      <w:r w:rsidR="00AE0BE9" w:rsidRPr="000B6335">
        <w:rPr>
          <w:rFonts w:ascii="Arial" w:hAnsi="Arial" w:cs="Arial"/>
        </w:rPr>
        <w:t>ensuite</w:t>
      </w:r>
      <w:r w:rsidRPr="000B6335">
        <w:rPr>
          <w:rFonts w:ascii="Arial" w:hAnsi="Arial" w:cs="Arial"/>
          <w:bCs/>
        </w:rPr>
        <w:t xml:space="preserve"> procéder à l’examen des autres conditions de recevabilité</w:t>
      </w:r>
      <w:r w:rsidR="00950316" w:rsidRPr="000B6335">
        <w:rPr>
          <w:rFonts w:ascii="Arial" w:hAnsi="Arial" w:cs="Arial"/>
        </w:rPr>
        <w:t>, s’il y a lieu</w:t>
      </w:r>
      <w:r w:rsidR="00BB6470" w:rsidRPr="000B6335">
        <w:rPr>
          <w:rFonts w:ascii="Arial" w:hAnsi="Arial" w:cs="Arial"/>
        </w:rPr>
        <w:t xml:space="preserve"> (B)</w:t>
      </w:r>
      <w:r w:rsidRPr="000B6335">
        <w:rPr>
          <w:rFonts w:ascii="Arial" w:hAnsi="Arial" w:cs="Arial"/>
          <w:bCs/>
        </w:rPr>
        <w:t xml:space="preserve">. </w:t>
      </w:r>
    </w:p>
    <w:p w14:paraId="7609E585" w14:textId="77777777" w:rsidR="00531CE9" w:rsidRPr="000B6335" w:rsidRDefault="00531CE9" w:rsidP="008524EE">
      <w:pPr>
        <w:rPr>
          <w:rFonts w:ascii="Arial" w:eastAsia="Calibri" w:hAnsi="Arial" w:cs="Arial"/>
          <w:b/>
        </w:rPr>
      </w:pPr>
    </w:p>
    <w:p w14:paraId="139F720B" w14:textId="77777777" w:rsidR="00642A7B" w:rsidRPr="000B6335" w:rsidRDefault="00642A7B" w:rsidP="008524EE">
      <w:pPr>
        <w:rPr>
          <w:rFonts w:ascii="Arial" w:eastAsia="Calibri" w:hAnsi="Arial" w:cs="Arial"/>
          <w:b/>
        </w:rPr>
      </w:pPr>
    </w:p>
    <w:p w14:paraId="66E6C92A" w14:textId="77777777" w:rsidR="00642A7B" w:rsidRPr="000B6335" w:rsidRDefault="00642A7B" w:rsidP="008524EE">
      <w:pPr>
        <w:rPr>
          <w:rFonts w:ascii="Arial" w:eastAsia="Calibri" w:hAnsi="Arial" w:cs="Arial"/>
          <w:b/>
        </w:rPr>
      </w:pPr>
    </w:p>
    <w:p w14:paraId="2049EE7F" w14:textId="77777777" w:rsidR="0078698D" w:rsidRPr="000B6335" w:rsidRDefault="0078698D" w:rsidP="008524EE">
      <w:pPr>
        <w:rPr>
          <w:rFonts w:eastAsia="Times New Roman"/>
        </w:rPr>
      </w:pPr>
      <w:bookmarkStart w:id="11" w:name="_Toc84052388"/>
      <w:bookmarkStart w:id="12" w:name="_Toc121029617"/>
      <w:bookmarkStart w:id="13" w:name="_Toc75425018"/>
      <w:bookmarkStart w:id="14" w:name="_Toc79588203"/>
      <w:bookmarkStart w:id="15" w:name="_Toc83390654"/>
      <w:bookmarkStart w:id="16" w:name="_Toc51852442"/>
      <w:r w:rsidRPr="000B6335">
        <w:t>Exceptions d’irrecevabilité de la Requête</w:t>
      </w:r>
      <w:bookmarkEnd w:id="11"/>
      <w:bookmarkEnd w:id="12"/>
    </w:p>
    <w:bookmarkEnd w:id="13"/>
    <w:bookmarkEnd w:id="14"/>
    <w:bookmarkEnd w:id="15"/>
    <w:p w14:paraId="4F4F40D3" w14:textId="270740B2" w:rsidR="0078698D" w:rsidRPr="000B6335" w:rsidRDefault="00056BAC" w:rsidP="008524EE">
      <w:pPr>
        <w:rPr>
          <w:rFonts w:ascii="Arial" w:eastAsia="Calibri" w:hAnsi="Arial" w:cs="Arial"/>
        </w:rPr>
      </w:pPr>
      <w:r w:rsidRPr="000B6335">
        <w:rPr>
          <w:rFonts w:ascii="Arial" w:hAnsi="Arial" w:cs="Arial"/>
        </w:rPr>
        <w:lastRenderedPageBreak/>
        <w:t xml:space="preserve"> </w:t>
      </w:r>
      <w:bookmarkEnd w:id="16"/>
    </w:p>
    <w:p w14:paraId="2A99157B" w14:textId="17AFCEC4" w:rsidR="0078698D" w:rsidRPr="000B6335" w:rsidRDefault="0078698D" w:rsidP="008524EE">
      <w:pPr>
        <w:rPr>
          <w:rFonts w:ascii="Arial" w:eastAsia="Calibri" w:hAnsi="Arial" w:cs="Arial"/>
        </w:rPr>
      </w:pPr>
      <w:r w:rsidRPr="000B6335">
        <w:rPr>
          <w:rFonts w:ascii="Arial" w:hAnsi="Arial" w:cs="Arial"/>
        </w:rPr>
        <w:t>L’État défendeur soulève trois exceptions d’irrecevabilité de la Requête. La première est tirée de l’allégation selon laquelle des requêtes similaires sont déjà pendantes devant le CAEDBE et la Cour de Justice de l’Afrique de l’Est. La deuxième exception a trait à l’exigence de l’épuisement des recours internes et la troisième est relative à la question de savoir si la Requête a été déposée dans un délai raisonnable.</w:t>
      </w:r>
    </w:p>
    <w:p w14:paraId="5FE5EA83" w14:textId="3AB846A7" w:rsidR="00946ABC" w:rsidRPr="000B6335" w:rsidRDefault="00946ABC" w:rsidP="008524EE">
      <w:pPr>
        <w:rPr>
          <w:rFonts w:ascii="Arial" w:hAnsi="Arial" w:cs="Arial"/>
        </w:rPr>
      </w:pPr>
    </w:p>
    <w:p w14:paraId="02B4618C" w14:textId="5AF3EA2E" w:rsidR="00242A31" w:rsidRPr="000B6335" w:rsidRDefault="00B536E6" w:rsidP="008524EE">
      <w:pPr>
        <w:rPr>
          <w:rFonts w:ascii="Arial" w:hAnsi="Arial" w:cs="Arial"/>
        </w:rPr>
      </w:pPr>
      <w:r w:rsidRPr="000B6335">
        <w:rPr>
          <w:rFonts w:ascii="Arial" w:hAnsi="Arial" w:cs="Arial"/>
        </w:rPr>
        <w:t xml:space="preserve">S’agissant de la première exception, l’État défendeur soutient qu’une communication qui soulève des allégations similaires à la présente Requête a été déposée devant le CAEDBE, à savoir la Communication n° : 0012/Com/001/2019 dans l’affaire opposant </w:t>
      </w:r>
      <w:r w:rsidRPr="000B6335">
        <w:rPr>
          <w:rFonts w:ascii="Arial" w:hAnsi="Arial" w:cs="Arial"/>
          <w:i/>
          <w:iCs/>
        </w:rPr>
        <w:t>Legal and Human Rights Centre et Centre for Reproductive Rights (au nom de jeunes filles tanzaniennes)</w:t>
      </w:r>
      <w:r w:rsidRPr="000B6335">
        <w:rPr>
          <w:rFonts w:ascii="Arial" w:hAnsi="Arial" w:cs="Arial"/>
        </w:rPr>
        <w:t xml:space="preserve"> à la </w:t>
      </w:r>
      <w:r w:rsidRPr="000B6335">
        <w:rPr>
          <w:rFonts w:ascii="Arial" w:hAnsi="Arial" w:cs="Arial"/>
          <w:i/>
          <w:iCs/>
        </w:rPr>
        <w:t>République-Unie de Tanzanie</w:t>
      </w:r>
      <w:r w:rsidRPr="000B6335">
        <w:rPr>
          <w:rFonts w:ascii="Arial" w:hAnsi="Arial" w:cs="Arial"/>
        </w:rPr>
        <w:t xml:space="preserve">. </w:t>
      </w:r>
    </w:p>
    <w:p w14:paraId="65EC057F" w14:textId="77777777" w:rsidR="00242A31" w:rsidRPr="000B6335" w:rsidRDefault="00242A31" w:rsidP="008524EE">
      <w:pPr>
        <w:rPr>
          <w:rFonts w:ascii="Arial" w:hAnsi="Arial" w:cs="Arial"/>
          <w:lang w:eastAsia="en-GB"/>
        </w:rPr>
      </w:pPr>
    </w:p>
    <w:p w14:paraId="718FCCF4" w14:textId="17824300" w:rsidR="00242A31" w:rsidRPr="000B6335" w:rsidRDefault="00242A31" w:rsidP="008524EE">
      <w:pPr>
        <w:rPr>
          <w:rFonts w:ascii="Arial" w:hAnsi="Arial" w:cs="Arial"/>
        </w:rPr>
      </w:pPr>
      <w:r w:rsidRPr="000B6335">
        <w:rPr>
          <w:rFonts w:ascii="Arial" w:hAnsi="Arial" w:cs="Arial"/>
        </w:rPr>
        <w:t xml:space="preserve">L’État défendeur fait valoir que la communication devant le CAEDBE soulève des allégations relatives au droit à l’éducation et à la non-discrimination, protégé par la Charte et d’autres instruments régionaux et internationaux, notamment la Charte africaine des enfants. L’État défendeur se réfère à certaines des allégations contenues dans ladite communication, notamment celle selon laquelle les filles du niveau primaire et secondaire dont la grossesse est constatée sont expulsées de l’école sans possibilité de réadmission. </w:t>
      </w:r>
    </w:p>
    <w:p w14:paraId="33ADF049" w14:textId="77777777" w:rsidR="005A0DA2" w:rsidRPr="000B6335" w:rsidRDefault="005A0DA2" w:rsidP="008524EE">
      <w:pPr>
        <w:rPr>
          <w:rFonts w:ascii="Arial" w:hAnsi="Arial" w:cs="Arial"/>
          <w:lang w:eastAsia="en-GB"/>
        </w:rPr>
      </w:pPr>
    </w:p>
    <w:p w14:paraId="37DF6219" w14:textId="4C07A735" w:rsidR="005A0DA2" w:rsidRPr="000B6335" w:rsidRDefault="005A0DA2" w:rsidP="008524EE">
      <w:pPr>
        <w:rPr>
          <w:rFonts w:ascii="Arial" w:hAnsi="Arial" w:cs="Arial"/>
        </w:rPr>
      </w:pPr>
      <w:r w:rsidRPr="000B6335">
        <w:rPr>
          <w:rFonts w:ascii="Arial" w:hAnsi="Arial" w:cs="Arial"/>
        </w:rPr>
        <w:t>En outre, l’État défendeur se réfère à une autre requête introduite devant la Cour de justice de l’Afrique de l’Est, à savoir l</w:t>
      </w:r>
      <w:r w:rsidR="00A77AEF" w:rsidRPr="000B6335">
        <w:rPr>
          <w:rFonts w:ascii="Arial" w:hAnsi="Arial" w:cs="Arial"/>
        </w:rPr>
        <w:t>’affaire</w:t>
      </w:r>
      <w:r w:rsidRPr="000B6335">
        <w:rPr>
          <w:rFonts w:ascii="Arial" w:hAnsi="Arial" w:cs="Arial"/>
        </w:rPr>
        <w:t xml:space="preserve"> </w:t>
      </w:r>
      <w:r w:rsidRPr="000B6335">
        <w:rPr>
          <w:rFonts w:ascii="Arial" w:hAnsi="Arial" w:cs="Arial"/>
          <w:i/>
          <w:iCs/>
        </w:rPr>
        <w:t>n° 10 de 2020, Inclusive Development for Citizens et Center for Strategic Litigation contre l’Attorney General</w:t>
      </w:r>
      <w:r w:rsidRPr="000B6335">
        <w:rPr>
          <w:rFonts w:ascii="Arial" w:hAnsi="Arial" w:cs="Arial"/>
        </w:rPr>
        <w:t xml:space="preserve"> de la République-Unie de Tanzanie, qui, selon lui, soulève également des allégations similaires à la présente Requête. </w:t>
      </w:r>
    </w:p>
    <w:p w14:paraId="0E9C63F0" w14:textId="77777777" w:rsidR="005A0DA2" w:rsidRPr="000B6335" w:rsidRDefault="005A0DA2" w:rsidP="008524EE">
      <w:pPr>
        <w:rPr>
          <w:rFonts w:ascii="Arial" w:hAnsi="Arial" w:cs="Arial"/>
          <w:lang w:eastAsia="en-GB"/>
        </w:rPr>
      </w:pPr>
    </w:p>
    <w:p w14:paraId="41F2C36A" w14:textId="7F13EA13" w:rsidR="005A0DA2" w:rsidRPr="000B6335" w:rsidRDefault="005A0DA2" w:rsidP="008524EE">
      <w:pPr>
        <w:rPr>
          <w:rFonts w:ascii="Arial" w:hAnsi="Arial" w:cs="Arial"/>
        </w:rPr>
      </w:pPr>
      <w:r w:rsidRPr="000B6335">
        <w:rPr>
          <w:rFonts w:ascii="Arial" w:hAnsi="Arial" w:cs="Arial"/>
        </w:rPr>
        <w:t>L’État défendeur fait valoir que, dans ces circonstances, la présente Requête ne saurait être re</w:t>
      </w:r>
      <w:r w:rsidR="004A4CBC" w:rsidRPr="000B6335">
        <w:rPr>
          <w:rFonts w:ascii="Arial" w:hAnsi="Arial" w:cs="Arial"/>
        </w:rPr>
        <w:t>cevable dans</w:t>
      </w:r>
      <w:r w:rsidRPr="000B6335">
        <w:rPr>
          <w:rFonts w:ascii="Arial" w:hAnsi="Arial" w:cs="Arial"/>
        </w:rPr>
        <w:t xml:space="preserve"> la mesure où des allégations similaires ont été soulevées et sont toujours pendantes devant une autre instance internationale compétente pour les trancher. L’État défendeur soutient que la présente Requête se prête à l’application de la doctrine du </w:t>
      </w:r>
      <w:r w:rsidRPr="000B6335">
        <w:rPr>
          <w:rFonts w:ascii="Arial" w:hAnsi="Arial" w:cs="Arial"/>
          <w:i/>
          <w:iCs/>
        </w:rPr>
        <w:t>res subjudice</w:t>
      </w:r>
      <w:r w:rsidRPr="000B6335">
        <w:rPr>
          <w:rFonts w:ascii="Arial" w:hAnsi="Arial" w:cs="Arial"/>
        </w:rPr>
        <w:t xml:space="preserve"> qui interdit à deux juridictions internationales compétentes de statuer concomitamment sur une affaire </w:t>
      </w:r>
      <w:r w:rsidR="004A4CBC" w:rsidRPr="000B6335">
        <w:rPr>
          <w:rFonts w:ascii="Arial" w:hAnsi="Arial" w:cs="Arial"/>
        </w:rPr>
        <w:t>portant sur</w:t>
      </w:r>
      <w:r w:rsidRPr="000B6335">
        <w:rPr>
          <w:rFonts w:ascii="Arial" w:hAnsi="Arial" w:cs="Arial"/>
        </w:rPr>
        <w:t xml:space="preserve"> des allégations similaires.</w:t>
      </w:r>
    </w:p>
    <w:p w14:paraId="4D7E3D3B" w14:textId="3C9F6936" w:rsidR="00AB1C6E" w:rsidRPr="000B6335" w:rsidRDefault="00AB1C6E" w:rsidP="008524EE">
      <w:pPr>
        <w:rPr>
          <w:rFonts w:ascii="Arial" w:hAnsi="Arial" w:cs="Arial"/>
        </w:rPr>
      </w:pPr>
      <w:r w:rsidRPr="000B6335">
        <w:rPr>
          <w:rFonts w:ascii="Arial" w:hAnsi="Arial" w:cs="Arial"/>
        </w:rPr>
        <w:t>*</w:t>
      </w:r>
    </w:p>
    <w:p w14:paraId="4A941050" w14:textId="77777777" w:rsidR="007D32AF" w:rsidRPr="000B6335" w:rsidRDefault="007D32AF" w:rsidP="008524EE">
      <w:pPr>
        <w:rPr>
          <w:rFonts w:ascii="Arial" w:hAnsi="Arial" w:cs="Arial"/>
          <w:lang w:eastAsia="en-GB"/>
        </w:rPr>
      </w:pPr>
    </w:p>
    <w:p w14:paraId="202999D9" w14:textId="5BE0A4E6" w:rsidR="00AB1C6E" w:rsidRPr="000B6335" w:rsidRDefault="00AB1C6E" w:rsidP="008524EE">
      <w:pPr>
        <w:rPr>
          <w:rFonts w:ascii="Arial" w:hAnsi="Arial" w:cs="Arial"/>
        </w:rPr>
      </w:pPr>
      <w:r w:rsidRPr="000B6335">
        <w:rPr>
          <w:rFonts w:ascii="Arial" w:hAnsi="Arial" w:cs="Arial"/>
        </w:rPr>
        <w:t xml:space="preserve">Les Requérantes affirment que le Règlement ne reconnaît pas le </w:t>
      </w:r>
      <w:r w:rsidR="00B60139" w:rsidRPr="000B6335">
        <w:rPr>
          <w:rFonts w:ascii="Arial" w:hAnsi="Arial" w:cs="Arial"/>
        </w:rPr>
        <w:t xml:space="preserve">principe de </w:t>
      </w:r>
      <w:r w:rsidRPr="000B6335">
        <w:rPr>
          <w:rFonts w:ascii="Arial" w:hAnsi="Arial" w:cs="Arial"/>
          <w:i/>
          <w:iCs/>
        </w:rPr>
        <w:t>res subjudice</w:t>
      </w:r>
      <w:r w:rsidRPr="000B6335">
        <w:rPr>
          <w:rFonts w:ascii="Arial" w:hAnsi="Arial" w:cs="Arial"/>
        </w:rPr>
        <w:t xml:space="preserve">, au regard de sa règle 50(2)(g) qui reprend en substance les dispositions de l’article 56(7) de la Charte. </w:t>
      </w:r>
    </w:p>
    <w:p w14:paraId="312C7A6C" w14:textId="77777777" w:rsidR="003D3C21" w:rsidRPr="000B6335" w:rsidRDefault="003D3C21" w:rsidP="008524EE">
      <w:pPr>
        <w:rPr>
          <w:rFonts w:ascii="Arial" w:hAnsi="Arial" w:cs="Arial"/>
          <w:lang w:eastAsia="en-GB"/>
        </w:rPr>
      </w:pPr>
    </w:p>
    <w:p w14:paraId="14486BDB" w14:textId="5780DC24" w:rsidR="003D3C21" w:rsidRPr="000B6335" w:rsidRDefault="003D3C21" w:rsidP="008524EE">
      <w:pPr>
        <w:rPr>
          <w:rFonts w:ascii="Arial" w:hAnsi="Arial" w:cs="Arial"/>
        </w:rPr>
      </w:pPr>
      <w:r w:rsidRPr="000B6335">
        <w:rPr>
          <w:rFonts w:ascii="Arial" w:hAnsi="Arial" w:cs="Arial"/>
        </w:rPr>
        <w:t xml:space="preserve">Elles soutiennent que la question de l’illégalité de l’interdiction de scolarité fondée sur l’article n° 4 du Règlement sur l’éducation (expulsion et exclusion des élèves des écoles) et consolidée par les déclarations publiques qui tiennent lieu de politique gouvernementale, n’a pas encore été tranchée par une instance de compétence équivalente à celle de la Cour. </w:t>
      </w:r>
    </w:p>
    <w:p w14:paraId="740FF115" w14:textId="77777777" w:rsidR="003D3C21" w:rsidRPr="000B6335" w:rsidRDefault="003D3C21" w:rsidP="008524EE">
      <w:pPr>
        <w:rPr>
          <w:rFonts w:ascii="Arial" w:hAnsi="Arial" w:cs="Arial"/>
          <w:lang w:eastAsia="en-GB"/>
        </w:rPr>
      </w:pPr>
    </w:p>
    <w:p w14:paraId="16335141" w14:textId="6C6A1406" w:rsidR="003D3C21" w:rsidRPr="000B6335" w:rsidRDefault="003D3C21" w:rsidP="008524EE">
      <w:pPr>
        <w:rPr>
          <w:rFonts w:ascii="Arial" w:hAnsi="Arial" w:cs="Arial"/>
        </w:rPr>
      </w:pPr>
      <w:r w:rsidRPr="000B6335">
        <w:rPr>
          <w:rFonts w:ascii="Arial" w:hAnsi="Arial" w:cs="Arial"/>
        </w:rPr>
        <w:t>Les Requérantes font valoir que les affaires en cause ont été introduites par des parties différentes, qu’elles traitent de questions distinctes, qu’elles se fondent sur des arguments différents et qu’aucune décision n’a été rendue par une autre instance sur le fond des</w:t>
      </w:r>
      <w:r w:rsidR="006A0A83" w:rsidRPr="000B6335">
        <w:rPr>
          <w:rFonts w:ascii="Arial" w:hAnsi="Arial" w:cs="Arial"/>
        </w:rPr>
        <w:t>dites</w:t>
      </w:r>
      <w:r w:rsidRPr="000B6335">
        <w:rPr>
          <w:rFonts w:ascii="Arial" w:hAnsi="Arial" w:cs="Arial"/>
        </w:rPr>
        <w:t xml:space="preserve"> affaires.</w:t>
      </w:r>
    </w:p>
    <w:p w14:paraId="35241C39" w14:textId="77777777" w:rsidR="001E26A6" w:rsidRPr="000B6335" w:rsidRDefault="001E26A6" w:rsidP="008524EE">
      <w:pPr>
        <w:rPr>
          <w:rFonts w:ascii="Arial" w:hAnsi="Arial" w:cs="Arial"/>
          <w:lang w:eastAsia="en-GB"/>
        </w:rPr>
      </w:pPr>
    </w:p>
    <w:p w14:paraId="75EDD87F" w14:textId="2D8CAEB0" w:rsidR="001E26A6" w:rsidRPr="000B6335" w:rsidRDefault="001E26A6" w:rsidP="008524EE">
      <w:pPr>
        <w:rPr>
          <w:rFonts w:ascii="Arial" w:hAnsi="Arial" w:cs="Arial"/>
        </w:rPr>
      </w:pPr>
      <w:r w:rsidRPr="000B6335">
        <w:rPr>
          <w:rFonts w:ascii="Arial" w:hAnsi="Arial" w:cs="Arial"/>
        </w:rPr>
        <w:t>Étant donné, selon elles, qu’il n’existe pas de requêtes similaires ayant été réglées devant des juridictions de compétence équivalente, la Requête devant la Cour de céans ne relève pas de l’article 56(7) de la Charte et est, de ce fait, recevable.</w:t>
      </w:r>
    </w:p>
    <w:p w14:paraId="07F1BCB0" w14:textId="2535E770" w:rsidR="00AB1C6E" w:rsidRPr="000B6335" w:rsidRDefault="00AB1C6E" w:rsidP="008524EE">
      <w:pPr>
        <w:rPr>
          <w:rFonts w:ascii="Arial" w:hAnsi="Arial" w:cs="Arial"/>
        </w:rPr>
      </w:pPr>
      <w:r w:rsidRPr="000B6335">
        <w:rPr>
          <w:rFonts w:ascii="Arial" w:hAnsi="Arial" w:cs="Arial"/>
        </w:rPr>
        <w:t>***</w:t>
      </w:r>
    </w:p>
    <w:p w14:paraId="3EC040CD" w14:textId="77777777" w:rsidR="00642A7B" w:rsidRPr="000B6335" w:rsidRDefault="00642A7B" w:rsidP="008524EE">
      <w:pPr>
        <w:rPr>
          <w:rFonts w:ascii="Arial" w:hAnsi="Arial" w:cs="Arial"/>
        </w:rPr>
      </w:pPr>
    </w:p>
    <w:p w14:paraId="5CE4A1A7" w14:textId="6A274630" w:rsidR="005D5B88" w:rsidRPr="000B6335" w:rsidRDefault="005D5B88" w:rsidP="008524EE">
      <w:pPr>
        <w:rPr>
          <w:rFonts w:ascii="Arial" w:hAnsi="Arial" w:cs="Arial"/>
          <w:bCs/>
        </w:rPr>
      </w:pPr>
      <w:r w:rsidRPr="000B6335">
        <w:rPr>
          <w:rFonts w:ascii="Arial" w:hAnsi="Arial" w:cs="Arial"/>
          <w:bCs/>
        </w:rPr>
        <w:t xml:space="preserve">La Cour </w:t>
      </w:r>
      <w:r w:rsidR="006A0A83" w:rsidRPr="000B6335">
        <w:rPr>
          <w:rFonts w:ascii="Arial" w:hAnsi="Arial" w:cs="Arial"/>
          <w:bCs/>
        </w:rPr>
        <w:t xml:space="preserve">fait </w:t>
      </w:r>
      <w:r w:rsidRPr="000B6335">
        <w:rPr>
          <w:rFonts w:ascii="Arial" w:hAnsi="Arial" w:cs="Arial"/>
          <w:bCs/>
        </w:rPr>
        <w:t>observe</w:t>
      </w:r>
      <w:r w:rsidR="006A0A83" w:rsidRPr="000B6335">
        <w:rPr>
          <w:rFonts w:ascii="Arial" w:hAnsi="Arial" w:cs="Arial"/>
          <w:bCs/>
        </w:rPr>
        <w:t>r</w:t>
      </w:r>
      <w:r w:rsidRPr="000B6335">
        <w:rPr>
          <w:rFonts w:ascii="Arial" w:hAnsi="Arial" w:cs="Arial"/>
          <w:bCs/>
        </w:rPr>
        <w:t xml:space="preserve"> que l’État défendeur affirme que l</w:t>
      </w:r>
      <w:r w:rsidR="006A0A83" w:rsidRPr="000B6335">
        <w:rPr>
          <w:rFonts w:ascii="Arial" w:hAnsi="Arial" w:cs="Arial"/>
          <w:bCs/>
        </w:rPr>
        <w:t>e principe de</w:t>
      </w:r>
      <w:r w:rsidRPr="000B6335">
        <w:rPr>
          <w:rFonts w:ascii="Arial" w:hAnsi="Arial" w:cs="Arial"/>
          <w:bCs/>
        </w:rPr>
        <w:t xml:space="preserve"> </w:t>
      </w:r>
      <w:r w:rsidRPr="000B6335">
        <w:rPr>
          <w:rFonts w:ascii="Arial" w:hAnsi="Arial" w:cs="Arial"/>
          <w:bCs/>
          <w:i/>
          <w:iCs/>
        </w:rPr>
        <w:t>res subjudice</w:t>
      </w:r>
      <w:r w:rsidRPr="000B6335">
        <w:rPr>
          <w:rFonts w:ascii="Arial" w:hAnsi="Arial" w:cs="Arial"/>
          <w:bCs/>
        </w:rPr>
        <w:t xml:space="preserve"> est la règle de recevabilité applicable en l’espèce. Par ailleurs, la Cour relève dans le dossier que le CAEDBE a déjà adopté sa décision n° 002/2022 sur la Communication n° 0012/Com/001/2019 dans l’affaire opposant </w:t>
      </w:r>
      <w:r w:rsidRPr="000B6335">
        <w:rPr>
          <w:rFonts w:ascii="Arial" w:hAnsi="Arial" w:cs="Arial"/>
          <w:bCs/>
          <w:i/>
          <w:iCs/>
        </w:rPr>
        <w:t>Legal and Human Rights Centre</w:t>
      </w:r>
      <w:r w:rsidRPr="000B6335">
        <w:rPr>
          <w:rFonts w:ascii="Arial" w:hAnsi="Arial" w:cs="Arial"/>
          <w:bCs/>
        </w:rPr>
        <w:t xml:space="preserve"> et </w:t>
      </w:r>
      <w:r w:rsidRPr="000B6335">
        <w:rPr>
          <w:rFonts w:ascii="Arial" w:hAnsi="Arial" w:cs="Arial"/>
          <w:bCs/>
          <w:i/>
          <w:iCs/>
        </w:rPr>
        <w:t>Centre for Reproductive Rights</w:t>
      </w:r>
      <w:r w:rsidRPr="000B6335">
        <w:rPr>
          <w:rFonts w:ascii="Arial" w:hAnsi="Arial" w:cs="Arial"/>
          <w:bCs/>
        </w:rPr>
        <w:t xml:space="preserve"> (au nom de jeunes filles tanzaniennes) à la République-Unie de Tanzanie, lors de sa 39</w:t>
      </w:r>
      <w:r w:rsidRPr="000B6335">
        <w:rPr>
          <w:rFonts w:ascii="Arial" w:hAnsi="Arial" w:cs="Arial"/>
          <w:bCs/>
          <w:vertAlign w:val="superscript"/>
        </w:rPr>
        <w:t>e</w:t>
      </w:r>
      <w:r w:rsidRPr="000B6335">
        <w:rPr>
          <w:rFonts w:ascii="Arial" w:hAnsi="Arial" w:cs="Arial"/>
          <w:bCs/>
        </w:rPr>
        <w:t xml:space="preserve"> session ordinaire tenue en ligne du 21 mars au 1</w:t>
      </w:r>
      <w:r w:rsidRPr="000B6335">
        <w:rPr>
          <w:rFonts w:ascii="Arial" w:hAnsi="Arial" w:cs="Arial"/>
          <w:bCs/>
          <w:vertAlign w:val="superscript"/>
        </w:rPr>
        <w:t>er</w:t>
      </w:r>
      <w:r w:rsidRPr="000B6335">
        <w:rPr>
          <w:rFonts w:ascii="Arial" w:hAnsi="Arial" w:cs="Arial"/>
          <w:bCs/>
        </w:rPr>
        <w:t xml:space="preserve"> avril 2022.</w:t>
      </w:r>
    </w:p>
    <w:p w14:paraId="4A1A5B8F" w14:textId="77777777" w:rsidR="005D5B88" w:rsidRPr="000B6335" w:rsidRDefault="005D5B88" w:rsidP="008524EE">
      <w:pPr>
        <w:rPr>
          <w:rFonts w:ascii="Arial" w:hAnsi="Arial" w:cs="Arial"/>
          <w:bCs/>
          <w:lang w:eastAsia="en-GB"/>
        </w:rPr>
      </w:pPr>
    </w:p>
    <w:p w14:paraId="70375942" w14:textId="31DB025C" w:rsidR="005D5B88" w:rsidRPr="000B6335" w:rsidRDefault="005D5B88" w:rsidP="008524EE">
      <w:pPr>
        <w:rPr>
          <w:rFonts w:ascii="Arial" w:hAnsi="Arial" w:cs="Arial"/>
          <w:bCs/>
        </w:rPr>
      </w:pPr>
      <w:r w:rsidRPr="000B6335">
        <w:rPr>
          <w:rFonts w:ascii="Arial" w:hAnsi="Arial" w:cs="Arial"/>
          <w:bCs/>
        </w:rPr>
        <w:t>La Cour estime donc que l</w:t>
      </w:r>
      <w:r w:rsidR="006A0A83" w:rsidRPr="000B6335">
        <w:rPr>
          <w:rFonts w:ascii="Arial" w:hAnsi="Arial" w:cs="Arial"/>
          <w:bCs/>
        </w:rPr>
        <w:t>a présente affaire</w:t>
      </w:r>
      <w:r w:rsidRPr="000B6335">
        <w:rPr>
          <w:rFonts w:ascii="Arial" w:hAnsi="Arial" w:cs="Arial"/>
          <w:bCs/>
        </w:rPr>
        <w:t xml:space="preserve"> ne relève plus d</w:t>
      </w:r>
      <w:r w:rsidR="006A0A83" w:rsidRPr="000B6335">
        <w:rPr>
          <w:rFonts w:ascii="Arial" w:hAnsi="Arial" w:cs="Arial"/>
          <w:bCs/>
        </w:rPr>
        <w:t>u principe de</w:t>
      </w:r>
      <w:r w:rsidRPr="000B6335">
        <w:rPr>
          <w:rFonts w:ascii="Arial" w:hAnsi="Arial" w:cs="Arial"/>
          <w:bCs/>
        </w:rPr>
        <w:t xml:space="preserve"> </w:t>
      </w:r>
      <w:r w:rsidRPr="000B6335">
        <w:rPr>
          <w:rFonts w:ascii="Arial" w:hAnsi="Arial" w:cs="Arial"/>
          <w:bCs/>
          <w:i/>
          <w:iCs/>
        </w:rPr>
        <w:t>res subjudice</w:t>
      </w:r>
      <w:r w:rsidRPr="000B6335">
        <w:rPr>
          <w:rFonts w:ascii="Arial" w:hAnsi="Arial" w:cs="Arial"/>
          <w:bCs/>
        </w:rPr>
        <w:t xml:space="preserve">, mais qu’elle doit plutôt examiner si celle-ci a été réglée conformément aux principes </w:t>
      </w:r>
      <w:r w:rsidR="00861FFD" w:rsidRPr="000B6335">
        <w:rPr>
          <w:rFonts w:ascii="Arial" w:hAnsi="Arial" w:cs="Arial"/>
          <w:bCs/>
        </w:rPr>
        <w:t xml:space="preserve">énoncés par </w:t>
      </w:r>
      <w:r w:rsidRPr="000B6335">
        <w:rPr>
          <w:rFonts w:ascii="Arial" w:hAnsi="Arial" w:cs="Arial"/>
          <w:bCs/>
        </w:rPr>
        <w:t>un des instruments prévus à l’article 56(7) de la Charte.</w:t>
      </w:r>
    </w:p>
    <w:p w14:paraId="4F9AC15C" w14:textId="77777777" w:rsidR="005D5B88" w:rsidRPr="000B6335" w:rsidRDefault="005D5B88" w:rsidP="008524EE">
      <w:pPr>
        <w:rPr>
          <w:rFonts w:ascii="Arial" w:hAnsi="Arial" w:cs="Arial"/>
          <w:bCs/>
        </w:rPr>
      </w:pPr>
    </w:p>
    <w:p w14:paraId="48257C3F" w14:textId="143DE943" w:rsidR="005D5B88" w:rsidRPr="000B6335" w:rsidRDefault="005D5B88" w:rsidP="008524EE">
      <w:pPr>
        <w:rPr>
          <w:rFonts w:ascii="Arial" w:hAnsi="Arial" w:cs="Arial"/>
          <w:bCs/>
        </w:rPr>
      </w:pPr>
      <w:r w:rsidRPr="000B6335">
        <w:rPr>
          <w:rFonts w:ascii="Arial" w:hAnsi="Arial" w:cs="Arial"/>
          <w:bCs/>
        </w:rPr>
        <w:t xml:space="preserve">La Cour relève que, conformément à l’article 56(7) de la Charte, dont les dispositions sont reprises à la règle 50(2)(g) du Règlement, toute requête déposée devant elle doit remplir la condition </w:t>
      </w:r>
      <w:r w:rsidR="000A5278" w:rsidRPr="000B6335">
        <w:rPr>
          <w:rFonts w:ascii="Arial" w:hAnsi="Arial" w:cs="Arial"/>
          <w:bCs/>
        </w:rPr>
        <w:t xml:space="preserve">selon laquelle </w:t>
      </w:r>
      <w:r w:rsidRPr="000B6335">
        <w:rPr>
          <w:rFonts w:ascii="Arial" w:hAnsi="Arial" w:cs="Arial"/>
          <w:bCs/>
        </w:rPr>
        <w:t>elle « ne [</w:t>
      </w:r>
      <w:r w:rsidR="000A5278" w:rsidRPr="000B6335">
        <w:rPr>
          <w:rFonts w:ascii="Arial" w:hAnsi="Arial" w:cs="Arial"/>
          <w:bCs/>
        </w:rPr>
        <w:t>doit</w:t>
      </w:r>
      <w:r w:rsidRPr="000B6335">
        <w:rPr>
          <w:rFonts w:ascii="Arial" w:hAnsi="Arial" w:cs="Arial"/>
          <w:bCs/>
        </w:rPr>
        <w:t>] pas concerner des affaires qui ont été réglées par les États concernés, conformément aux principes de la Charte des Nations Unies, de l’Acte constitutif de l’Union africaine ou des dispositions de la Charte ».</w:t>
      </w:r>
    </w:p>
    <w:p w14:paraId="611C6436" w14:textId="77777777" w:rsidR="005D5B88" w:rsidRPr="000B6335" w:rsidRDefault="005D5B88" w:rsidP="008524EE">
      <w:pPr>
        <w:rPr>
          <w:rFonts w:ascii="Arial" w:hAnsi="Arial" w:cs="Arial"/>
          <w:bCs/>
          <w:lang w:eastAsia="en-GB"/>
        </w:rPr>
      </w:pPr>
    </w:p>
    <w:p w14:paraId="193D57F7" w14:textId="7D72422D" w:rsidR="005D5B88" w:rsidRPr="000B6335" w:rsidRDefault="005D5B88" w:rsidP="008524EE">
      <w:pPr>
        <w:rPr>
          <w:rFonts w:ascii="Arial" w:hAnsi="Arial" w:cs="Arial"/>
          <w:bCs/>
        </w:rPr>
      </w:pPr>
      <w:r w:rsidRPr="000B6335">
        <w:rPr>
          <w:rFonts w:ascii="Arial" w:hAnsi="Arial" w:cs="Arial"/>
          <w:bCs/>
        </w:rPr>
        <w:t xml:space="preserve">La Cour rappelle que la raison d’être de l’article 56(7) de la Charte est d’empêcher que les États membres soient poursuivis </w:t>
      </w:r>
      <w:r w:rsidR="00394128" w:rsidRPr="000B6335">
        <w:rPr>
          <w:rFonts w:ascii="Arial" w:hAnsi="Arial" w:cs="Arial"/>
          <w:bCs/>
        </w:rPr>
        <w:t>plus d’une</w:t>
      </w:r>
      <w:r w:rsidRPr="000B6335">
        <w:rPr>
          <w:rFonts w:ascii="Arial" w:hAnsi="Arial" w:cs="Arial"/>
          <w:bCs/>
        </w:rPr>
        <w:t xml:space="preserve"> fois pour les mêmes violations des droits de l’homme.</w:t>
      </w:r>
      <w:r w:rsidRPr="000B6335">
        <w:rPr>
          <w:rFonts w:ascii="Arial" w:hAnsi="Arial" w:cs="Arial"/>
          <w:bCs/>
          <w:vertAlign w:val="superscript"/>
          <w:lang w:eastAsia="en-GB"/>
        </w:rPr>
        <w:footnoteReference w:id="5"/>
      </w:r>
    </w:p>
    <w:p w14:paraId="162F43A3" w14:textId="77777777" w:rsidR="005D5B88" w:rsidRPr="000B6335" w:rsidRDefault="005D5B88" w:rsidP="008524EE">
      <w:pPr>
        <w:rPr>
          <w:rFonts w:ascii="Arial" w:hAnsi="Arial" w:cs="Arial"/>
          <w:bCs/>
        </w:rPr>
      </w:pPr>
    </w:p>
    <w:p w14:paraId="362479F1" w14:textId="4C66774C" w:rsidR="005D5B88" w:rsidRPr="000B6335" w:rsidRDefault="005D5B88" w:rsidP="008524EE">
      <w:pPr>
        <w:rPr>
          <w:rFonts w:ascii="Arial" w:hAnsi="Arial" w:cs="Arial"/>
          <w:bCs/>
        </w:rPr>
      </w:pPr>
      <w:r w:rsidRPr="000B6335">
        <w:rPr>
          <w:rFonts w:ascii="Arial" w:hAnsi="Arial" w:cs="Arial"/>
          <w:bCs/>
        </w:rPr>
        <w:t xml:space="preserve">La Cour rappelle, en outre, que dans ses décisions antérieures dans les affaires </w:t>
      </w:r>
      <w:r w:rsidRPr="000B6335">
        <w:rPr>
          <w:rFonts w:ascii="Arial" w:hAnsi="Arial" w:cs="Arial"/>
          <w:bCs/>
          <w:i/>
          <w:iCs/>
        </w:rPr>
        <w:t>Gombert Jean-Claude Roger c. République de Côte d’Ivoire</w:t>
      </w:r>
      <w:r w:rsidR="001A703A" w:rsidRPr="000B6335">
        <w:rPr>
          <w:rStyle w:val="FootnoteReference"/>
          <w:rFonts w:ascii="Arial" w:hAnsi="Arial" w:cs="Arial"/>
          <w:bCs/>
          <w:i/>
          <w:iCs/>
        </w:rPr>
        <w:footnoteReference w:id="6"/>
      </w:r>
      <w:r w:rsidRPr="000B6335">
        <w:rPr>
          <w:rFonts w:ascii="Arial" w:hAnsi="Arial" w:cs="Arial"/>
          <w:bCs/>
        </w:rPr>
        <w:t xml:space="preserve"> et </w:t>
      </w:r>
      <w:r w:rsidRPr="000B6335">
        <w:rPr>
          <w:rFonts w:ascii="Arial" w:hAnsi="Arial" w:cs="Arial"/>
          <w:bCs/>
          <w:i/>
          <w:iCs/>
        </w:rPr>
        <w:t>Dexter Eddie Johnson c. République du Ghana</w:t>
      </w:r>
      <w:r w:rsidR="008221E9" w:rsidRPr="000B6335">
        <w:rPr>
          <w:rFonts w:ascii="Arial" w:hAnsi="Arial" w:cs="Arial"/>
          <w:bCs/>
          <w:i/>
          <w:iCs/>
        </w:rPr>
        <w:t>,</w:t>
      </w:r>
      <w:r w:rsidR="001A703A" w:rsidRPr="000B6335">
        <w:rPr>
          <w:rStyle w:val="FootnoteReference"/>
          <w:rFonts w:ascii="Arial" w:hAnsi="Arial" w:cs="Arial"/>
          <w:bCs/>
          <w:i/>
          <w:iCs/>
        </w:rPr>
        <w:footnoteReference w:id="7"/>
      </w:r>
      <w:r w:rsidRPr="000B6335">
        <w:rPr>
          <w:rFonts w:ascii="Arial" w:hAnsi="Arial" w:cs="Arial"/>
          <w:bCs/>
        </w:rPr>
        <w:t xml:space="preserve"> elle a défini trois critères cumulatifs à l’aune desquelles elle apprécie si les conditions de recevabilité prévues à l’article 56(7) de la Charte et à la règle 50(2)(g) du Règlement ont été satisfaites.</w:t>
      </w:r>
    </w:p>
    <w:p w14:paraId="3066F41C" w14:textId="77777777" w:rsidR="005D5B88" w:rsidRPr="000B6335" w:rsidRDefault="005D5B88" w:rsidP="008524EE">
      <w:pPr>
        <w:rPr>
          <w:rFonts w:ascii="Arial" w:hAnsi="Arial" w:cs="Arial"/>
          <w:bCs/>
        </w:rPr>
      </w:pPr>
    </w:p>
    <w:p w14:paraId="78AF9CAD" w14:textId="5DE138AB" w:rsidR="005D5B88" w:rsidRPr="000B6335" w:rsidRDefault="00AE0BE9" w:rsidP="008524EE">
      <w:pPr>
        <w:rPr>
          <w:rFonts w:ascii="Arial" w:hAnsi="Arial" w:cs="Arial"/>
          <w:bCs/>
        </w:rPr>
      </w:pPr>
      <w:r w:rsidRPr="000B6335">
        <w:rPr>
          <w:rFonts w:ascii="Arial" w:hAnsi="Arial" w:cs="Arial"/>
        </w:rPr>
        <w:t>La Cour a conclu dans</w:t>
      </w:r>
      <w:r w:rsidRPr="000B6335">
        <w:rPr>
          <w:rFonts w:ascii="Arial" w:hAnsi="Arial" w:cs="Arial"/>
          <w:bCs/>
        </w:rPr>
        <w:t xml:space="preserve"> </w:t>
      </w:r>
      <w:r w:rsidR="005D5B88" w:rsidRPr="000B6335">
        <w:rPr>
          <w:rFonts w:ascii="Arial" w:hAnsi="Arial" w:cs="Arial"/>
          <w:bCs/>
        </w:rPr>
        <w:t xml:space="preserve">l’affaire </w:t>
      </w:r>
      <w:r w:rsidR="005D5B88" w:rsidRPr="000B6335">
        <w:rPr>
          <w:rFonts w:ascii="Arial" w:hAnsi="Arial" w:cs="Arial"/>
          <w:bCs/>
          <w:i/>
          <w:iCs/>
        </w:rPr>
        <w:t>Dexter Eddie Johnson</w:t>
      </w:r>
      <w:r w:rsidR="005D5B88" w:rsidRPr="000B6335">
        <w:rPr>
          <w:rFonts w:ascii="Arial" w:hAnsi="Arial" w:cs="Arial"/>
          <w:bCs/>
        </w:rPr>
        <w:t xml:space="preserve"> </w:t>
      </w:r>
      <w:r w:rsidR="005D5B88" w:rsidRPr="000B6335">
        <w:rPr>
          <w:rFonts w:ascii="Arial" w:hAnsi="Arial" w:cs="Arial"/>
          <w:bCs/>
          <w:i/>
          <w:iCs/>
        </w:rPr>
        <w:t>c. République du Ghana</w:t>
      </w:r>
      <w:r w:rsidR="005D5B88" w:rsidRPr="000B6335">
        <w:rPr>
          <w:rFonts w:ascii="Arial" w:hAnsi="Arial" w:cs="Arial"/>
          <w:bCs/>
        </w:rPr>
        <w:t>, comme suit :</w:t>
      </w:r>
    </w:p>
    <w:p w14:paraId="041A9622" w14:textId="77777777" w:rsidR="005D5B88" w:rsidRPr="000B6335" w:rsidRDefault="005D5B88" w:rsidP="008524EE">
      <w:pPr>
        <w:rPr>
          <w:rFonts w:ascii="Arial" w:hAnsi="Arial" w:cs="Arial"/>
          <w:bCs/>
        </w:rPr>
      </w:pPr>
    </w:p>
    <w:p w14:paraId="0AFE3E71" w14:textId="60777753" w:rsidR="005D5B88" w:rsidRPr="000B6335" w:rsidRDefault="005D5B88" w:rsidP="008524EE">
      <w:pPr>
        <w:rPr>
          <w:rFonts w:ascii="Arial" w:hAnsi="Arial" w:cs="Arial"/>
          <w:bCs/>
          <w:sz w:val="22"/>
          <w:szCs w:val="22"/>
        </w:rPr>
      </w:pPr>
      <w:r w:rsidRPr="000B6335">
        <w:rPr>
          <w:rFonts w:ascii="Arial" w:hAnsi="Arial" w:cs="Arial"/>
          <w:bCs/>
          <w:sz w:val="22"/>
        </w:rPr>
        <w:t>la notion de « règlement</w:t>
      </w:r>
      <w:r w:rsidR="00521D08" w:rsidRPr="000B6335">
        <w:rPr>
          <w:rFonts w:ascii="Arial" w:hAnsi="Arial" w:cs="Arial"/>
          <w:bCs/>
          <w:sz w:val="22"/>
        </w:rPr>
        <w:t> </w:t>
      </w:r>
      <w:r w:rsidRPr="000B6335">
        <w:rPr>
          <w:rFonts w:ascii="Arial" w:hAnsi="Arial" w:cs="Arial"/>
          <w:bCs/>
          <w:sz w:val="22"/>
        </w:rPr>
        <w:t>» exige la combinaison de trois principales conditions : (i) l’identité des parties ; (ii) l’identité des requêtes ou leur nature</w:t>
      </w:r>
      <w:r w:rsidR="00521D08" w:rsidRPr="000B6335">
        <w:rPr>
          <w:rFonts w:ascii="Arial" w:hAnsi="Arial" w:cs="Arial"/>
          <w:bCs/>
          <w:sz w:val="22"/>
        </w:rPr>
        <w:t xml:space="preserve"> </w:t>
      </w:r>
      <w:r w:rsidRPr="000B6335">
        <w:rPr>
          <w:rFonts w:ascii="Arial" w:hAnsi="Arial" w:cs="Arial"/>
          <w:bCs/>
          <w:sz w:val="22"/>
        </w:rPr>
        <w:t>supplémentaire ou alternative ou encore si l’affaire découle d’une</w:t>
      </w:r>
      <w:r w:rsidR="00521D08" w:rsidRPr="000B6335">
        <w:rPr>
          <w:rFonts w:ascii="Arial" w:hAnsi="Arial" w:cs="Arial"/>
          <w:bCs/>
          <w:sz w:val="22"/>
        </w:rPr>
        <w:t xml:space="preserve"> </w:t>
      </w:r>
      <w:r w:rsidRPr="000B6335">
        <w:rPr>
          <w:rFonts w:ascii="Arial" w:hAnsi="Arial" w:cs="Arial"/>
          <w:bCs/>
          <w:sz w:val="22"/>
        </w:rPr>
        <w:t>requête introduite dans l’affaire initiale ; et (iii) l’existence d’un</w:t>
      </w:r>
      <w:r w:rsidR="00521D08" w:rsidRPr="000B6335">
        <w:rPr>
          <w:rFonts w:ascii="Arial" w:hAnsi="Arial" w:cs="Arial"/>
          <w:bCs/>
          <w:sz w:val="22"/>
        </w:rPr>
        <w:t xml:space="preserve">e </w:t>
      </w:r>
      <w:r w:rsidRPr="000B6335">
        <w:rPr>
          <w:rFonts w:ascii="Arial" w:hAnsi="Arial" w:cs="Arial"/>
          <w:bCs/>
          <w:sz w:val="22"/>
        </w:rPr>
        <w:t>première décision sur le fond.</w:t>
      </w:r>
      <w:r w:rsidRPr="000B6335">
        <w:rPr>
          <w:rFonts w:ascii="Arial" w:hAnsi="Arial" w:cs="Arial"/>
          <w:bCs/>
          <w:sz w:val="22"/>
          <w:szCs w:val="22"/>
          <w:vertAlign w:val="superscript"/>
        </w:rPr>
        <w:footnoteReference w:id="8"/>
      </w:r>
    </w:p>
    <w:p w14:paraId="56AE2F58" w14:textId="77777777" w:rsidR="005D5B88" w:rsidRPr="000B6335" w:rsidRDefault="005D5B88" w:rsidP="008524EE">
      <w:pPr>
        <w:rPr>
          <w:rFonts w:ascii="Arial" w:hAnsi="Arial" w:cs="Arial"/>
          <w:bCs/>
          <w:lang w:eastAsia="en-GB"/>
        </w:rPr>
      </w:pPr>
    </w:p>
    <w:p w14:paraId="735B28F1" w14:textId="7F44E595" w:rsidR="005D5B88" w:rsidRPr="000B6335" w:rsidRDefault="005D5B88" w:rsidP="008524EE">
      <w:pPr>
        <w:rPr>
          <w:rFonts w:ascii="Arial" w:hAnsi="Arial" w:cs="Arial"/>
          <w:bCs/>
        </w:rPr>
      </w:pPr>
      <w:r w:rsidRPr="000B6335">
        <w:rPr>
          <w:rFonts w:ascii="Arial" w:hAnsi="Arial" w:cs="Arial"/>
          <w:bCs/>
        </w:rPr>
        <w:lastRenderedPageBreak/>
        <w:t xml:space="preserve">S’agissant du critère de « l’identité des parties », la Cour </w:t>
      </w:r>
      <w:r w:rsidR="00FC7E4D" w:rsidRPr="000B6335">
        <w:rPr>
          <w:rFonts w:ascii="Arial" w:hAnsi="Arial" w:cs="Arial"/>
          <w:bCs/>
        </w:rPr>
        <w:t xml:space="preserve">fait </w:t>
      </w:r>
      <w:r w:rsidRPr="000B6335">
        <w:rPr>
          <w:rFonts w:ascii="Arial" w:hAnsi="Arial" w:cs="Arial"/>
          <w:bCs/>
        </w:rPr>
        <w:t>observe</w:t>
      </w:r>
      <w:r w:rsidR="00FC7E4D" w:rsidRPr="000B6335">
        <w:rPr>
          <w:rFonts w:ascii="Arial" w:hAnsi="Arial" w:cs="Arial"/>
          <w:bCs/>
        </w:rPr>
        <w:t>r</w:t>
      </w:r>
      <w:r w:rsidRPr="000B6335">
        <w:rPr>
          <w:rFonts w:ascii="Arial" w:hAnsi="Arial" w:cs="Arial"/>
          <w:bCs/>
        </w:rPr>
        <w:t xml:space="preserve"> que l’État défendeur </w:t>
      </w:r>
      <w:r w:rsidR="00FC7E4D" w:rsidRPr="000B6335">
        <w:rPr>
          <w:rFonts w:ascii="Arial" w:hAnsi="Arial" w:cs="Arial"/>
          <w:bCs/>
        </w:rPr>
        <w:t xml:space="preserve">est le même </w:t>
      </w:r>
      <w:r w:rsidRPr="000B6335">
        <w:rPr>
          <w:rFonts w:ascii="Arial" w:hAnsi="Arial" w:cs="Arial"/>
          <w:bCs/>
        </w:rPr>
        <w:t>dans les procédures devant le CAEDBE et dans la présente Requête. La Cour relève, toutefois, que les Requérants dans les différentes procédures ne sont pas les mêmes.</w:t>
      </w:r>
      <w:r w:rsidRPr="000B6335">
        <w:rPr>
          <w:rFonts w:ascii="Arial" w:hAnsi="Arial" w:cs="Arial"/>
          <w:bCs/>
          <w:vertAlign w:val="superscript"/>
          <w:lang w:eastAsia="en-GB"/>
        </w:rPr>
        <w:footnoteReference w:id="9"/>
      </w:r>
      <w:r w:rsidRPr="000B6335">
        <w:rPr>
          <w:rFonts w:ascii="Arial" w:hAnsi="Arial" w:cs="Arial"/>
          <w:bCs/>
        </w:rPr>
        <w:t xml:space="preserve"> La communication devant le CAEDBE a été introduite par deux ONG, à savoir </w:t>
      </w:r>
      <w:r w:rsidRPr="000B6335">
        <w:rPr>
          <w:rFonts w:ascii="Arial" w:hAnsi="Arial" w:cs="Arial"/>
          <w:bCs/>
          <w:i/>
          <w:iCs/>
        </w:rPr>
        <w:t>Legal and Human Rights Center</w:t>
      </w:r>
      <w:r w:rsidRPr="000B6335">
        <w:rPr>
          <w:rFonts w:ascii="Arial" w:hAnsi="Arial" w:cs="Arial"/>
          <w:bCs/>
        </w:rPr>
        <w:t xml:space="preserve"> et </w:t>
      </w:r>
      <w:r w:rsidRPr="000B6335">
        <w:rPr>
          <w:rFonts w:ascii="Arial" w:hAnsi="Arial" w:cs="Arial"/>
          <w:bCs/>
          <w:i/>
          <w:iCs/>
        </w:rPr>
        <w:t>Center for Reproductive Rights</w:t>
      </w:r>
      <w:r w:rsidRPr="000B6335">
        <w:rPr>
          <w:rFonts w:ascii="Arial" w:hAnsi="Arial" w:cs="Arial"/>
          <w:bCs/>
        </w:rPr>
        <w:t xml:space="preserve">. La Requête en l’espèce a été introduite par un individu, en la personne de Tike Mwambipile et une ONG, à savoir </w:t>
      </w:r>
      <w:r w:rsidRPr="000B6335">
        <w:rPr>
          <w:rFonts w:ascii="Arial" w:hAnsi="Arial" w:cs="Arial"/>
          <w:bCs/>
          <w:i/>
          <w:iCs/>
        </w:rPr>
        <w:t>Equality Now</w:t>
      </w:r>
      <w:r w:rsidRPr="000B6335">
        <w:rPr>
          <w:rFonts w:ascii="Arial" w:hAnsi="Arial" w:cs="Arial"/>
          <w:bCs/>
        </w:rPr>
        <w:t>.</w:t>
      </w:r>
    </w:p>
    <w:p w14:paraId="0B3EADEC" w14:textId="77777777" w:rsidR="005D5B88" w:rsidRPr="000B6335" w:rsidRDefault="005D5B88" w:rsidP="008524EE">
      <w:pPr>
        <w:rPr>
          <w:rFonts w:ascii="Arial" w:hAnsi="Arial" w:cs="Arial"/>
          <w:bCs/>
          <w:lang w:eastAsia="en-GB"/>
        </w:rPr>
      </w:pPr>
    </w:p>
    <w:p w14:paraId="38C27BF7" w14:textId="77777777" w:rsidR="00BB0DAC" w:rsidRPr="000B6335" w:rsidRDefault="005D5B88" w:rsidP="008524EE">
      <w:pPr>
        <w:rPr>
          <w:rFonts w:ascii="Arial" w:hAnsi="Arial" w:cs="Arial"/>
          <w:bCs/>
        </w:rPr>
      </w:pPr>
      <w:r w:rsidRPr="000B6335">
        <w:rPr>
          <w:rFonts w:ascii="Arial" w:hAnsi="Arial" w:cs="Arial"/>
          <w:bCs/>
        </w:rPr>
        <w:t>La Cour estime, toutefois, que les deux affaires peuvent toutes être qualifiées de procédures d’intérêt public. Conformément à sa jurisprudence établie, l’identité des parties dans différentes requêtes peut être considérée similaire dans la mesure où elles visent toutes deux à protéger l’intérêt du public dans son ensemble, plutôt que seulement des intérêts privés spécifiques.</w:t>
      </w:r>
      <w:r w:rsidRPr="000B6335">
        <w:rPr>
          <w:rFonts w:ascii="Arial" w:hAnsi="Arial" w:cs="Arial"/>
          <w:bCs/>
          <w:vertAlign w:val="superscript"/>
          <w:lang w:eastAsia="en-GB"/>
        </w:rPr>
        <w:footnoteReference w:id="10"/>
      </w:r>
      <w:r w:rsidRPr="000B6335">
        <w:rPr>
          <w:rFonts w:ascii="Arial" w:hAnsi="Arial" w:cs="Arial"/>
          <w:bCs/>
        </w:rPr>
        <w:t xml:space="preserve"> </w:t>
      </w:r>
    </w:p>
    <w:p w14:paraId="0513FD92" w14:textId="77777777" w:rsidR="00950316" w:rsidRPr="000B6335" w:rsidRDefault="00950316" w:rsidP="008524EE">
      <w:pPr>
        <w:rPr>
          <w:rFonts w:ascii="Arial" w:hAnsi="Arial" w:cs="Arial"/>
          <w:bCs/>
        </w:rPr>
      </w:pPr>
    </w:p>
    <w:p w14:paraId="7EA300AF" w14:textId="0B382C9B" w:rsidR="005D5B88" w:rsidRPr="000B6335" w:rsidRDefault="005D5B88" w:rsidP="008524EE">
      <w:pPr>
        <w:rPr>
          <w:rFonts w:ascii="Arial" w:hAnsi="Arial" w:cs="Arial"/>
          <w:bCs/>
        </w:rPr>
      </w:pPr>
      <w:r w:rsidRPr="000B6335">
        <w:rPr>
          <w:rFonts w:ascii="Arial" w:hAnsi="Arial" w:cs="Arial"/>
          <w:bCs/>
        </w:rPr>
        <w:t xml:space="preserve">Par conséquent, la Cour estime que le critère </w:t>
      </w:r>
      <w:r w:rsidRPr="000B6335">
        <w:rPr>
          <w:rFonts w:ascii="Arial" w:hAnsi="Arial" w:cs="Arial"/>
        </w:rPr>
        <w:t>d</w:t>
      </w:r>
      <w:r w:rsidR="00AE0BE9" w:rsidRPr="000B6335">
        <w:rPr>
          <w:rFonts w:ascii="Arial" w:hAnsi="Arial" w:cs="Arial"/>
        </w:rPr>
        <w:t>e l</w:t>
      </w:r>
      <w:r w:rsidRPr="000B6335">
        <w:rPr>
          <w:rFonts w:ascii="Arial" w:hAnsi="Arial" w:cs="Arial"/>
        </w:rPr>
        <w:t>’«</w:t>
      </w:r>
      <w:r w:rsidRPr="000B6335">
        <w:rPr>
          <w:rFonts w:ascii="Arial" w:hAnsi="Arial" w:cs="Arial"/>
          <w:bCs/>
        </w:rPr>
        <w:t xml:space="preserve"> identité des parties» est rempli. </w:t>
      </w:r>
    </w:p>
    <w:p w14:paraId="4E5E447E" w14:textId="77777777" w:rsidR="005D5B88" w:rsidRPr="000B6335" w:rsidRDefault="005D5B88" w:rsidP="008524EE">
      <w:pPr>
        <w:rPr>
          <w:rFonts w:ascii="Arial" w:hAnsi="Arial" w:cs="Arial"/>
          <w:bCs/>
          <w:lang w:eastAsia="en-GB"/>
        </w:rPr>
      </w:pPr>
    </w:p>
    <w:p w14:paraId="117666A0" w14:textId="2A0FC6CC" w:rsidR="005D5B88" w:rsidRPr="000B6335" w:rsidRDefault="005D5B88" w:rsidP="008524EE">
      <w:pPr>
        <w:rPr>
          <w:rFonts w:ascii="Arial" w:hAnsi="Arial" w:cs="Arial"/>
          <w:bCs/>
        </w:rPr>
      </w:pPr>
      <w:r w:rsidRPr="000B6335">
        <w:rPr>
          <w:rFonts w:ascii="Arial" w:hAnsi="Arial" w:cs="Arial"/>
          <w:bCs/>
        </w:rPr>
        <w:t>Le deuxième critère concerne la similitude de l’objet des requêtes. Il ressort de l’examen de l’objet des</w:t>
      </w:r>
      <w:r w:rsidR="0094277E" w:rsidRPr="000B6335">
        <w:rPr>
          <w:rFonts w:ascii="Arial" w:hAnsi="Arial" w:cs="Arial"/>
          <w:bCs/>
        </w:rPr>
        <w:t>dites</w:t>
      </w:r>
      <w:r w:rsidRPr="000B6335">
        <w:rPr>
          <w:rFonts w:ascii="Arial" w:hAnsi="Arial" w:cs="Arial"/>
          <w:bCs/>
        </w:rPr>
        <w:t xml:space="preserve"> requêtes que celles-ci contestent la même loi, à savoir l’article 4 du Règlement sur l’éducation (Expulsion et exclusion des élèves des établissements scolaires) de 2002 et la même pratique consistant à exclure les filles enceintes et les jeunes mères des établissements scolaires, ainsi que les pratiques discriminatoires qui y sont associées, notamment les tests de grossesse obligatoires.</w:t>
      </w:r>
    </w:p>
    <w:p w14:paraId="064BBB3B" w14:textId="77777777" w:rsidR="005D5B88" w:rsidRPr="000B6335" w:rsidRDefault="005D5B88" w:rsidP="008524EE">
      <w:pPr>
        <w:rPr>
          <w:rFonts w:ascii="Arial" w:hAnsi="Arial" w:cs="Arial"/>
          <w:bCs/>
          <w:lang w:eastAsia="en-GB"/>
        </w:rPr>
      </w:pPr>
    </w:p>
    <w:p w14:paraId="225A7544" w14:textId="5049023D" w:rsidR="005D5B88" w:rsidRPr="000B6335" w:rsidRDefault="005D5B88" w:rsidP="008524EE">
      <w:pPr>
        <w:rPr>
          <w:rFonts w:ascii="Arial" w:hAnsi="Arial" w:cs="Arial"/>
          <w:bCs/>
        </w:rPr>
      </w:pPr>
      <w:r w:rsidRPr="000B6335">
        <w:rPr>
          <w:rFonts w:ascii="Arial" w:hAnsi="Arial" w:cs="Arial"/>
          <w:bCs/>
        </w:rPr>
        <w:t>Dans la procédure devant le CAEDBE, les requérantes affirment également, entre autres, que le droit à la non-discrimination et le droit à l’éducation, consacrés respectivement par les articles 3 et 11 la Charte africaine des enfants, ont été violés. Dans leur communication, elles soutiennent également que, conformément à son article 46, la Charte africaine des enfants doit être interprétée en référence à la Charte africaine, au Protocole de Maputo, à la Convention relative aux droits de l’enfant ainsi qu’à d’autres instruments internationaux relatifs aux droits de l’homme. Plus précisément, en rapport avec la présente demande, les requérantes devant le CAEDBE se réfèrent aux articles 2 (droit à la non-discrimination) et 17 (droit à l’éducation) de la Charte comme étant pertinents pour garantir le droit des enfants à la non-discrimination et à l’éducation.</w:t>
      </w:r>
    </w:p>
    <w:p w14:paraId="03517957" w14:textId="77777777" w:rsidR="005D5B88" w:rsidRPr="000B6335" w:rsidRDefault="005D5B88" w:rsidP="008524EE">
      <w:pPr>
        <w:rPr>
          <w:rFonts w:ascii="Arial" w:hAnsi="Arial" w:cs="Arial"/>
          <w:bCs/>
          <w:lang w:eastAsia="en-GB"/>
        </w:rPr>
      </w:pPr>
    </w:p>
    <w:p w14:paraId="67A8A498" w14:textId="4F3B4741" w:rsidR="005D5B88" w:rsidRPr="000B6335" w:rsidRDefault="005D5B88" w:rsidP="008524EE">
      <w:pPr>
        <w:rPr>
          <w:rFonts w:ascii="Arial" w:hAnsi="Arial" w:cs="Arial"/>
          <w:bCs/>
        </w:rPr>
      </w:pPr>
      <w:r w:rsidRPr="000B6335">
        <w:rPr>
          <w:rFonts w:ascii="Arial" w:hAnsi="Arial" w:cs="Arial"/>
          <w:bCs/>
        </w:rPr>
        <w:t>Il ressort également de ces requêtes que les mêmes réparations sont demandées, à savoir la constatation d’une violation des mêmes dispositions inscrites dans les traités des droits de l’homme susmentionnés ; des ordonnances visant à modifier les mêmes cadres juridiques et politiques régissant la question de l’exclusion des filles enceintes et des jeunes mères</w:t>
      </w:r>
      <w:r w:rsidR="0094277E" w:rsidRPr="000B6335">
        <w:rPr>
          <w:rFonts w:ascii="Arial" w:hAnsi="Arial" w:cs="Arial"/>
          <w:bCs/>
        </w:rPr>
        <w:t xml:space="preserve"> </w:t>
      </w:r>
      <w:r w:rsidRPr="000B6335">
        <w:rPr>
          <w:rFonts w:ascii="Arial" w:hAnsi="Arial" w:cs="Arial"/>
          <w:bCs/>
        </w:rPr>
        <w:t>; des ordonnances visant à traiter le problème sous-jacent des grossesses chez les adolescentes et de l’insuffisance des services d’éducation et de santé sexuelle et reproductive.</w:t>
      </w:r>
    </w:p>
    <w:p w14:paraId="4BBF3895" w14:textId="77777777" w:rsidR="005D5B88" w:rsidRPr="000B6335" w:rsidRDefault="005D5B88" w:rsidP="008524EE">
      <w:pPr>
        <w:rPr>
          <w:rFonts w:ascii="Arial" w:hAnsi="Arial" w:cs="Arial"/>
          <w:bCs/>
          <w:lang w:eastAsia="en-GB"/>
        </w:rPr>
      </w:pPr>
    </w:p>
    <w:p w14:paraId="01EA830D" w14:textId="1ABCC324" w:rsidR="005D5B88" w:rsidRPr="000B6335" w:rsidRDefault="005D5B88" w:rsidP="008524EE">
      <w:pPr>
        <w:rPr>
          <w:rFonts w:ascii="Arial" w:hAnsi="Arial" w:cs="Arial"/>
          <w:bCs/>
        </w:rPr>
      </w:pPr>
      <w:r w:rsidRPr="000B6335">
        <w:rPr>
          <w:rFonts w:ascii="Arial" w:hAnsi="Arial" w:cs="Arial"/>
          <w:bCs/>
        </w:rPr>
        <w:lastRenderedPageBreak/>
        <w:t>La Cour prend particulièrement note de la décision du CAEDBE dont le paragraphe 109 est libellé comme suit :</w:t>
      </w:r>
    </w:p>
    <w:p w14:paraId="1CB231D0" w14:textId="77777777" w:rsidR="005D5B88" w:rsidRPr="000B6335" w:rsidRDefault="005D5B88" w:rsidP="008524EE">
      <w:pPr>
        <w:rPr>
          <w:rFonts w:ascii="Arial" w:hAnsi="Arial" w:cs="Arial"/>
          <w:bCs/>
        </w:rPr>
      </w:pPr>
    </w:p>
    <w:p w14:paraId="7B2DB2DB" w14:textId="77777777" w:rsidR="005D5B88" w:rsidRPr="000B6335" w:rsidRDefault="005D5B88" w:rsidP="008524EE">
      <w:pPr>
        <w:rPr>
          <w:rFonts w:ascii="Arial" w:hAnsi="Arial" w:cs="Arial"/>
          <w:bCs/>
          <w:sz w:val="22"/>
          <w:szCs w:val="22"/>
        </w:rPr>
      </w:pPr>
      <w:r w:rsidRPr="000B6335">
        <w:rPr>
          <w:rFonts w:ascii="Arial" w:hAnsi="Arial" w:cs="Arial"/>
          <w:bCs/>
          <w:sz w:val="22"/>
        </w:rPr>
        <w:t xml:space="preserve">Au regard de ce qui précède, le Comité estime que l’État défendeur a violé les obligations qui lui incombent en vertu de l’article 1 (obligation des États parties), de l’article 3 (non-discrimination), de l’article 4 (intérêt supérieur de l’enfant), de l’article 10 (protection de la vie privée), de l’article 11 (éducation), de l’article 14 (santé et services médicaux), de l’article 16 (protection contre les sévices à enfant et la torture) et de l’article 21 (protection contre les pratiques négatives sociales et culturelles). Par conséquent, le Comité recommande à l’État défendeur de : En conséquence, le Comité recommande à l’État défendeur de prendre les mesures suivantes : </w:t>
      </w:r>
    </w:p>
    <w:p w14:paraId="2333788B" w14:textId="77777777" w:rsidR="005D5B88" w:rsidRPr="000B6335" w:rsidRDefault="005D5B88" w:rsidP="008524EE">
      <w:pPr>
        <w:rPr>
          <w:rFonts w:ascii="Arial" w:hAnsi="Arial" w:cs="Arial"/>
          <w:bCs/>
          <w:sz w:val="22"/>
          <w:szCs w:val="22"/>
        </w:rPr>
      </w:pPr>
    </w:p>
    <w:p w14:paraId="08A41F14" w14:textId="77777777" w:rsidR="005D5B88" w:rsidRPr="000B6335" w:rsidRDefault="005D5B88" w:rsidP="008524EE">
      <w:pPr>
        <w:rPr>
          <w:rFonts w:ascii="Arial" w:hAnsi="Arial" w:cs="Arial"/>
          <w:bCs/>
          <w:sz w:val="22"/>
          <w:szCs w:val="22"/>
        </w:rPr>
      </w:pPr>
      <w:r w:rsidRPr="000B6335">
        <w:rPr>
          <w:rFonts w:ascii="Arial" w:hAnsi="Arial" w:cs="Arial"/>
          <w:bCs/>
          <w:sz w:val="22"/>
        </w:rPr>
        <w:t xml:space="preserve">Interdire sans délai les tests de grossesse obligatoires dans les écoles et les établissements de santé et annoncer publiquement cette interdiction ; </w:t>
      </w:r>
    </w:p>
    <w:p w14:paraId="1B48E6AF" w14:textId="77777777" w:rsidR="005D5B88" w:rsidRPr="000B6335" w:rsidRDefault="005D5B88" w:rsidP="008524EE">
      <w:pPr>
        <w:rPr>
          <w:rFonts w:ascii="Arial" w:hAnsi="Arial" w:cs="Arial"/>
          <w:bCs/>
          <w:sz w:val="22"/>
          <w:szCs w:val="22"/>
        </w:rPr>
      </w:pPr>
      <w:r w:rsidRPr="000B6335">
        <w:rPr>
          <w:rFonts w:ascii="Arial" w:hAnsi="Arial" w:cs="Arial"/>
          <w:bCs/>
          <w:sz w:val="22"/>
        </w:rPr>
        <w:t xml:space="preserve">Réviser le Règlement sur l’éducation (expulsion et exclusion des élèves des établissements scolaires), 2002 G.N. 295 de 2002 et, ce faisant, supprimer le mariage comme motif d’expulsion et indiquer que le motif moral d’expulsion doit être interprété de manière restrictive et ne doit pas s’appliquer aux cas de grossesse des écolières ; </w:t>
      </w:r>
    </w:p>
    <w:p w14:paraId="56C685B0" w14:textId="77777777" w:rsidR="005D5B88" w:rsidRPr="000B6335" w:rsidRDefault="005D5B88" w:rsidP="008524EE">
      <w:pPr>
        <w:rPr>
          <w:rFonts w:ascii="Arial" w:hAnsi="Arial" w:cs="Arial"/>
          <w:bCs/>
          <w:sz w:val="22"/>
          <w:szCs w:val="22"/>
        </w:rPr>
      </w:pPr>
      <w:r w:rsidRPr="000B6335">
        <w:rPr>
          <w:rFonts w:ascii="Arial" w:hAnsi="Arial" w:cs="Arial"/>
          <w:bCs/>
          <w:sz w:val="22"/>
        </w:rPr>
        <w:t xml:space="preserve">Prendre des mesures concrètes pour empêcher l’expulsion des écoles des filles enceintes et mariées, notamment en adoptant des lois et des politiques en la matière ; </w:t>
      </w:r>
    </w:p>
    <w:p w14:paraId="1903A108" w14:textId="77777777" w:rsidR="005D5B88" w:rsidRPr="000B6335" w:rsidRDefault="005D5B88" w:rsidP="008524EE">
      <w:pPr>
        <w:rPr>
          <w:rFonts w:ascii="Arial" w:hAnsi="Arial" w:cs="Arial"/>
          <w:bCs/>
          <w:sz w:val="22"/>
          <w:szCs w:val="22"/>
        </w:rPr>
      </w:pPr>
      <w:r w:rsidRPr="000B6335">
        <w:rPr>
          <w:rFonts w:ascii="Arial" w:hAnsi="Arial" w:cs="Arial"/>
          <w:bCs/>
          <w:sz w:val="22"/>
        </w:rPr>
        <w:t xml:space="preserve">Abroger toute politique interdisant la réadmission des écolières, notamment celles qui ont interrompu leur scolarité en raison d’une grossesse ou d’un mariage ; </w:t>
      </w:r>
    </w:p>
    <w:p w14:paraId="3B457F8E" w14:textId="77777777" w:rsidR="005D5B88" w:rsidRPr="000B6335" w:rsidRDefault="005D5B88" w:rsidP="008524EE">
      <w:pPr>
        <w:rPr>
          <w:rFonts w:ascii="Arial" w:hAnsi="Arial" w:cs="Arial"/>
          <w:bCs/>
          <w:sz w:val="22"/>
          <w:szCs w:val="22"/>
        </w:rPr>
      </w:pPr>
      <w:r w:rsidRPr="000B6335">
        <w:rPr>
          <w:rFonts w:ascii="Arial" w:hAnsi="Arial" w:cs="Arial"/>
          <w:bCs/>
          <w:sz w:val="22"/>
        </w:rPr>
        <w:t xml:space="preserve">Réadmettre immédiatement les écolières qui ont été expulsées en raison d’une grossesse ou d’un mariage et mettre en place des programmes de soutien spéciaux afin de rattraper les années perdues et garantir de meilleurs résultats d’apprentissage pour les filles qui reprennent leurs études ; </w:t>
      </w:r>
    </w:p>
    <w:p w14:paraId="743B47A5" w14:textId="77777777" w:rsidR="005D5B88" w:rsidRPr="000B6335" w:rsidRDefault="005D5B88" w:rsidP="008524EE">
      <w:pPr>
        <w:rPr>
          <w:rFonts w:ascii="Arial" w:hAnsi="Arial" w:cs="Arial"/>
          <w:bCs/>
          <w:sz w:val="22"/>
          <w:szCs w:val="22"/>
        </w:rPr>
      </w:pPr>
      <w:r w:rsidRPr="000B6335">
        <w:rPr>
          <w:rFonts w:ascii="Arial" w:hAnsi="Arial" w:cs="Arial"/>
          <w:bCs/>
          <w:sz w:val="22"/>
        </w:rPr>
        <w:t xml:space="preserve">Fournir des directives claires aux administrateurs des écoles à l’effet d’autoriser les filles qui ont interrompu leur scolarité en raison d’une grossesse ou d’un mariage selon le cas, à reprendre leurs études sans conditions préalables ; </w:t>
      </w:r>
    </w:p>
    <w:p w14:paraId="213875B6" w14:textId="77777777" w:rsidR="005D5B88" w:rsidRPr="000B6335" w:rsidRDefault="005D5B88" w:rsidP="008524EE">
      <w:pPr>
        <w:rPr>
          <w:rFonts w:ascii="Arial" w:hAnsi="Arial" w:cs="Arial"/>
          <w:bCs/>
          <w:sz w:val="22"/>
          <w:szCs w:val="22"/>
        </w:rPr>
      </w:pPr>
      <w:r w:rsidRPr="000B6335">
        <w:rPr>
          <w:rFonts w:ascii="Arial" w:hAnsi="Arial" w:cs="Arial"/>
          <w:bCs/>
          <w:sz w:val="22"/>
        </w:rPr>
        <w:t xml:space="preserve">Enquêter sur les cas de détention de filles enceintes et libérer immédiatement les filles enceintes détenues qui subissent des interrogatoires visant à leur faire révéler l’identité des auteurs de leur grossesse, et mettre fin à ce type d’arrestations illégales de filles enceintes ; </w:t>
      </w:r>
    </w:p>
    <w:p w14:paraId="0E0888D5" w14:textId="77777777" w:rsidR="005D5B88" w:rsidRPr="000B6335" w:rsidRDefault="005D5B88" w:rsidP="008524EE">
      <w:pPr>
        <w:rPr>
          <w:rFonts w:ascii="Arial" w:hAnsi="Arial" w:cs="Arial"/>
          <w:bCs/>
          <w:sz w:val="22"/>
          <w:szCs w:val="22"/>
        </w:rPr>
      </w:pPr>
      <w:r w:rsidRPr="000B6335">
        <w:rPr>
          <w:rFonts w:ascii="Arial" w:hAnsi="Arial" w:cs="Arial"/>
          <w:bCs/>
          <w:sz w:val="22"/>
        </w:rPr>
        <w:t xml:space="preserve">Dispenser une éducation sexuelle aux adolescents et leur fournir des services de santé sexuelle et reproductive adaptés aux enfants ; </w:t>
      </w:r>
    </w:p>
    <w:p w14:paraId="78761251" w14:textId="77777777" w:rsidR="005D5B88" w:rsidRPr="000B6335" w:rsidRDefault="005D5B88" w:rsidP="008524EE">
      <w:pPr>
        <w:rPr>
          <w:rFonts w:ascii="Arial" w:hAnsi="Arial" w:cs="Arial"/>
          <w:bCs/>
          <w:sz w:val="22"/>
          <w:szCs w:val="22"/>
        </w:rPr>
      </w:pPr>
      <w:r w:rsidRPr="000B6335">
        <w:rPr>
          <w:rFonts w:ascii="Arial" w:hAnsi="Arial" w:cs="Arial"/>
          <w:bCs/>
          <w:sz w:val="22"/>
        </w:rPr>
        <w:t xml:space="preserve">Entreprendre une campagne de sensibilisation des enseignants, des prestataires de soins de santé, de la police et des autres acteurs à la protection qui doit être accordée aux filles enceintes et mariées ; </w:t>
      </w:r>
    </w:p>
    <w:p w14:paraId="64A99D71" w14:textId="77777777" w:rsidR="005D5B88" w:rsidRPr="000B6335" w:rsidRDefault="005D5B88" w:rsidP="008524EE">
      <w:pPr>
        <w:rPr>
          <w:rFonts w:ascii="Arial" w:hAnsi="Arial" w:cs="Arial"/>
          <w:bCs/>
          <w:sz w:val="22"/>
          <w:szCs w:val="22"/>
        </w:rPr>
      </w:pPr>
      <w:r w:rsidRPr="000B6335">
        <w:rPr>
          <w:rFonts w:ascii="Arial" w:hAnsi="Arial" w:cs="Arial"/>
          <w:bCs/>
          <w:sz w:val="22"/>
        </w:rPr>
        <w:t>Prendre des mesures proactives en vue de l’élimination du mariage des enfants et d’autres pratiques nuisibles qui affectent les filles, notamment en prenant des mesures pour s’attaquer aux facteurs sous-jacents tels que la discrimination fondée sur le sexe, la pauvreté et les normes coutumières et sociétales néfastes ;</w:t>
      </w:r>
    </w:p>
    <w:p w14:paraId="5A09E72B" w14:textId="77777777" w:rsidR="005D5B88" w:rsidRPr="000B6335" w:rsidRDefault="005D5B88" w:rsidP="008524EE">
      <w:pPr>
        <w:rPr>
          <w:rFonts w:ascii="Arial" w:hAnsi="Arial" w:cs="Arial"/>
          <w:bCs/>
          <w:sz w:val="22"/>
          <w:szCs w:val="22"/>
        </w:rPr>
      </w:pPr>
      <w:r w:rsidRPr="000B6335">
        <w:rPr>
          <w:rFonts w:ascii="Arial" w:hAnsi="Arial" w:cs="Arial"/>
          <w:bCs/>
          <w:sz w:val="22"/>
        </w:rPr>
        <w:t>Créer un mécanisme de dénonciation et d’orientation favorable aux filles ayant subi la violence sexuelle, y compris le mariage des enfants, et fournir un soutien psychosocial, des services de réadaptation et de réintégration à leur intention ;</w:t>
      </w:r>
    </w:p>
    <w:p w14:paraId="48F644C5" w14:textId="77777777" w:rsidR="005D5B88" w:rsidRPr="000B6335" w:rsidRDefault="005D5B88" w:rsidP="008524EE">
      <w:pPr>
        <w:rPr>
          <w:rFonts w:ascii="Arial" w:hAnsi="Arial" w:cs="Arial"/>
          <w:bCs/>
          <w:sz w:val="22"/>
          <w:szCs w:val="22"/>
        </w:rPr>
      </w:pPr>
      <w:r w:rsidRPr="000B6335">
        <w:rPr>
          <w:rFonts w:ascii="Arial" w:hAnsi="Arial" w:cs="Arial"/>
          <w:bCs/>
          <w:sz w:val="22"/>
        </w:rPr>
        <w:t>Mener des enquêtes et poursuivre les auteurs de violences sexuelles et les personnes qui épousent des enfants ;</w:t>
      </w:r>
    </w:p>
    <w:p w14:paraId="2AB925D7" w14:textId="77777777" w:rsidR="005D5B88" w:rsidRPr="000B6335" w:rsidRDefault="005D5B88" w:rsidP="008524EE">
      <w:pPr>
        <w:rPr>
          <w:rFonts w:ascii="Arial" w:hAnsi="Arial" w:cs="Arial"/>
          <w:bCs/>
          <w:sz w:val="22"/>
          <w:szCs w:val="22"/>
        </w:rPr>
      </w:pPr>
      <w:r w:rsidRPr="000B6335">
        <w:rPr>
          <w:rFonts w:ascii="Arial" w:hAnsi="Arial" w:cs="Arial"/>
          <w:bCs/>
          <w:sz w:val="22"/>
        </w:rPr>
        <w:t>Prendre des mesures à l’encontre de tous les acteurs qui pratiquent des tests de grossesse forcés ou qui exercent une discrimination à l’égard des filles en raison de leur grossesse ou de leur statut marital, notamment à travers l’expulsion et la détention ;</w:t>
      </w:r>
    </w:p>
    <w:p w14:paraId="1BED6EA4" w14:textId="77777777" w:rsidR="005D5B88" w:rsidRPr="000B6335" w:rsidRDefault="005D5B88" w:rsidP="008524EE">
      <w:pPr>
        <w:rPr>
          <w:rFonts w:ascii="Arial" w:hAnsi="Arial" w:cs="Arial"/>
          <w:bCs/>
          <w:sz w:val="22"/>
          <w:szCs w:val="22"/>
        </w:rPr>
      </w:pPr>
      <w:r w:rsidRPr="000B6335">
        <w:rPr>
          <w:rFonts w:ascii="Arial" w:hAnsi="Arial" w:cs="Arial"/>
          <w:bCs/>
          <w:sz w:val="22"/>
        </w:rPr>
        <w:t>Fournir un soutien spécial aux filles enceintes et mariées afin de leur permettre de poursuivre leurs études dans l’école de leur choix et avec leur consentement.</w:t>
      </w:r>
    </w:p>
    <w:p w14:paraId="7EBA52A1" w14:textId="77777777" w:rsidR="005D5B88" w:rsidRPr="000B6335" w:rsidRDefault="005D5B88" w:rsidP="008524EE">
      <w:pPr>
        <w:rPr>
          <w:rFonts w:ascii="Arial" w:hAnsi="Arial" w:cs="Arial"/>
          <w:bCs/>
        </w:rPr>
      </w:pPr>
    </w:p>
    <w:p w14:paraId="476DC18A" w14:textId="2742931C" w:rsidR="00BB0DAC" w:rsidRPr="000B6335" w:rsidRDefault="005D5B88" w:rsidP="008524EE">
      <w:pPr>
        <w:rPr>
          <w:rFonts w:ascii="Arial" w:hAnsi="Arial" w:cs="Arial"/>
          <w:bCs/>
        </w:rPr>
      </w:pPr>
      <w:r w:rsidRPr="000B6335">
        <w:rPr>
          <w:rFonts w:ascii="Arial" w:hAnsi="Arial" w:cs="Arial"/>
          <w:bCs/>
        </w:rPr>
        <w:t xml:space="preserve">La Cour </w:t>
      </w:r>
      <w:r w:rsidR="00EB6705" w:rsidRPr="000B6335">
        <w:rPr>
          <w:rFonts w:ascii="Arial" w:hAnsi="Arial" w:cs="Arial"/>
          <w:bCs/>
        </w:rPr>
        <w:t>relève</w:t>
      </w:r>
      <w:r w:rsidRPr="000B6335">
        <w:rPr>
          <w:rFonts w:ascii="Arial" w:hAnsi="Arial" w:cs="Arial"/>
          <w:bCs/>
        </w:rPr>
        <w:t xml:space="preserve"> en outre, que le CAEDBE n’a constaté dans sa communication que des violations de la Charte africaine des enfants et non de la Charte et des autres </w:t>
      </w:r>
      <w:r w:rsidRPr="000B6335">
        <w:rPr>
          <w:rFonts w:ascii="Arial" w:hAnsi="Arial" w:cs="Arial"/>
          <w:bCs/>
        </w:rPr>
        <w:lastRenderedPageBreak/>
        <w:t>instruments juridiques internationaux auxquels l’État défendeur est partie. Toutefois, la Cour relève également que les principes contenus dans la Charte africaine des enfants sur lesquels le CAEDBE s’est prononcé recoupent les principes prévus par les dispositions de la Charte et d’autres instruments relatifs aux droits de l’homme auxquels les Requérantes font référence.</w:t>
      </w:r>
      <w:r w:rsidRPr="000B6335">
        <w:rPr>
          <w:rFonts w:ascii="Arial" w:hAnsi="Arial" w:cs="Arial"/>
          <w:bCs/>
          <w:vertAlign w:val="superscript"/>
        </w:rPr>
        <w:footnoteReference w:id="11"/>
      </w:r>
      <w:r w:rsidRPr="000B6335">
        <w:rPr>
          <w:rFonts w:ascii="Arial" w:hAnsi="Arial" w:cs="Arial"/>
          <w:bCs/>
        </w:rPr>
        <w:t xml:space="preserve"> </w:t>
      </w:r>
    </w:p>
    <w:p w14:paraId="2F86885C" w14:textId="77777777" w:rsidR="00BB0DAC" w:rsidRPr="000B6335" w:rsidRDefault="00BB0DAC" w:rsidP="008524EE">
      <w:pPr>
        <w:rPr>
          <w:rFonts w:ascii="Arial" w:hAnsi="Arial" w:cs="Arial"/>
          <w:bCs/>
        </w:rPr>
      </w:pPr>
    </w:p>
    <w:p w14:paraId="4D00EE83" w14:textId="32109F14" w:rsidR="005D5B88" w:rsidRPr="000B6335" w:rsidRDefault="005D5B88" w:rsidP="008524EE">
      <w:pPr>
        <w:rPr>
          <w:rFonts w:ascii="Arial" w:hAnsi="Arial" w:cs="Arial"/>
          <w:bCs/>
        </w:rPr>
      </w:pPr>
      <w:r w:rsidRPr="000B6335">
        <w:rPr>
          <w:rFonts w:ascii="Arial" w:hAnsi="Arial" w:cs="Arial"/>
          <w:bCs/>
        </w:rPr>
        <w:t>La Cour estime donc que le CAEDBE s’est prononcé, en substance, sur les mêmes questions que celles portées par les Requérantes devant la Cour de céans.</w:t>
      </w:r>
      <w:r w:rsidRPr="000B6335">
        <w:rPr>
          <w:rFonts w:ascii="Arial" w:hAnsi="Arial" w:cs="Arial"/>
          <w:bCs/>
          <w:vertAlign w:val="superscript"/>
        </w:rPr>
        <w:footnoteReference w:id="12"/>
      </w:r>
      <w:r w:rsidRPr="000B6335">
        <w:rPr>
          <w:rFonts w:ascii="Arial" w:hAnsi="Arial" w:cs="Arial"/>
          <w:bCs/>
        </w:rPr>
        <w:t xml:space="preserve"> La Cour conclut donc que le deuxième critère a été satisfait.</w:t>
      </w:r>
    </w:p>
    <w:p w14:paraId="37CAF387" w14:textId="77777777" w:rsidR="005D5B88" w:rsidRPr="000B6335" w:rsidRDefault="005D5B88" w:rsidP="008524EE">
      <w:pPr>
        <w:rPr>
          <w:rFonts w:ascii="Arial" w:hAnsi="Arial" w:cs="Arial"/>
          <w:bCs/>
        </w:rPr>
      </w:pPr>
    </w:p>
    <w:p w14:paraId="5EAE4A9A" w14:textId="77777777" w:rsidR="00BB0DAC" w:rsidRPr="000B6335" w:rsidRDefault="005D5B88" w:rsidP="008524EE">
      <w:pPr>
        <w:rPr>
          <w:rFonts w:ascii="Arial" w:hAnsi="Arial" w:cs="Arial"/>
          <w:bCs/>
        </w:rPr>
      </w:pPr>
      <w:r w:rsidRPr="000B6335">
        <w:rPr>
          <w:rFonts w:ascii="Arial" w:hAnsi="Arial" w:cs="Arial"/>
          <w:bCs/>
        </w:rPr>
        <w:t>En ce qui concerne le troisième critère, qui vise à établir l’existence d’une première décision sur le fond, la Cour note que le CAEDBE, qui est une « institution disposant d’un mandat juridique pour examiner le différend au niveau international »,</w:t>
      </w:r>
      <w:r w:rsidRPr="000B6335">
        <w:rPr>
          <w:rFonts w:ascii="Arial" w:hAnsi="Arial" w:cs="Arial"/>
          <w:bCs/>
          <w:vertAlign w:val="superscript"/>
        </w:rPr>
        <w:footnoteReference w:id="13"/>
      </w:r>
      <w:r w:rsidRPr="000B6335">
        <w:rPr>
          <w:rFonts w:ascii="Arial" w:hAnsi="Arial" w:cs="Arial"/>
          <w:bCs/>
        </w:rPr>
        <w:t xml:space="preserve"> a rendu une décision sur le fond. </w:t>
      </w:r>
    </w:p>
    <w:p w14:paraId="6F201E0D" w14:textId="77777777" w:rsidR="00BB0DAC" w:rsidRPr="000B6335" w:rsidRDefault="00BB0DAC" w:rsidP="008524EE">
      <w:pPr>
        <w:rPr>
          <w:rFonts w:ascii="Arial" w:hAnsi="Arial" w:cs="Arial"/>
          <w:bCs/>
        </w:rPr>
      </w:pPr>
    </w:p>
    <w:p w14:paraId="7FED5702" w14:textId="72DF5C47" w:rsidR="005D5B88" w:rsidRPr="000B6335" w:rsidRDefault="005D5B88" w:rsidP="008524EE">
      <w:pPr>
        <w:rPr>
          <w:rFonts w:ascii="Arial" w:hAnsi="Arial" w:cs="Arial"/>
          <w:bCs/>
        </w:rPr>
      </w:pPr>
      <w:r w:rsidRPr="000B6335">
        <w:rPr>
          <w:rFonts w:ascii="Arial" w:hAnsi="Arial" w:cs="Arial"/>
          <w:bCs/>
        </w:rPr>
        <w:t xml:space="preserve">La Cour </w:t>
      </w:r>
      <w:r w:rsidR="00EB6705" w:rsidRPr="000B6335">
        <w:rPr>
          <w:rFonts w:ascii="Arial" w:hAnsi="Arial" w:cs="Arial"/>
          <w:bCs/>
        </w:rPr>
        <w:t xml:space="preserve">en </w:t>
      </w:r>
      <w:r w:rsidRPr="000B6335">
        <w:rPr>
          <w:rFonts w:ascii="Arial" w:hAnsi="Arial" w:cs="Arial"/>
          <w:bCs/>
        </w:rPr>
        <w:t xml:space="preserve">conclut que cette exigence a été satisfaite. </w:t>
      </w:r>
    </w:p>
    <w:p w14:paraId="4F2FE72E" w14:textId="77777777" w:rsidR="005D5B88" w:rsidRPr="000B6335" w:rsidRDefault="005D5B88" w:rsidP="008524EE">
      <w:pPr>
        <w:rPr>
          <w:rFonts w:ascii="Arial" w:hAnsi="Arial" w:cs="Arial"/>
          <w:bCs/>
        </w:rPr>
      </w:pPr>
    </w:p>
    <w:p w14:paraId="7BC4A87F" w14:textId="5E7CBE6A" w:rsidR="005D5B88" w:rsidRPr="000B6335" w:rsidRDefault="005D5B88" w:rsidP="008524EE">
      <w:pPr>
        <w:rPr>
          <w:rFonts w:ascii="Arial" w:hAnsi="Arial" w:cs="Arial"/>
          <w:bCs/>
        </w:rPr>
      </w:pPr>
      <w:r w:rsidRPr="000B6335">
        <w:rPr>
          <w:rFonts w:ascii="Arial" w:hAnsi="Arial" w:cs="Arial"/>
          <w:bCs/>
        </w:rPr>
        <w:t xml:space="preserve">Au total, la Cour constate que les critères cumulatifs énoncés dans les affaires </w:t>
      </w:r>
      <w:r w:rsidRPr="000B6335">
        <w:rPr>
          <w:rFonts w:ascii="Arial" w:hAnsi="Arial" w:cs="Arial"/>
          <w:bCs/>
          <w:i/>
          <w:iCs/>
        </w:rPr>
        <w:t>Jean-Claude Roger Gombert c. République de Côte d’Ivoire</w:t>
      </w:r>
      <w:r w:rsidRPr="000B6335">
        <w:rPr>
          <w:rFonts w:ascii="Arial" w:hAnsi="Arial" w:cs="Arial"/>
          <w:bCs/>
        </w:rPr>
        <w:t xml:space="preserve"> et </w:t>
      </w:r>
      <w:r w:rsidRPr="000B6335">
        <w:rPr>
          <w:rFonts w:ascii="Arial" w:hAnsi="Arial" w:cs="Arial"/>
          <w:bCs/>
          <w:i/>
          <w:iCs/>
        </w:rPr>
        <w:t>Dexter Eddie Johnson c. République du Ghana</w:t>
      </w:r>
      <w:r w:rsidRPr="000B6335">
        <w:rPr>
          <w:rFonts w:ascii="Arial" w:hAnsi="Arial" w:cs="Arial"/>
          <w:bCs/>
        </w:rPr>
        <w:t xml:space="preserve">, relatifs à la condition de recevabilité prévue à l’article 56(7) sont remplis. </w:t>
      </w:r>
    </w:p>
    <w:p w14:paraId="428119B5" w14:textId="77777777" w:rsidR="005D5B88" w:rsidRPr="000B6335" w:rsidRDefault="005D5B88" w:rsidP="008524EE">
      <w:pPr>
        <w:rPr>
          <w:rFonts w:ascii="Arial" w:hAnsi="Arial" w:cs="Arial"/>
          <w:bCs/>
        </w:rPr>
      </w:pPr>
    </w:p>
    <w:p w14:paraId="6DC3FB1C" w14:textId="33544A9D" w:rsidR="005D5B88" w:rsidRPr="000B6335" w:rsidRDefault="005D5B88" w:rsidP="008524EE">
      <w:pPr>
        <w:rPr>
          <w:rFonts w:ascii="Arial" w:hAnsi="Arial" w:cs="Arial"/>
          <w:bCs/>
        </w:rPr>
      </w:pPr>
      <w:r w:rsidRPr="000B6335">
        <w:rPr>
          <w:rFonts w:ascii="Arial" w:hAnsi="Arial" w:cs="Arial"/>
          <w:bCs/>
        </w:rPr>
        <w:t xml:space="preserve">La Cour estime donc que la Requête en l’espèce soulève des questions déjà réglées au sens de l’article 56(7) de la Charte et en conclu que ce critère de recevabilité n’est pas satisfait. </w:t>
      </w:r>
    </w:p>
    <w:p w14:paraId="7E2B11E1" w14:textId="77777777" w:rsidR="006440E2" w:rsidRPr="000B6335" w:rsidRDefault="006440E2" w:rsidP="008524EE">
      <w:pPr>
        <w:rPr>
          <w:rFonts w:ascii="Arial" w:hAnsi="Arial" w:cs="Arial"/>
          <w:b/>
          <w:bCs/>
        </w:rPr>
      </w:pPr>
    </w:p>
    <w:p w14:paraId="56C5C05C" w14:textId="77777777" w:rsidR="00E0410B" w:rsidRPr="000B6335" w:rsidRDefault="00E0410B" w:rsidP="008524EE">
      <w:pPr>
        <w:rPr>
          <w:rFonts w:eastAsia="Times New Roman"/>
        </w:rPr>
      </w:pPr>
      <w:bookmarkStart w:id="18" w:name="_Toc121029618"/>
      <w:r w:rsidRPr="000B6335">
        <w:t>Autres conditions de recevabilité</w:t>
      </w:r>
      <w:bookmarkEnd w:id="18"/>
    </w:p>
    <w:p w14:paraId="4762C6B8" w14:textId="77777777" w:rsidR="00946ABC" w:rsidRPr="000B6335" w:rsidRDefault="00946ABC" w:rsidP="008524EE">
      <w:pPr>
        <w:rPr>
          <w:rFonts w:ascii="Arial" w:hAnsi="Arial" w:cs="Arial"/>
        </w:rPr>
      </w:pPr>
    </w:p>
    <w:p w14:paraId="6236F313" w14:textId="7A1D0306" w:rsidR="004B65EF" w:rsidRPr="000B6335" w:rsidRDefault="007F3794" w:rsidP="008524EE">
      <w:pPr>
        <w:rPr>
          <w:rFonts w:ascii="Arial" w:eastAsia="Times New Roman" w:hAnsi="Arial" w:cs="Arial"/>
        </w:rPr>
      </w:pPr>
      <w:r w:rsidRPr="000B6335">
        <w:rPr>
          <w:rFonts w:ascii="Arial" w:hAnsi="Arial" w:cs="Arial"/>
        </w:rPr>
        <w:t>La Cour rappelle que les conditions de recevabilité d’une requête déposée devant elle sont cumulatives, de sorte que si l’une d’entre elles n’est pas remplie, c’est l’entière requête qui ne peut être reçue.</w:t>
      </w:r>
      <w:r w:rsidRPr="000B6335">
        <w:rPr>
          <w:rStyle w:val="FootnoteReference"/>
          <w:rFonts w:ascii="Arial" w:hAnsi="Arial" w:cs="Arial"/>
        </w:rPr>
        <w:footnoteReference w:id="14"/>
      </w:r>
      <w:r w:rsidRPr="000B6335">
        <w:rPr>
          <w:rFonts w:ascii="Arial" w:hAnsi="Arial" w:cs="Arial"/>
        </w:rPr>
        <w:t xml:space="preserve"> Étant donné que la présente Requête concerne une affaire déjà réglée, celle-ci est irrecevable devant la Cour</w:t>
      </w:r>
      <w:r w:rsidR="00EB6705" w:rsidRPr="000B6335">
        <w:rPr>
          <w:rFonts w:ascii="Arial" w:hAnsi="Arial" w:cs="Arial"/>
        </w:rPr>
        <w:t xml:space="preserve"> de céans</w:t>
      </w:r>
      <w:r w:rsidRPr="000B6335">
        <w:rPr>
          <w:rFonts w:ascii="Arial" w:hAnsi="Arial" w:cs="Arial"/>
        </w:rPr>
        <w:t xml:space="preserve">. La Cour, ayant rejeté la Requête, elle estime qu’il est superfétatoire de se prononcer sur les autres exceptions d’irrecevabilité soulevées par l’État défendeur ainsi que sur les autres conditions de recevabilité énoncées à l’article 56 de la Charte et à la règle 50 du Règlement. </w:t>
      </w:r>
    </w:p>
    <w:p w14:paraId="1C4A47D7" w14:textId="2BBB8D25" w:rsidR="008D2197" w:rsidRPr="000B6335" w:rsidRDefault="008D2197" w:rsidP="008524EE">
      <w:pPr>
        <w:rPr>
          <w:rFonts w:ascii="Arial" w:eastAsia="Times New Roman" w:hAnsi="Arial" w:cs="Arial"/>
          <w:bCs/>
        </w:rPr>
      </w:pPr>
    </w:p>
    <w:p w14:paraId="55229F54" w14:textId="77777777" w:rsidR="005D5B88" w:rsidRPr="000B6335" w:rsidRDefault="005D5B88" w:rsidP="008524EE">
      <w:pPr>
        <w:rPr>
          <w:rFonts w:ascii="Arial" w:eastAsia="Times New Roman" w:hAnsi="Arial" w:cs="Arial"/>
          <w:bCs/>
        </w:rPr>
      </w:pPr>
    </w:p>
    <w:p w14:paraId="7A875645" w14:textId="6323213F" w:rsidR="00C677BC" w:rsidRPr="000B6335" w:rsidRDefault="00C677BC" w:rsidP="008524EE">
      <w:pPr>
        <w:rPr>
          <w:rFonts w:eastAsia="Times New Roman"/>
          <w:bCs/>
        </w:rPr>
      </w:pPr>
      <w:bookmarkStart w:id="19" w:name="_Toc121029619"/>
      <w:r w:rsidRPr="000B6335">
        <w:t>SUR LA DEMANDE DE MESURES PROVISOIRES</w:t>
      </w:r>
      <w:bookmarkEnd w:id="19"/>
    </w:p>
    <w:p w14:paraId="35057E0B" w14:textId="77777777" w:rsidR="00C677BC" w:rsidRPr="000B6335" w:rsidRDefault="00C677BC" w:rsidP="008524EE">
      <w:pPr>
        <w:rPr>
          <w:rFonts w:ascii="Arial" w:eastAsia="Times New Roman" w:hAnsi="Arial" w:cs="Arial"/>
          <w:bCs/>
        </w:rPr>
      </w:pPr>
    </w:p>
    <w:p w14:paraId="2EC131E8" w14:textId="4550037C" w:rsidR="00C677BC" w:rsidRPr="000B6335" w:rsidRDefault="00C677BC" w:rsidP="008524EE">
      <w:pPr>
        <w:rPr>
          <w:rFonts w:ascii="Arial" w:eastAsia="Times New Roman" w:hAnsi="Arial" w:cs="Arial"/>
          <w:bCs/>
        </w:rPr>
      </w:pPr>
      <w:r w:rsidRPr="000B6335">
        <w:rPr>
          <w:rFonts w:ascii="Arial" w:hAnsi="Arial" w:cs="Arial"/>
        </w:rPr>
        <w:lastRenderedPageBreak/>
        <w:t>La Cour rappelle que le 29 novembre 2021, elle a décidé d’examiner la demande de mesures provisoires formulée par les Requérantes en même temps que le fond de la Requête.</w:t>
      </w:r>
    </w:p>
    <w:p w14:paraId="44A456D1" w14:textId="77777777" w:rsidR="00C677BC" w:rsidRPr="000B6335" w:rsidRDefault="00C677BC" w:rsidP="008524EE">
      <w:pPr>
        <w:rPr>
          <w:rFonts w:ascii="Arial" w:eastAsia="Times New Roman" w:hAnsi="Arial" w:cs="Arial"/>
          <w:bCs/>
        </w:rPr>
      </w:pPr>
    </w:p>
    <w:p w14:paraId="0447FBD3" w14:textId="23C427F4" w:rsidR="005426D7" w:rsidRPr="000B6335" w:rsidRDefault="00C677BC" w:rsidP="008524EE">
      <w:pPr>
        <w:rPr>
          <w:rFonts w:ascii="Arial" w:eastAsia="Times New Roman" w:hAnsi="Arial" w:cs="Arial"/>
          <w:bCs/>
        </w:rPr>
      </w:pPr>
      <w:r w:rsidRPr="000B6335">
        <w:rPr>
          <w:rFonts w:ascii="Arial" w:hAnsi="Arial" w:cs="Arial"/>
        </w:rPr>
        <w:t>La Cour fait, toutefois, observer que ladite demande est désormais sans objet du fait de la présente décision.</w:t>
      </w:r>
    </w:p>
    <w:p w14:paraId="7D6F97E3" w14:textId="7D7A8B12" w:rsidR="00C677BC" w:rsidRPr="000B6335" w:rsidRDefault="00C677BC" w:rsidP="008524EE">
      <w:pPr>
        <w:rPr>
          <w:rFonts w:ascii="Arial" w:eastAsia="Times New Roman" w:hAnsi="Arial" w:cs="Arial"/>
          <w:bCs/>
        </w:rPr>
      </w:pPr>
    </w:p>
    <w:p w14:paraId="61363855" w14:textId="77777777" w:rsidR="00C677BC" w:rsidRPr="000B6335" w:rsidRDefault="00C677BC" w:rsidP="008524EE">
      <w:pPr>
        <w:rPr>
          <w:rFonts w:ascii="Arial" w:eastAsia="Times New Roman" w:hAnsi="Arial" w:cs="Arial"/>
          <w:bCs/>
        </w:rPr>
      </w:pPr>
    </w:p>
    <w:p w14:paraId="5ED18E17" w14:textId="77777777" w:rsidR="00996BF3" w:rsidRPr="000B6335" w:rsidRDefault="00996BF3" w:rsidP="008524EE">
      <w:bookmarkStart w:id="20" w:name="_Toc97725409"/>
      <w:bookmarkStart w:id="21" w:name="_Toc97734006"/>
      <w:bookmarkStart w:id="22" w:name="_Toc97735926"/>
      <w:bookmarkStart w:id="23" w:name="_Toc97725410"/>
      <w:bookmarkStart w:id="24" w:name="_Toc97734007"/>
      <w:bookmarkStart w:id="25" w:name="_Toc97735927"/>
      <w:bookmarkStart w:id="26" w:name="_Toc97725411"/>
      <w:bookmarkStart w:id="27" w:name="_Toc97734008"/>
      <w:bookmarkStart w:id="28" w:name="_Toc97735928"/>
      <w:bookmarkStart w:id="29" w:name="_Toc97725412"/>
      <w:bookmarkStart w:id="30" w:name="_Toc97734009"/>
      <w:bookmarkStart w:id="31" w:name="_Toc97735929"/>
      <w:bookmarkStart w:id="32" w:name="_Toc97725413"/>
      <w:bookmarkStart w:id="33" w:name="_Toc97734010"/>
      <w:bookmarkStart w:id="34" w:name="_Toc97735930"/>
      <w:bookmarkStart w:id="35" w:name="_Toc97725414"/>
      <w:bookmarkStart w:id="36" w:name="_Toc97734011"/>
      <w:bookmarkStart w:id="37" w:name="_Toc97735931"/>
      <w:bookmarkStart w:id="38" w:name="_Toc97725415"/>
      <w:bookmarkStart w:id="39" w:name="_Toc97734012"/>
      <w:bookmarkStart w:id="40" w:name="_Toc97735932"/>
      <w:bookmarkStart w:id="41" w:name="_Toc97725416"/>
      <w:bookmarkStart w:id="42" w:name="_Toc97734013"/>
      <w:bookmarkStart w:id="43" w:name="_Toc97735933"/>
      <w:bookmarkStart w:id="44" w:name="_Toc97725417"/>
      <w:bookmarkStart w:id="45" w:name="_Toc97734014"/>
      <w:bookmarkStart w:id="46" w:name="_Toc97735934"/>
      <w:bookmarkStart w:id="47" w:name="_Toc97725418"/>
      <w:bookmarkStart w:id="48" w:name="_Toc97734015"/>
      <w:bookmarkStart w:id="49" w:name="_Toc97735935"/>
      <w:bookmarkStart w:id="50" w:name="_Toc97725419"/>
      <w:bookmarkStart w:id="51" w:name="_Toc97734016"/>
      <w:bookmarkStart w:id="52" w:name="_Toc97735936"/>
      <w:bookmarkStart w:id="53" w:name="_Toc97725420"/>
      <w:bookmarkStart w:id="54" w:name="_Toc97734017"/>
      <w:bookmarkStart w:id="55" w:name="_Toc97735937"/>
      <w:bookmarkStart w:id="56" w:name="_Toc97725421"/>
      <w:bookmarkStart w:id="57" w:name="_Toc97734018"/>
      <w:bookmarkStart w:id="58" w:name="_Toc97735938"/>
      <w:bookmarkStart w:id="59" w:name="_Toc97725422"/>
      <w:bookmarkStart w:id="60" w:name="_Toc97734019"/>
      <w:bookmarkStart w:id="61" w:name="_Toc97735939"/>
      <w:bookmarkStart w:id="62" w:name="_Toc97725423"/>
      <w:bookmarkStart w:id="63" w:name="_Toc97734020"/>
      <w:bookmarkStart w:id="64" w:name="_Toc97735940"/>
      <w:bookmarkStart w:id="65" w:name="_Toc97725424"/>
      <w:bookmarkStart w:id="66" w:name="_Toc97734021"/>
      <w:bookmarkStart w:id="67" w:name="_Toc97735941"/>
      <w:bookmarkStart w:id="68" w:name="_Toc97725425"/>
      <w:bookmarkStart w:id="69" w:name="_Toc97734022"/>
      <w:bookmarkStart w:id="70" w:name="_Toc97735942"/>
      <w:bookmarkStart w:id="71" w:name="_Toc97725426"/>
      <w:bookmarkStart w:id="72" w:name="_Toc97734023"/>
      <w:bookmarkStart w:id="73" w:name="_Toc97735943"/>
      <w:bookmarkStart w:id="74" w:name="_Toc97725427"/>
      <w:bookmarkStart w:id="75" w:name="_Toc97734024"/>
      <w:bookmarkStart w:id="76" w:name="_Toc97735944"/>
      <w:bookmarkStart w:id="77" w:name="_Toc97725428"/>
      <w:bookmarkStart w:id="78" w:name="_Toc97734025"/>
      <w:bookmarkStart w:id="79" w:name="_Toc97735945"/>
      <w:bookmarkStart w:id="80" w:name="_Toc97725429"/>
      <w:bookmarkStart w:id="81" w:name="_Toc97734026"/>
      <w:bookmarkStart w:id="82" w:name="_Toc97735946"/>
      <w:bookmarkStart w:id="83" w:name="_Toc97725430"/>
      <w:bookmarkStart w:id="84" w:name="_Toc97734027"/>
      <w:bookmarkStart w:id="85" w:name="_Toc97735947"/>
      <w:bookmarkStart w:id="86" w:name="_Toc97725431"/>
      <w:bookmarkStart w:id="87" w:name="_Toc97734028"/>
      <w:bookmarkStart w:id="88" w:name="_Toc97735948"/>
      <w:bookmarkStart w:id="89" w:name="_Toc97725432"/>
      <w:bookmarkStart w:id="90" w:name="_Toc97734029"/>
      <w:bookmarkStart w:id="91" w:name="_Toc97735949"/>
      <w:bookmarkStart w:id="92" w:name="_Toc97725433"/>
      <w:bookmarkStart w:id="93" w:name="_Toc97734030"/>
      <w:bookmarkStart w:id="94" w:name="_Toc97735950"/>
      <w:bookmarkStart w:id="95" w:name="_Toc97725434"/>
      <w:bookmarkStart w:id="96" w:name="_Toc97734031"/>
      <w:bookmarkStart w:id="97" w:name="_Toc97735951"/>
      <w:bookmarkStart w:id="98" w:name="_Toc97725435"/>
      <w:bookmarkStart w:id="99" w:name="_Toc97734032"/>
      <w:bookmarkStart w:id="100" w:name="_Toc97735952"/>
      <w:bookmarkStart w:id="101" w:name="_Toc97725436"/>
      <w:bookmarkStart w:id="102" w:name="_Toc97734033"/>
      <w:bookmarkStart w:id="103" w:name="_Toc97735953"/>
      <w:bookmarkStart w:id="104" w:name="_Toc97725437"/>
      <w:bookmarkStart w:id="105" w:name="_Toc97734034"/>
      <w:bookmarkStart w:id="106" w:name="_Toc97735954"/>
      <w:bookmarkStart w:id="107" w:name="_Toc97725438"/>
      <w:bookmarkStart w:id="108" w:name="_Toc97734035"/>
      <w:bookmarkStart w:id="109" w:name="_Toc97735955"/>
      <w:bookmarkStart w:id="110" w:name="_Toc97725439"/>
      <w:bookmarkStart w:id="111" w:name="_Toc97734036"/>
      <w:bookmarkStart w:id="112" w:name="_Toc97735956"/>
      <w:bookmarkStart w:id="113" w:name="_Toc97725440"/>
      <w:bookmarkStart w:id="114" w:name="_Toc97734037"/>
      <w:bookmarkStart w:id="115" w:name="_Toc97735957"/>
      <w:bookmarkStart w:id="116" w:name="_Toc97725441"/>
      <w:bookmarkStart w:id="117" w:name="_Toc97734038"/>
      <w:bookmarkStart w:id="118" w:name="_Toc97735958"/>
      <w:bookmarkStart w:id="119" w:name="_Toc97725442"/>
      <w:bookmarkStart w:id="120" w:name="_Toc97734039"/>
      <w:bookmarkStart w:id="121" w:name="_Toc97735959"/>
      <w:bookmarkStart w:id="122" w:name="_Toc97725443"/>
      <w:bookmarkStart w:id="123" w:name="_Toc97734040"/>
      <w:bookmarkStart w:id="124" w:name="_Toc97735960"/>
      <w:bookmarkStart w:id="125" w:name="_Toc97725444"/>
      <w:bookmarkStart w:id="126" w:name="_Toc97734041"/>
      <w:bookmarkStart w:id="127" w:name="_Toc97735961"/>
      <w:bookmarkStart w:id="128" w:name="_Toc97725445"/>
      <w:bookmarkStart w:id="129" w:name="_Toc97734042"/>
      <w:bookmarkStart w:id="130" w:name="_Toc97735962"/>
      <w:bookmarkStart w:id="131" w:name="_Toc97725446"/>
      <w:bookmarkStart w:id="132" w:name="_Toc97734043"/>
      <w:bookmarkStart w:id="133" w:name="_Toc97735963"/>
      <w:bookmarkStart w:id="134" w:name="_Toc97725447"/>
      <w:bookmarkStart w:id="135" w:name="_Toc97734044"/>
      <w:bookmarkStart w:id="136" w:name="_Toc97735964"/>
      <w:bookmarkStart w:id="137" w:name="_Toc97725448"/>
      <w:bookmarkStart w:id="138" w:name="_Toc97734045"/>
      <w:bookmarkStart w:id="139" w:name="_Toc97735965"/>
      <w:bookmarkStart w:id="140" w:name="_Toc97725449"/>
      <w:bookmarkStart w:id="141" w:name="_Toc97734046"/>
      <w:bookmarkStart w:id="142" w:name="_Toc97735966"/>
      <w:bookmarkStart w:id="143" w:name="_Toc97725450"/>
      <w:bookmarkStart w:id="144" w:name="_Toc97734047"/>
      <w:bookmarkStart w:id="145" w:name="_Toc97735967"/>
      <w:bookmarkStart w:id="146" w:name="_Toc97725451"/>
      <w:bookmarkStart w:id="147" w:name="_Toc97734048"/>
      <w:bookmarkStart w:id="148" w:name="_Toc97735968"/>
      <w:bookmarkStart w:id="149" w:name="_Toc97725452"/>
      <w:bookmarkStart w:id="150" w:name="_Toc97734049"/>
      <w:bookmarkStart w:id="151" w:name="_Toc97735969"/>
      <w:bookmarkStart w:id="152" w:name="_Toc97725453"/>
      <w:bookmarkStart w:id="153" w:name="_Toc97734050"/>
      <w:bookmarkStart w:id="154" w:name="_Toc97735970"/>
      <w:bookmarkStart w:id="155" w:name="_Toc97725454"/>
      <w:bookmarkStart w:id="156" w:name="_Toc97734051"/>
      <w:bookmarkStart w:id="157" w:name="_Toc97735971"/>
      <w:bookmarkStart w:id="158" w:name="_Toc97725455"/>
      <w:bookmarkStart w:id="159" w:name="_Toc97734052"/>
      <w:bookmarkStart w:id="160" w:name="_Toc97735972"/>
      <w:bookmarkStart w:id="161" w:name="_Toc97725456"/>
      <w:bookmarkStart w:id="162" w:name="_Toc97734053"/>
      <w:bookmarkStart w:id="163" w:name="_Toc97735973"/>
      <w:bookmarkStart w:id="164" w:name="_Toc97725457"/>
      <w:bookmarkStart w:id="165" w:name="_Toc97734054"/>
      <w:bookmarkStart w:id="166" w:name="_Toc97735974"/>
      <w:bookmarkStart w:id="167" w:name="_Toc97725458"/>
      <w:bookmarkStart w:id="168" w:name="_Toc97734055"/>
      <w:bookmarkStart w:id="169" w:name="_Toc97735975"/>
      <w:bookmarkStart w:id="170" w:name="_Toc97725459"/>
      <w:bookmarkStart w:id="171" w:name="_Toc97734056"/>
      <w:bookmarkStart w:id="172" w:name="_Toc97735976"/>
      <w:bookmarkStart w:id="173" w:name="_Toc97725460"/>
      <w:bookmarkStart w:id="174" w:name="_Toc97734057"/>
      <w:bookmarkStart w:id="175" w:name="_Toc97735977"/>
      <w:bookmarkStart w:id="176" w:name="_Toc97725461"/>
      <w:bookmarkStart w:id="177" w:name="_Toc97734058"/>
      <w:bookmarkStart w:id="178" w:name="_Toc97735978"/>
      <w:bookmarkStart w:id="179" w:name="_Toc97725462"/>
      <w:bookmarkStart w:id="180" w:name="_Toc97734059"/>
      <w:bookmarkStart w:id="181" w:name="_Toc97735979"/>
      <w:bookmarkStart w:id="182" w:name="_Toc97725463"/>
      <w:bookmarkStart w:id="183" w:name="_Toc97734060"/>
      <w:bookmarkStart w:id="184" w:name="_Toc97735980"/>
      <w:bookmarkStart w:id="185" w:name="_Toc97725464"/>
      <w:bookmarkStart w:id="186" w:name="_Toc97734061"/>
      <w:bookmarkStart w:id="187" w:name="_Toc97735981"/>
      <w:bookmarkStart w:id="188" w:name="_Toc97725465"/>
      <w:bookmarkStart w:id="189" w:name="_Toc97734062"/>
      <w:bookmarkStart w:id="190" w:name="_Toc97735982"/>
      <w:bookmarkStart w:id="191" w:name="_Toc97725466"/>
      <w:bookmarkStart w:id="192" w:name="_Toc97734063"/>
      <w:bookmarkStart w:id="193" w:name="_Toc97735983"/>
      <w:bookmarkStart w:id="194" w:name="_Toc97725467"/>
      <w:bookmarkStart w:id="195" w:name="_Toc97734064"/>
      <w:bookmarkStart w:id="196" w:name="_Toc97735984"/>
      <w:bookmarkStart w:id="197" w:name="_Toc97725468"/>
      <w:bookmarkStart w:id="198" w:name="_Toc97734065"/>
      <w:bookmarkStart w:id="199" w:name="_Toc97735985"/>
      <w:bookmarkStart w:id="200" w:name="_Toc97725469"/>
      <w:bookmarkStart w:id="201" w:name="_Toc97734066"/>
      <w:bookmarkStart w:id="202" w:name="_Toc97735986"/>
      <w:bookmarkStart w:id="203" w:name="_Toc97725470"/>
      <w:bookmarkStart w:id="204" w:name="_Toc97734067"/>
      <w:bookmarkStart w:id="205" w:name="_Toc97735987"/>
      <w:bookmarkStart w:id="206" w:name="_Toc97725471"/>
      <w:bookmarkStart w:id="207" w:name="_Toc97734068"/>
      <w:bookmarkStart w:id="208" w:name="_Toc97735988"/>
      <w:bookmarkStart w:id="209" w:name="_Toc97725472"/>
      <w:bookmarkStart w:id="210" w:name="_Toc97734069"/>
      <w:bookmarkStart w:id="211" w:name="_Toc97735989"/>
      <w:bookmarkStart w:id="212" w:name="_Toc97725473"/>
      <w:bookmarkStart w:id="213" w:name="_Toc97734070"/>
      <w:bookmarkStart w:id="214" w:name="_Toc97735990"/>
      <w:bookmarkStart w:id="215" w:name="_Toc97725474"/>
      <w:bookmarkStart w:id="216" w:name="_Toc97734071"/>
      <w:bookmarkStart w:id="217" w:name="_Toc97735991"/>
      <w:bookmarkStart w:id="218" w:name="_Toc97725475"/>
      <w:bookmarkStart w:id="219" w:name="_Toc97734072"/>
      <w:bookmarkStart w:id="220" w:name="_Toc97735992"/>
      <w:bookmarkStart w:id="221" w:name="_Toc97725476"/>
      <w:bookmarkStart w:id="222" w:name="_Toc97734073"/>
      <w:bookmarkStart w:id="223" w:name="_Toc97735993"/>
      <w:bookmarkStart w:id="224" w:name="_Toc97725477"/>
      <w:bookmarkStart w:id="225" w:name="_Toc97734074"/>
      <w:bookmarkStart w:id="226" w:name="_Toc97735994"/>
      <w:bookmarkStart w:id="227" w:name="_Toc97725478"/>
      <w:bookmarkStart w:id="228" w:name="_Toc97734075"/>
      <w:bookmarkStart w:id="229" w:name="_Toc97735995"/>
      <w:bookmarkStart w:id="230" w:name="_Toc97725479"/>
      <w:bookmarkStart w:id="231" w:name="_Toc97734076"/>
      <w:bookmarkStart w:id="232" w:name="_Toc97735996"/>
      <w:bookmarkStart w:id="233" w:name="_Toc97725480"/>
      <w:bookmarkStart w:id="234" w:name="_Toc97734077"/>
      <w:bookmarkStart w:id="235" w:name="_Toc97735997"/>
      <w:bookmarkStart w:id="236" w:name="_Toc97725481"/>
      <w:bookmarkStart w:id="237" w:name="_Toc97734078"/>
      <w:bookmarkStart w:id="238" w:name="_Toc97735998"/>
      <w:bookmarkStart w:id="239" w:name="_Toc97725482"/>
      <w:bookmarkStart w:id="240" w:name="_Toc97734079"/>
      <w:bookmarkStart w:id="241" w:name="_Toc97735999"/>
      <w:bookmarkStart w:id="242" w:name="_Toc97725483"/>
      <w:bookmarkStart w:id="243" w:name="_Toc97734080"/>
      <w:bookmarkStart w:id="244" w:name="_Toc97736000"/>
      <w:bookmarkStart w:id="245" w:name="_Toc97725484"/>
      <w:bookmarkStart w:id="246" w:name="_Toc97734081"/>
      <w:bookmarkStart w:id="247" w:name="_Toc97736001"/>
      <w:bookmarkStart w:id="248" w:name="_Toc97725485"/>
      <w:bookmarkStart w:id="249" w:name="_Toc97734082"/>
      <w:bookmarkStart w:id="250" w:name="_Toc97736002"/>
      <w:bookmarkStart w:id="251" w:name="_Toc97725486"/>
      <w:bookmarkStart w:id="252" w:name="_Toc97734083"/>
      <w:bookmarkStart w:id="253" w:name="_Toc97736003"/>
      <w:bookmarkStart w:id="254" w:name="_Toc97725487"/>
      <w:bookmarkStart w:id="255" w:name="_Toc97734084"/>
      <w:bookmarkStart w:id="256" w:name="_Toc97736004"/>
      <w:bookmarkStart w:id="257" w:name="_Toc97725488"/>
      <w:bookmarkStart w:id="258" w:name="_Toc97734085"/>
      <w:bookmarkStart w:id="259" w:name="_Toc97736005"/>
      <w:bookmarkStart w:id="260" w:name="_Toc97725489"/>
      <w:bookmarkStart w:id="261" w:name="_Toc97734086"/>
      <w:bookmarkStart w:id="262" w:name="_Toc97736006"/>
      <w:bookmarkStart w:id="263" w:name="_Toc97725490"/>
      <w:bookmarkStart w:id="264" w:name="_Toc97734087"/>
      <w:bookmarkStart w:id="265" w:name="_Toc97736007"/>
      <w:bookmarkStart w:id="266" w:name="_Toc97725491"/>
      <w:bookmarkStart w:id="267" w:name="_Toc97734088"/>
      <w:bookmarkStart w:id="268" w:name="_Toc97736008"/>
      <w:bookmarkStart w:id="269" w:name="_Toc97725492"/>
      <w:bookmarkStart w:id="270" w:name="_Toc97734089"/>
      <w:bookmarkStart w:id="271" w:name="_Toc97736009"/>
      <w:bookmarkStart w:id="272" w:name="_Toc97725493"/>
      <w:bookmarkStart w:id="273" w:name="_Toc97734090"/>
      <w:bookmarkStart w:id="274" w:name="_Toc97736010"/>
      <w:bookmarkStart w:id="275" w:name="_Toc97725494"/>
      <w:bookmarkStart w:id="276" w:name="_Toc97734091"/>
      <w:bookmarkStart w:id="277" w:name="_Toc97736011"/>
      <w:bookmarkStart w:id="278" w:name="_Toc97725495"/>
      <w:bookmarkStart w:id="279" w:name="_Toc97734092"/>
      <w:bookmarkStart w:id="280" w:name="_Toc97736012"/>
      <w:bookmarkStart w:id="281" w:name="_Toc97725496"/>
      <w:bookmarkStart w:id="282" w:name="_Toc97734093"/>
      <w:bookmarkStart w:id="283" w:name="_Toc97736013"/>
      <w:bookmarkStart w:id="284" w:name="_Toc97725497"/>
      <w:bookmarkStart w:id="285" w:name="_Toc97734094"/>
      <w:bookmarkStart w:id="286" w:name="_Toc97736014"/>
      <w:bookmarkStart w:id="287" w:name="_Toc97725498"/>
      <w:bookmarkStart w:id="288" w:name="_Toc97734095"/>
      <w:bookmarkStart w:id="289" w:name="_Toc97736015"/>
      <w:bookmarkStart w:id="290" w:name="_Toc97725499"/>
      <w:bookmarkStart w:id="291" w:name="_Toc97734096"/>
      <w:bookmarkStart w:id="292" w:name="_Toc97736016"/>
      <w:bookmarkStart w:id="293" w:name="_Toc97725500"/>
      <w:bookmarkStart w:id="294" w:name="_Toc97734097"/>
      <w:bookmarkStart w:id="295" w:name="_Toc97736017"/>
      <w:bookmarkStart w:id="296" w:name="_Toc97725501"/>
      <w:bookmarkStart w:id="297" w:name="_Toc97734098"/>
      <w:bookmarkStart w:id="298" w:name="_Toc97736018"/>
      <w:bookmarkStart w:id="299" w:name="_Toc97725502"/>
      <w:bookmarkStart w:id="300" w:name="_Toc97734099"/>
      <w:bookmarkStart w:id="301" w:name="_Toc97736019"/>
      <w:bookmarkStart w:id="302" w:name="_Toc97725503"/>
      <w:bookmarkStart w:id="303" w:name="_Toc97734100"/>
      <w:bookmarkStart w:id="304" w:name="_Toc97736020"/>
      <w:bookmarkStart w:id="305" w:name="_Toc97725504"/>
      <w:bookmarkStart w:id="306" w:name="_Toc97734101"/>
      <w:bookmarkStart w:id="307" w:name="_Toc97736021"/>
      <w:bookmarkStart w:id="308" w:name="_Toc97725505"/>
      <w:bookmarkStart w:id="309" w:name="_Toc97734102"/>
      <w:bookmarkStart w:id="310" w:name="_Toc97736022"/>
      <w:bookmarkStart w:id="311" w:name="_Toc97725506"/>
      <w:bookmarkStart w:id="312" w:name="_Toc97734103"/>
      <w:bookmarkStart w:id="313" w:name="_Toc97736023"/>
      <w:bookmarkStart w:id="314" w:name="_Toc97725507"/>
      <w:bookmarkStart w:id="315" w:name="_Toc97734104"/>
      <w:bookmarkStart w:id="316" w:name="_Toc97736024"/>
      <w:bookmarkStart w:id="317" w:name="_Toc97725508"/>
      <w:bookmarkStart w:id="318" w:name="_Toc97734105"/>
      <w:bookmarkStart w:id="319" w:name="_Toc97736025"/>
      <w:bookmarkStart w:id="320" w:name="_Toc97725509"/>
      <w:bookmarkStart w:id="321" w:name="_Toc97734106"/>
      <w:bookmarkStart w:id="322" w:name="_Toc97736026"/>
      <w:bookmarkStart w:id="323" w:name="_Toc97725510"/>
      <w:bookmarkStart w:id="324" w:name="_Toc97734107"/>
      <w:bookmarkStart w:id="325" w:name="_Toc97736027"/>
      <w:bookmarkStart w:id="326" w:name="_Toc97725511"/>
      <w:bookmarkStart w:id="327" w:name="_Toc97734108"/>
      <w:bookmarkStart w:id="328" w:name="_Toc97736028"/>
      <w:bookmarkStart w:id="329" w:name="_Toc97725512"/>
      <w:bookmarkStart w:id="330" w:name="_Toc97734109"/>
      <w:bookmarkStart w:id="331" w:name="_Toc97736029"/>
      <w:bookmarkStart w:id="332" w:name="_Toc97725513"/>
      <w:bookmarkStart w:id="333" w:name="_Toc97734110"/>
      <w:bookmarkStart w:id="334" w:name="_Toc97736030"/>
      <w:bookmarkStart w:id="335" w:name="_Toc97725514"/>
      <w:bookmarkStart w:id="336" w:name="_Toc97734111"/>
      <w:bookmarkStart w:id="337" w:name="_Toc97736031"/>
      <w:bookmarkStart w:id="338" w:name="_Toc97725515"/>
      <w:bookmarkStart w:id="339" w:name="_Toc97734112"/>
      <w:bookmarkStart w:id="340" w:name="_Toc97736032"/>
      <w:bookmarkStart w:id="341" w:name="_Toc97725516"/>
      <w:bookmarkStart w:id="342" w:name="_Toc97734113"/>
      <w:bookmarkStart w:id="343" w:name="_Toc97736033"/>
      <w:bookmarkStart w:id="344" w:name="_Toc97725517"/>
      <w:bookmarkStart w:id="345" w:name="_Toc97734114"/>
      <w:bookmarkStart w:id="346" w:name="_Toc97736034"/>
      <w:bookmarkStart w:id="347" w:name="_Toc97725518"/>
      <w:bookmarkStart w:id="348" w:name="_Toc97734115"/>
      <w:bookmarkStart w:id="349" w:name="_Toc97736035"/>
      <w:bookmarkStart w:id="350" w:name="_Toc97725519"/>
      <w:bookmarkStart w:id="351" w:name="_Toc97734116"/>
      <w:bookmarkStart w:id="352" w:name="_Toc97736036"/>
      <w:bookmarkStart w:id="353" w:name="_Toc97725520"/>
      <w:bookmarkStart w:id="354" w:name="_Toc97734117"/>
      <w:bookmarkStart w:id="355" w:name="_Toc97736037"/>
      <w:bookmarkStart w:id="356" w:name="_Toc97725521"/>
      <w:bookmarkStart w:id="357" w:name="_Toc97734118"/>
      <w:bookmarkStart w:id="358" w:name="_Toc97736038"/>
      <w:bookmarkStart w:id="359" w:name="_Toc97725522"/>
      <w:bookmarkStart w:id="360" w:name="_Toc97734119"/>
      <w:bookmarkStart w:id="361" w:name="_Toc97736039"/>
      <w:bookmarkStart w:id="362" w:name="_Toc97725523"/>
      <w:bookmarkStart w:id="363" w:name="_Toc97734120"/>
      <w:bookmarkStart w:id="364" w:name="_Toc97736040"/>
      <w:bookmarkStart w:id="365" w:name="_Toc97725524"/>
      <w:bookmarkStart w:id="366" w:name="_Toc97734121"/>
      <w:bookmarkStart w:id="367" w:name="_Toc97736041"/>
      <w:bookmarkStart w:id="368" w:name="_Toc97725525"/>
      <w:bookmarkStart w:id="369" w:name="_Toc97734122"/>
      <w:bookmarkStart w:id="370" w:name="_Toc97736042"/>
      <w:bookmarkStart w:id="371" w:name="_Toc97725526"/>
      <w:bookmarkStart w:id="372" w:name="_Toc97734123"/>
      <w:bookmarkStart w:id="373" w:name="_Toc97736043"/>
      <w:bookmarkStart w:id="374" w:name="_Toc97725527"/>
      <w:bookmarkStart w:id="375" w:name="_Toc97734124"/>
      <w:bookmarkStart w:id="376" w:name="_Toc97736044"/>
      <w:bookmarkStart w:id="377" w:name="_Toc97725528"/>
      <w:bookmarkStart w:id="378" w:name="_Toc97734125"/>
      <w:bookmarkStart w:id="379" w:name="_Toc97736045"/>
      <w:bookmarkStart w:id="380" w:name="_Toc97725529"/>
      <w:bookmarkStart w:id="381" w:name="_Toc97734126"/>
      <w:bookmarkStart w:id="382" w:name="_Toc97736046"/>
      <w:bookmarkStart w:id="383" w:name="_Toc97725530"/>
      <w:bookmarkStart w:id="384" w:name="_Toc97734127"/>
      <w:bookmarkStart w:id="385" w:name="_Toc97736047"/>
      <w:bookmarkStart w:id="386" w:name="_Toc97725531"/>
      <w:bookmarkStart w:id="387" w:name="_Toc97734128"/>
      <w:bookmarkStart w:id="388" w:name="_Toc97736048"/>
      <w:bookmarkStart w:id="389" w:name="_Toc97725532"/>
      <w:bookmarkStart w:id="390" w:name="_Toc97734129"/>
      <w:bookmarkStart w:id="391" w:name="_Toc97736049"/>
      <w:bookmarkStart w:id="392" w:name="_Toc97725533"/>
      <w:bookmarkStart w:id="393" w:name="_Toc97734130"/>
      <w:bookmarkStart w:id="394" w:name="_Toc97736050"/>
      <w:bookmarkStart w:id="395" w:name="_Toc97725534"/>
      <w:bookmarkStart w:id="396" w:name="_Toc97734131"/>
      <w:bookmarkStart w:id="397" w:name="_Toc97736051"/>
      <w:bookmarkStart w:id="398" w:name="_Toc97725535"/>
      <w:bookmarkStart w:id="399" w:name="_Toc97734132"/>
      <w:bookmarkStart w:id="400" w:name="_Toc97736052"/>
      <w:bookmarkStart w:id="401" w:name="_Toc97725536"/>
      <w:bookmarkStart w:id="402" w:name="_Toc97734133"/>
      <w:bookmarkStart w:id="403" w:name="_Toc97736053"/>
      <w:bookmarkStart w:id="404" w:name="_Toc97725537"/>
      <w:bookmarkStart w:id="405" w:name="_Toc97734134"/>
      <w:bookmarkStart w:id="406" w:name="_Toc97736054"/>
      <w:bookmarkStart w:id="407" w:name="_Toc97725538"/>
      <w:bookmarkStart w:id="408" w:name="_Toc97734135"/>
      <w:bookmarkStart w:id="409" w:name="_Toc97736055"/>
      <w:bookmarkStart w:id="410" w:name="_Toc97725539"/>
      <w:bookmarkStart w:id="411" w:name="_Toc97734136"/>
      <w:bookmarkStart w:id="412" w:name="_Toc97736056"/>
      <w:bookmarkStart w:id="413" w:name="_Toc97725540"/>
      <w:bookmarkStart w:id="414" w:name="_Toc97734137"/>
      <w:bookmarkStart w:id="415" w:name="_Toc97736057"/>
      <w:bookmarkStart w:id="416" w:name="_Toc97725541"/>
      <w:bookmarkStart w:id="417" w:name="_Toc97734138"/>
      <w:bookmarkStart w:id="418" w:name="_Toc97736058"/>
      <w:bookmarkStart w:id="419" w:name="_Toc97725542"/>
      <w:bookmarkStart w:id="420" w:name="_Toc97734139"/>
      <w:bookmarkStart w:id="421" w:name="_Toc97736059"/>
      <w:bookmarkStart w:id="422" w:name="_Toc97725543"/>
      <w:bookmarkStart w:id="423" w:name="_Toc97734140"/>
      <w:bookmarkStart w:id="424" w:name="_Toc97736060"/>
      <w:bookmarkStart w:id="425" w:name="_Toc97725544"/>
      <w:bookmarkStart w:id="426" w:name="_Toc97734141"/>
      <w:bookmarkStart w:id="427" w:name="_Toc97736061"/>
      <w:bookmarkStart w:id="428" w:name="_Toc97725545"/>
      <w:bookmarkStart w:id="429" w:name="_Toc97734142"/>
      <w:bookmarkStart w:id="430" w:name="_Toc97736062"/>
      <w:bookmarkStart w:id="431" w:name="_Toc97725546"/>
      <w:bookmarkStart w:id="432" w:name="_Toc97734143"/>
      <w:bookmarkStart w:id="433" w:name="_Toc97736063"/>
      <w:bookmarkStart w:id="434" w:name="_Toc97725547"/>
      <w:bookmarkStart w:id="435" w:name="_Toc97734144"/>
      <w:bookmarkStart w:id="436" w:name="_Toc97736064"/>
      <w:bookmarkStart w:id="437" w:name="_Toc97725548"/>
      <w:bookmarkStart w:id="438" w:name="_Toc97734145"/>
      <w:bookmarkStart w:id="439" w:name="_Toc97736065"/>
      <w:bookmarkStart w:id="440" w:name="_Toc97725549"/>
      <w:bookmarkStart w:id="441" w:name="_Toc97734146"/>
      <w:bookmarkStart w:id="442" w:name="_Toc97736066"/>
      <w:bookmarkStart w:id="443" w:name="_Toc97725550"/>
      <w:bookmarkStart w:id="444" w:name="_Toc97734147"/>
      <w:bookmarkStart w:id="445" w:name="_Toc97736067"/>
      <w:bookmarkStart w:id="446" w:name="_Toc97725551"/>
      <w:bookmarkStart w:id="447" w:name="_Toc97734148"/>
      <w:bookmarkStart w:id="448" w:name="_Toc97736068"/>
      <w:bookmarkStart w:id="449" w:name="_Toc97725552"/>
      <w:bookmarkStart w:id="450" w:name="_Toc97734149"/>
      <w:bookmarkStart w:id="451" w:name="_Toc97736069"/>
      <w:bookmarkStart w:id="452" w:name="_Toc97725553"/>
      <w:bookmarkStart w:id="453" w:name="_Toc97734150"/>
      <w:bookmarkStart w:id="454" w:name="_Toc97736070"/>
      <w:bookmarkStart w:id="455" w:name="_Toc97725554"/>
      <w:bookmarkStart w:id="456" w:name="_Toc97734151"/>
      <w:bookmarkStart w:id="457" w:name="_Toc97736071"/>
      <w:bookmarkStart w:id="458" w:name="_Toc97725555"/>
      <w:bookmarkStart w:id="459" w:name="_Toc97734152"/>
      <w:bookmarkStart w:id="460" w:name="_Toc97736072"/>
      <w:bookmarkStart w:id="461" w:name="_Toc97725556"/>
      <w:bookmarkStart w:id="462" w:name="_Toc97734153"/>
      <w:bookmarkStart w:id="463" w:name="_Toc97736073"/>
      <w:bookmarkStart w:id="464" w:name="_Toc97725557"/>
      <w:bookmarkStart w:id="465" w:name="_Toc97734154"/>
      <w:bookmarkStart w:id="466" w:name="_Toc97736074"/>
      <w:bookmarkStart w:id="467" w:name="_Toc97725558"/>
      <w:bookmarkStart w:id="468" w:name="_Toc97734155"/>
      <w:bookmarkStart w:id="469" w:name="_Toc97736075"/>
      <w:bookmarkStart w:id="470" w:name="_Toc97725559"/>
      <w:bookmarkStart w:id="471" w:name="_Toc97734156"/>
      <w:bookmarkStart w:id="472" w:name="_Toc97736076"/>
      <w:bookmarkStart w:id="473" w:name="_Toc97725560"/>
      <w:bookmarkStart w:id="474" w:name="_Toc97734157"/>
      <w:bookmarkStart w:id="475" w:name="_Toc97736077"/>
      <w:bookmarkStart w:id="476" w:name="_Toc97725561"/>
      <w:bookmarkStart w:id="477" w:name="_Toc97734158"/>
      <w:bookmarkStart w:id="478" w:name="_Toc97736078"/>
      <w:bookmarkStart w:id="479" w:name="_Toc97725562"/>
      <w:bookmarkStart w:id="480" w:name="_Toc97734159"/>
      <w:bookmarkStart w:id="481" w:name="_Toc97736079"/>
      <w:bookmarkStart w:id="482" w:name="_Toc97725563"/>
      <w:bookmarkStart w:id="483" w:name="_Toc97734160"/>
      <w:bookmarkStart w:id="484" w:name="_Toc97736080"/>
      <w:bookmarkStart w:id="485" w:name="_Toc97725564"/>
      <w:bookmarkStart w:id="486" w:name="_Toc97734161"/>
      <w:bookmarkStart w:id="487" w:name="_Toc97736081"/>
      <w:bookmarkStart w:id="488" w:name="_Toc97725565"/>
      <w:bookmarkStart w:id="489" w:name="_Toc97734162"/>
      <w:bookmarkStart w:id="490" w:name="_Toc97736082"/>
      <w:bookmarkStart w:id="491" w:name="_Toc97725566"/>
      <w:bookmarkStart w:id="492" w:name="_Toc97734163"/>
      <w:bookmarkStart w:id="493" w:name="_Toc97736083"/>
      <w:bookmarkStart w:id="494" w:name="_Toc97725567"/>
      <w:bookmarkStart w:id="495" w:name="_Toc97734164"/>
      <w:bookmarkStart w:id="496" w:name="_Toc97736084"/>
      <w:bookmarkStart w:id="497" w:name="_Toc97725568"/>
      <w:bookmarkStart w:id="498" w:name="_Toc97734165"/>
      <w:bookmarkStart w:id="499" w:name="_Toc97736085"/>
      <w:bookmarkStart w:id="500" w:name="_Toc97725569"/>
      <w:bookmarkStart w:id="501" w:name="_Toc97734166"/>
      <w:bookmarkStart w:id="502" w:name="_Toc97736086"/>
      <w:bookmarkStart w:id="503" w:name="_Toc97725570"/>
      <w:bookmarkStart w:id="504" w:name="_Toc97734167"/>
      <w:bookmarkStart w:id="505" w:name="_Toc97736087"/>
      <w:bookmarkStart w:id="506" w:name="_Toc97725571"/>
      <w:bookmarkStart w:id="507" w:name="_Toc97734168"/>
      <w:bookmarkStart w:id="508" w:name="_Toc97736088"/>
      <w:bookmarkStart w:id="509" w:name="_Toc97725572"/>
      <w:bookmarkStart w:id="510" w:name="_Toc97734169"/>
      <w:bookmarkStart w:id="511" w:name="_Toc97736089"/>
      <w:bookmarkStart w:id="512" w:name="_Toc97725573"/>
      <w:bookmarkStart w:id="513" w:name="_Toc97734170"/>
      <w:bookmarkStart w:id="514" w:name="_Toc97736090"/>
      <w:bookmarkStart w:id="515" w:name="_Toc97725574"/>
      <w:bookmarkStart w:id="516" w:name="_Toc97734171"/>
      <w:bookmarkStart w:id="517" w:name="_Toc97736091"/>
      <w:bookmarkStart w:id="518" w:name="_Toc97725575"/>
      <w:bookmarkStart w:id="519" w:name="_Toc97734172"/>
      <w:bookmarkStart w:id="520" w:name="_Toc97736092"/>
      <w:bookmarkStart w:id="521" w:name="_Toc97725576"/>
      <w:bookmarkStart w:id="522" w:name="_Toc97734173"/>
      <w:bookmarkStart w:id="523" w:name="_Toc97736093"/>
      <w:bookmarkStart w:id="524" w:name="_Toc97725577"/>
      <w:bookmarkStart w:id="525" w:name="_Toc97734174"/>
      <w:bookmarkStart w:id="526" w:name="_Toc97736094"/>
      <w:bookmarkStart w:id="527" w:name="_Toc97725578"/>
      <w:bookmarkStart w:id="528" w:name="_Toc97734175"/>
      <w:bookmarkStart w:id="529" w:name="_Toc97736095"/>
      <w:bookmarkStart w:id="530" w:name="_Toc97725579"/>
      <w:bookmarkStart w:id="531" w:name="_Toc97734176"/>
      <w:bookmarkStart w:id="532" w:name="_Toc97736096"/>
      <w:bookmarkStart w:id="533" w:name="_Toc97725580"/>
      <w:bookmarkStart w:id="534" w:name="_Toc97734177"/>
      <w:bookmarkStart w:id="535" w:name="_Toc97736097"/>
      <w:bookmarkStart w:id="536" w:name="_Toc97725581"/>
      <w:bookmarkStart w:id="537" w:name="_Toc97734178"/>
      <w:bookmarkStart w:id="538" w:name="_Toc97736098"/>
      <w:bookmarkStart w:id="539" w:name="_Toc97725582"/>
      <w:bookmarkStart w:id="540" w:name="_Toc97734179"/>
      <w:bookmarkStart w:id="541" w:name="_Toc97736099"/>
      <w:bookmarkStart w:id="542" w:name="_Toc97725583"/>
      <w:bookmarkStart w:id="543" w:name="_Toc97734180"/>
      <w:bookmarkStart w:id="544" w:name="_Toc97736100"/>
      <w:bookmarkStart w:id="545" w:name="_Toc97725584"/>
      <w:bookmarkStart w:id="546" w:name="_Toc97734181"/>
      <w:bookmarkStart w:id="547" w:name="_Toc97736101"/>
      <w:bookmarkStart w:id="548" w:name="_Toc97725585"/>
      <w:bookmarkStart w:id="549" w:name="_Toc97734182"/>
      <w:bookmarkStart w:id="550" w:name="_Toc97736102"/>
      <w:bookmarkStart w:id="551" w:name="_Toc97725586"/>
      <w:bookmarkStart w:id="552" w:name="_Toc97734183"/>
      <w:bookmarkStart w:id="553" w:name="_Toc97736103"/>
      <w:bookmarkStart w:id="554" w:name="_Toc97725587"/>
      <w:bookmarkStart w:id="555" w:name="_Toc97734184"/>
      <w:bookmarkStart w:id="556" w:name="_Toc97736104"/>
      <w:bookmarkStart w:id="557" w:name="_Toc97725588"/>
      <w:bookmarkStart w:id="558" w:name="_Toc97734185"/>
      <w:bookmarkStart w:id="559" w:name="_Toc97736105"/>
      <w:bookmarkStart w:id="560" w:name="_Toc97725589"/>
      <w:bookmarkStart w:id="561" w:name="_Toc97734186"/>
      <w:bookmarkStart w:id="562" w:name="_Toc97736106"/>
      <w:bookmarkStart w:id="563" w:name="_Toc97725590"/>
      <w:bookmarkStart w:id="564" w:name="_Toc97734187"/>
      <w:bookmarkStart w:id="565" w:name="_Toc97736107"/>
      <w:bookmarkStart w:id="566" w:name="_Toc97725591"/>
      <w:bookmarkStart w:id="567" w:name="_Toc97734188"/>
      <w:bookmarkStart w:id="568" w:name="_Toc97736108"/>
      <w:bookmarkStart w:id="569" w:name="_Toc97725592"/>
      <w:bookmarkStart w:id="570" w:name="_Toc97734189"/>
      <w:bookmarkStart w:id="571" w:name="_Toc97736109"/>
      <w:bookmarkStart w:id="572" w:name="_Toc97725593"/>
      <w:bookmarkStart w:id="573" w:name="_Toc97734190"/>
      <w:bookmarkStart w:id="574" w:name="_Toc97736110"/>
      <w:bookmarkStart w:id="575" w:name="_Toc97725594"/>
      <w:bookmarkStart w:id="576" w:name="_Toc97734191"/>
      <w:bookmarkStart w:id="577" w:name="_Toc97736111"/>
      <w:bookmarkStart w:id="578" w:name="_Toc97725595"/>
      <w:bookmarkStart w:id="579" w:name="_Toc97734192"/>
      <w:bookmarkStart w:id="580" w:name="_Toc97736112"/>
      <w:bookmarkStart w:id="581" w:name="_Toc12102962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0B6335">
        <w:t>SUR LES FRAIS DE PROCÉDURE</w:t>
      </w:r>
      <w:bookmarkStart w:id="582" w:name="_Toc97725596"/>
      <w:bookmarkEnd w:id="581"/>
      <w:bookmarkEnd w:id="582"/>
    </w:p>
    <w:p w14:paraId="2844F3E1" w14:textId="77777777" w:rsidR="00996BF3" w:rsidRPr="000B6335" w:rsidRDefault="00996BF3" w:rsidP="008524EE">
      <w:pPr>
        <w:rPr>
          <w:rFonts w:ascii="Arial" w:eastAsia="Calibri" w:hAnsi="Arial" w:cs="Arial"/>
        </w:rPr>
      </w:pPr>
      <w:bookmarkStart w:id="583" w:name="_Toc97725597"/>
      <w:bookmarkEnd w:id="583"/>
    </w:p>
    <w:p w14:paraId="2C4FDF12" w14:textId="5E7CFEB0" w:rsidR="00ED55BE" w:rsidRPr="000B6335" w:rsidRDefault="00ED55BE" w:rsidP="008524EE">
      <w:pPr>
        <w:rPr>
          <w:rFonts w:ascii="Arial" w:eastAsia="Calibri" w:hAnsi="Arial" w:cs="Arial"/>
          <w:b/>
        </w:rPr>
      </w:pPr>
      <w:r w:rsidRPr="000B6335">
        <w:rPr>
          <w:rFonts w:ascii="Arial" w:hAnsi="Arial" w:cs="Arial"/>
        </w:rPr>
        <w:t xml:space="preserve">Les Requérantes demandent à la Cour de mettre les frais de procédure à la charge de l’État défendeur. </w:t>
      </w:r>
    </w:p>
    <w:p w14:paraId="0F2D7861" w14:textId="77777777" w:rsidR="00ED55BE" w:rsidRPr="000B6335" w:rsidRDefault="00ED55BE" w:rsidP="008524EE">
      <w:pPr>
        <w:rPr>
          <w:rFonts w:ascii="Arial" w:eastAsia="Calibri" w:hAnsi="Arial" w:cs="Arial"/>
          <w:b/>
        </w:rPr>
      </w:pPr>
    </w:p>
    <w:p w14:paraId="5E6FD59D" w14:textId="3D9CE368" w:rsidR="00ED55BE" w:rsidRPr="000B6335" w:rsidRDefault="00ED55BE" w:rsidP="008524EE">
      <w:pPr>
        <w:rPr>
          <w:rFonts w:ascii="Arial" w:eastAsia="Calibri" w:hAnsi="Arial" w:cs="Arial"/>
          <w:b/>
        </w:rPr>
      </w:pPr>
      <w:r w:rsidRPr="000B6335">
        <w:rPr>
          <w:rFonts w:ascii="Arial" w:hAnsi="Arial" w:cs="Arial"/>
        </w:rPr>
        <w:t>L’État défendeur demande également que les frais de procédure soient mis à la charge des Requérantes.</w:t>
      </w:r>
    </w:p>
    <w:p w14:paraId="604C151F" w14:textId="77777777" w:rsidR="00516A77" w:rsidRPr="000B6335" w:rsidRDefault="00516A77" w:rsidP="008524EE">
      <w:pPr>
        <w:rPr>
          <w:rFonts w:ascii="Arial" w:hAnsi="Arial" w:cs="Arial"/>
          <w:color w:val="000000" w:themeColor="text1"/>
        </w:rPr>
      </w:pPr>
    </w:p>
    <w:p w14:paraId="7E83A23E" w14:textId="1B2B1EDF" w:rsidR="00ED55BE" w:rsidRPr="000B6335" w:rsidRDefault="00ED55BE" w:rsidP="008524EE">
      <w:pPr>
        <w:rPr>
          <w:rFonts w:ascii="Arial" w:hAnsi="Arial" w:cs="Arial"/>
          <w:color w:val="000000" w:themeColor="text1"/>
        </w:rPr>
      </w:pPr>
      <w:r w:rsidRPr="000B6335">
        <w:rPr>
          <w:rFonts w:ascii="Arial" w:hAnsi="Arial" w:cs="Arial"/>
          <w:color w:val="000000" w:themeColor="text1"/>
        </w:rPr>
        <w:t>***</w:t>
      </w:r>
    </w:p>
    <w:p w14:paraId="1AF41D9C" w14:textId="77777777" w:rsidR="00ED55BE" w:rsidRPr="000B6335" w:rsidRDefault="00ED55BE" w:rsidP="008524EE">
      <w:pPr>
        <w:rPr>
          <w:rFonts w:ascii="Arial" w:hAnsi="Arial" w:cs="Arial"/>
          <w:color w:val="000000" w:themeColor="text1"/>
        </w:rPr>
      </w:pPr>
    </w:p>
    <w:p w14:paraId="2220B188" w14:textId="6CB79A22" w:rsidR="00ED55BE" w:rsidRPr="000B6335" w:rsidRDefault="00ED55BE" w:rsidP="008524EE">
      <w:pPr>
        <w:rPr>
          <w:rFonts w:ascii="Arial" w:eastAsia="Calibri" w:hAnsi="Arial" w:cs="Arial"/>
          <w:b/>
        </w:rPr>
      </w:pPr>
      <w:r w:rsidRPr="000B6335">
        <w:rPr>
          <w:rFonts w:ascii="Arial" w:hAnsi="Arial" w:cs="Arial"/>
        </w:rPr>
        <w:t>La Cour relève qu’aux termes de la règle 32(2) de son Règlement, « à moins que la Cour n’en décide autrement, chaque partie supporte ses frais de procédure ».</w:t>
      </w:r>
      <w:bookmarkStart w:id="584" w:name="_Toc97725603"/>
      <w:bookmarkStart w:id="585" w:name="_Toc97725604"/>
      <w:bookmarkStart w:id="586" w:name="_Toc97725605"/>
      <w:bookmarkStart w:id="587" w:name="_Toc97725606"/>
      <w:bookmarkStart w:id="588" w:name="_Toc97725607"/>
      <w:bookmarkEnd w:id="584"/>
      <w:bookmarkEnd w:id="585"/>
      <w:bookmarkEnd w:id="586"/>
      <w:bookmarkEnd w:id="587"/>
      <w:bookmarkEnd w:id="588"/>
    </w:p>
    <w:p w14:paraId="5B47694C" w14:textId="77777777" w:rsidR="00ED55BE" w:rsidRPr="000B6335" w:rsidRDefault="00ED55BE" w:rsidP="008524EE">
      <w:pPr>
        <w:rPr>
          <w:rFonts w:ascii="Arial" w:eastAsia="Calibri" w:hAnsi="Arial" w:cs="Arial"/>
          <w:b/>
        </w:rPr>
      </w:pPr>
    </w:p>
    <w:p w14:paraId="27C6CD97" w14:textId="18538745" w:rsidR="00ED55BE" w:rsidRPr="000B6335" w:rsidRDefault="00ED55BE" w:rsidP="008524EE">
      <w:pPr>
        <w:rPr>
          <w:rFonts w:ascii="Arial" w:eastAsia="Calibri" w:hAnsi="Arial" w:cs="Arial"/>
          <w:b/>
        </w:rPr>
      </w:pPr>
      <w:r w:rsidRPr="000B6335">
        <w:rPr>
          <w:rFonts w:ascii="Arial" w:hAnsi="Arial" w:cs="Arial"/>
        </w:rPr>
        <w:t xml:space="preserve">En l’espèce, la Cour estime qu’il n’y a aucune raison de s’écarter du principe posé par cette disposition. </w:t>
      </w:r>
    </w:p>
    <w:p w14:paraId="5779116C" w14:textId="77777777" w:rsidR="005D5B88" w:rsidRPr="000B6335" w:rsidRDefault="005D5B88" w:rsidP="008524EE">
      <w:pPr>
        <w:rPr>
          <w:rFonts w:ascii="Arial" w:eastAsia="Calibri" w:hAnsi="Arial" w:cs="Arial"/>
          <w:b/>
        </w:rPr>
      </w:pPr>
    </w:p>
    <w:p w14:paraId="2B88E884" w14:textId="77777777" w:rsidR="00ED55BE" w:rsidRPr="000B6335" w:rsidRDefault="00ED55BE" w:rsidP="008524EE">
      <w:pPr>
        <w:rPr>
          <w:rFonts w:ascii="Arial" w:eastAsia="Calibri" w:hAnsi="Arial" w:cs="Arial"/>
          <w:b/>
        </w:rPr>
      </w:pPr>
      <w:r w:rsidRPr="000B6335">
        <w:rPr>
          <w:rFonts w:ascii="Arial" w:hAnsi="Arial" w:cs="Arial"/>
        </w:rPr>
        <w:t>La Cour ordonne donc que chaque Partie supporte ses frais de procédure.</w:t>
      </w:r>
    </w:p>
    <w:p w14:paraId="64E92963" w14:textId="4320B6C3" w:rsidR="00262241" w:rsidRPr="000B6335" w:rsidRDefault="00262241" w:rsidP="008524EE">
      <w:pPr>
        <w:rPr>
          <w:rFonts w:ascii="Arial" w:hAnsi="Arial" w:cs="Arial"/>
        </w:rPr>
      </w:pPr>
    </w:p>
    <w:p w14:paraId="59102643" w14:textId="77777777" w:rsidR="00562708" w:rsidRPr="000B6335" w:rsidRDefault="00562708" w:rsidP="008524EE">
      <w:pPr>
        <w:rPr>
          <w:rFonts w:ascii="Arial" w:hAnsi="Arial" w:cs="Arial"/>
        </w:rPr>
      </w:pPr>
    </w:p>
    <w:p w14:paraId="03DBAACD" w14:textId="0980761B" w:rsidR="00996BF3" w:rsidRPr="000B6335" w:rsidRDefault="00996BF3" w:rsidP="008524EE">
      <w:bookmarkStart w:id="589" w:name="_Toc39148244"/>
      <w:bookmarkStart w:id="590" w:name="_Toc121029621"/>
      <w:bookmarkEnd w:id="589"/>
      <w:r w:rsidRPr="000B6335">
        <w:t>DISPOSITIF</w:t>
      </w:r>
      <w:bookmarkEnd w:id="590"/>
    </w:p>
    <w:p w14:paraId="203F94E5" w14:textId="77777777" w:rsidR="00DD6C0C" w:rsidRPr="000B6335" w:rsidRDefault="00DD6C0C" w:rsidP="008524EE">
      <w:pPr>
        <w:rPr>
          <w:rFonts w:ascii="Arial" w:hAnsi="Arial" w:cs="Arial"/>
          <w:lang w:val="en-US"/>
        </w:rPr>
      </w:pPr>
    </w:p>
    <w:p w14:paraId="747D8456" w14:textId="6CCCD394" w:rsidR="00996BF3" w:rsidRPr="000B6335" w:rsidRDefault="00996BF3" w:rsidP="008524EE">
      <w:pPr>
        <w:rPr>
          <w:rFonts w:ascii="Arial" w:hAnsi="Arial" w:cs="Arial"/>
        </w:rPr>
      </w:pPr>
      <w:r w:rsidRPr="000B6335">
        <w:rPr>
          <w:rFonts w:ascii="Arial" w:hAnsi="Arial" w:cs="Arial"/>
        </w:rPr>
        <w:t xml:space="preserve">Par ces motifs, </w:t>
      </w:r>
    </w:p>
    <w:p w14:paraId="7157956D" w14:textId="77777777" w:rsidR="00E64F18" w:rsidRPr="000B6335" w:rsidRDefault="00E64F18" w:rsidP="008524EE">
      <w:pPr>
        <w:rPr>
          <w:rFonts w:ascii="Arial" w:hAnsi="Arial" w:cs="Arial"/>
        </w:rPr>
      </w:pPr>
    </w:p>
    <w:p w14:paraId="2CED8BA7" w14:textId="77777777" w:rsidR="003C73F3" w:rsidRPr="000B6335" w:rsidRDefault="00996BF3" w:rsidP="008524EE">
      <w:pPr>
        <w:rPr>
          <w:rFonts w:ascii="Arial" w:hAnsi="Arial" w:cs="Arial"/>
        </w:rPr>
      </w:pPr>
      <w:r w:rsidRPr="000B6335">
        <w:rPr>
          <w:rFonts w:ascii="Arial" w:hAnsi="Arial" w:cs="Arial"/>
        </w:rPr>
        <w:t>LA COUR,</w:t>
      </w:r>
    </w:p>
    <w:p w14:paraId="0BC3567D" w14:textId="23F8BCCE" w:rsidR="00346F48" w:rsidRPr="000B6335" w:rsidRDefault="00346F48" w:rsidP="008524EE">
      <w:pPr>
        <w:rPr>
          <w:rFonts w:ascii="Arial" w:hAnsi="Arial" w:cs="Arial"/>
          <w:i/>
        </w:rPr>
      </w:pPr>
    </w:p>
    <w:p w14:paraId="1E10F8D0" w14:textId="77777777" w:rsidR="00EB6705" w:rsidRPr="000B6335" w:rsidRDefault="00996BF3" w:rsidP="008524EE">
      <w:pPr>
        <w:rPr>
          <w:rFonts w:ascii="Arial" w:hAnsi="Arial" w:cs="Arial"/>
          <w:i/>
        </w:rPr>
      </w:pPr>
      <w:r w:rsidRPr="000B6335">
        <w:rPr>
          <w:rFonts w:ascii="Arial" w:hAnsi="Arial" w:cs="Arial"/>
          <w:i/>
        </w:rPr>
        <w:t>Sur la compétence</w:t>
      </w:r>
    </w:p>
    <w:p w14:paraId="2AC79DAD" w14:textId="77777777" w:rsidR="00EB6705" w:rsidRPr="000B6335" w:rsidRDefault="00EB6705" w:rsidP="008524EE">
      <w:pPr>
        <w:rPr>
          <w:rFonts w:ascii="Arial" w:hAnsi="Arial" w:cs="Arial"/>
          <w:i/>
        </w:rPr>
      </w:pPr>
    </w:p>
    <w:p w14:paraId="1E465FF6" w14:textId="0C260CD9" w:rsidR="00EB6705" w:rsidRPr="000D767F" w:rsidRDefault="00EB6705" w:rsidP="008524EE">
      <w:pPr>
        <w:rPr>
          <w:rFonts w:ascii="Arial" w:hAnsi="Arial" w:cs="Arial"/>
          <w:i/>
          <w:iCs/>
        </w:rPr>
      </w:pPr>
      <w:r w:rsidRPr="000D767F">
        <w:rPr>
          <w:rFonts w:ascii="Arial" w:hAnsi="Arial" w:cs="Arial"/>
          <w:i/>
          <w:iCs/>
        </w:rPr>
        <w:t xml:space="preserve"> À l’unanimité, </w:t>
      </w:r>
    </w:p>
    <w:p w14:paraId="3E734300" w14:textId="4C3FEC10" w:rsidR="00996BF3" w:rsidRPr="000B6335" w:rsidRDefault="00996BF3" w:rsidP="008524EE">
      <w:pPr>
        <w:rPr>
          <w:rFonts w:ascii="Arial" w:hAnsi="Arial" w:cs="Arial"/>
          <w:i/>
        </w:rPr>
      </w:pPr>
      <w:r w:rsidRPr="000B6335">
        <w:rPr>
          <w:rFonts w:ascii="Arial" w:hAnsi="Arial" w:cs="Arial"/>
          <w:i/>
        </w:rPr>
        <w:t xml:space="preserve"> </w:t>
      </w:r>
    </w:p>
    <w:p w14:paraId="418F8010" w14:textId="6C32A643" w:rsidR="00996BF3" w:rsidRPr="000B6335" w:rsidRDefault="00996BF3" w:rsidP="008524EE">
      <w:pPr>
        <w:rPr>
          <w:rFonts w:ascii="Arial" w:hAnsi="Arial" w:cs="Arial"/>
          <w:b/>
        </w:rPr>
      </w:pPr>
      <w:r w:rsidRPr="000B6335">
        <w:rPr>
          <w:rFonts w:ascii="Arial" w:hAnsi="Arial" w:cs="Arial"/>
          <w:i/>
          <w:iCs/>
        </w:rPr>
        <w:t>Dit</w:t>
      </w:r>
      <w:r w:rsidRPr="000B6335">
        <w:rPr>
          <w:rFonts w:ascii="Arial" w:hAnsi="Arial" w:cs="Arial"/>
        </w:rPr>
        <w:t xml:space="preserve"> qu’elle est compétente. </w:t>
      </w:r>
    </w:p>
    <w:p w14:paraId="69DBF6F2" w14:textId="77777777" w:rsidR="00904254" w:rsidRPr="000B6335" w:rsidRDefault="00904254" w:rsidP="008524EE">
      <w:pPr>
        <w:rPr>
          <w:rFonts w:ascii="Arial" w:hAnsi="Arial" w:cs="Arial"/>
          <w:b/>
        </w:rPr>
      </w:pPr>
    </w:p>
    <w:p w14:paraId="3930C6B2" w14:textId="56CC4375" w:rsidR="00996BF3" w:rsidRPr="000B6335" w:rsidRDefault="00996BF3" w:rsidP="008524EE">
      <w:pPr>
        <w:rPr>
          <w:rFonts w:ascii="Arial" w:hAnsi="Arial" w:cs="Arial"/>
          <w:i/>
        </w:rPr>
      </w:pPr>
      <w:r w:rsidRPr="000B6335">
        <w:rPr>
          <w:rFonts w:ascii="Arial" w:hAnsi="Arial" w:cs="Arial"/>
          <w:i/>
        </w:rPr>
        <w:t xml:space="preserve">Sur la recevabilité </w:t>
      </w:r>
    </w:p>
    <w:p w14:paraId="7544D6B6" w14:textId="6EFC1416" w:rsidR="00A223D5" w:rsidRPr="000B6335" w:rsidRDefault="00A223D5" w:rsidP="008524EE">
      <w:pPr>
        <w:rPr>
          <w:rFonts w:ascii="Arial" w:hAnsi="Arial" w:cs="Arial"/>
          <w:i/>
        </w:rPr>
      </w:pPr>
    </w:p>
    <w:p w14:paraId="1C51D4FA" w14:textId="2BEF212D" w:rsidR="001730BB" w:rsidRPr="000B6335" w:rsidRDefault="00706997" w:rsidP="008524EE">
      <w:pPr>
        <w:rPr>
          <w:rFonts w:ascii="Arial" w:hAnsi="Arial" w:cs="Arial"/>
          <w:i/>
        </w:rPr>
      </w:pPr>
      <w:r w:rsidRPr="000B6335">
        <w:rPr>
          <w:rFonts w:ascii="Arial" w:hAnsi="Arial" w:cs="Arial"/>
          <w:i/>
        </w:rPr>
        <w:t xml:space="preserve">À la majorité de </w:t>
      </w:r>
      <w:r w:rsidR="00754D0A" w:rsidRPr="000B6335">
        <w:rPr>
          <w:rFonts w:ascii="Arial" w:hAnsi="Arial" w:cs="Arial"/>
          <w:i/>
        </w:rPr>
        <w:t>huit</w:t>
      </w:r>
      <w:r w:rsidRPr="000B6335">
        <w:rPr>
          <w:rFonts w:ascii="Arial" w:hAnsi="Arial" w:cs="Arial"/>
          <w:i/>
        </w:rPr>
        <w:t xml:space="preserve"> (8) voix pour et deux (2) voix contre, le</w:t>
      </w:r>
      <w:r w:rsidR="00DD474C" w:rsidRPr="000B6335">
        <w:rPr>
          <w:rFonts w:ascii="Arial" w:hAnsi="Arial" w:cs="Arial"/>
          <w:i/>
        </w:rPr>
        <w:t>s</w:t>
      </w:r>
      <w:r w:rsidRPr="000B6335">
        <w:rPr>
          <w:rFonts w:ascii="Arial" w:hAnsi="Arial" w:cs="Arial"/>
          <w:i/>
        </w:rPr>
        <w:t xml:space="preserve"> Juge</w:t>
      </w:r>
      <w:r w:rsidR="00DD474C" w:rsidRPr="000B6335">
        <w:rPr>
          <w:rFonts w:ascii="Arial" w:hAnsi="Arial" w:cs="Arial"/>
          <w:i/>
        </w:rPr>
        <w:t>s</w:t>
      </w:r>
      <w:r w:rsidRPr="000B6335">
        <w:rPr>
          <w:rFonts w:ascii="Arial" w:hAnsi="Arial" w:cs="Arial"/>
          <w:i/>
        </w:rPr>
        <w:t xml:space="preserve"> Blaise TCHIKAYA </w:t>
      </w:r>
      <w:r w:rsidR="00DD474C" w:rsidRPr="000B6335">
        <w:rPr>
          <w:rFonts w:ascii="Arial" w:hAnsi="Arial" w:cs="Arial"/>
          <w:i/>
        </w:rPr>
        <w:t xml:space="preserve">et Rafaâ BEN ACHOUR </w:t>
      </w:r>
      <w:r w:rsidRPr="000B6335">
        <w:rPr>
          <w:rFonts w:ascii="Arial" w:hAnsi="Arial" w:cs="Arial"/>
          <w:i/>
        </w:rPr>
        <w:t>ayant émis une opinion dissidente :</w:t>
      </w:r>
    </w:p>
    <w:p w14:paraId="5ACC54EC" w14:textId="77777777" w:rsidR="00706997" w:rsidRPr="000B6335" w:rsidRDefault="00706997" w:rsidP="008524EE">
      <w:pPr>
        <w:rPr>
          <w:rFonts w:ascii="Arial" w:hAnsi="Arial" w:cs="Arial"/>
          <w:i/>
        </w:rPr>
      </w:pPr>
    </w:p>
    <w:p w14:paraId="3C35DE55" w14:textId="554DB8A2" w:rsidR="00900D3E" w:rsidRPr="000B6335" w:rsidRDefault="00996BF3" w:rsidP="008524EE">
      <w:pPr>
        <w:rPr>
          <w:rFonts w:ascii="Arial" w:eastAsia="Calibri" w:hAnsi="Arial" w:cs="Arial"/>
        </w:rPr>
      </w:pPr>
      <w:r w:rsidRPr="000B6335">
        <w:rPr>
          <w:rFonts w:ascii="Arial" w:hAnsi="Arial" w:cs="Arial"/>
          <w:i/>
          <w:iCs/>
        </w:rPr>
        <w:t>Déclare</w:t>
      </w:r>
      <w:r w:rsidRPr="000B6335">
        <w:rPr>
          <w:rFonts w:ascii="Arial" w:hAnsi="Arial" w:cs="Arial"/>
        </w:rPr>
        <w:t xml:space="preserve"> la Requête irrecevable.</w:t>
      </w:r>
    </w:p>
    <w:p w14:paraId="6C264A40" w14:textId="77777777" w:rsidR="00725534" w:rsidRPr="000B6335" w:rsidRDefault="00725534" w:rsidP="008524EE">
      <w:pPr>
        <w:rPr>
          <w:rFonts w:ascii="Arial" w:eastAsia="Calibri" w:hAnsi="Arial" w:cs="Arial"/>
        </w:rPr>
      </w:pPr>
    </w:p>
    <w:p w14:paraId="60D5442F" w14:textId="34A12767" w:rsidR="00996BF3" w:rsidRPr="000B6335" w:rsidRDefault="00996BF3" w:rsidP="008524EE">
      <w:pPr>
        <w:rPr>
          <w:rFonts w:ascii="Arial" w:hAnsi="Arial" w:cs="Arial"/>
          <w:i/>
        </w:rPr>
      </w:pPr>
      <w:r w:rsidRPr="000B6335">
        <w:rPr>
          <w:rFonts w:ascii="Arial" w:hAnsi="Arial" w:cs="Arial"/>
          <w:i/>
        </w:rPr>
        <w:t>Sur les frais de procédure</w:t>
      </w:r>
    </w:p>
    <w:p w14:paraId="609454F1" w14:textId="77777777" w:rsidR="00EB6705" w:rsidRPr="000B6335" w:rsidRDefault="00EB6705" w:rsidP="008524EE">
      <w:pPr>
        <w:rPr>
          <w:rFonts w:ascii="Arial" w:hAnsi="Arial" w:cs="Arial"/>
        </w:rPr>
      </w:pPr>
    </w:p>
    <w:p w14:paraId="257175C2" w14:textId="237BD482" w:rsidR="00EB6705" w:rsidRPr="000D767F" w:rsidRDefault="00EB6705" w:rsidP="008524EE">
      <w:pPr>
        <w:rPr>
          <w:rFonts w:ascii="Arial" w:hAnsi="Arial" w:cs="Arial"/>
          <w:i/>
          <w:iCs/>
        </w:rPr>
      </w:pPr>
      <w:r w:rsidRPr="000D767F">
        <w:rPr>
          <w:rFonts w:ascii="Arial" w:hAnsi="Arial" w:cs="Arial"/>
          <w:i/>
          <w:iCs/>
        </w:rPr>
        <w:t>À l’unanimité</w:t>
      </w:r>
    </w:p>
    <w:p w14:paraId="021A3043" w14:textId="77777777" w:rsidR="00A223D5" w:rsidRPr="000B6335" w:rsidRDefault="00A223D5" w:rsidP="008524EE">
      <w:pPr>
        <w:rPr>
          <w:rFonts w:ascii="Arial" w:eastAsia="Times New Roman" w:hAnsi="Arial" w:cs="Arial"/>
          <w:i/>
          <w:iCs/>
          <w:lang w:eastAsia="en-GB"/>
        </w:rPr>
      </w:pPr>
    </w:p>
    <w:p w14:paraId="70A5ABB8" w14:textId="78D3D7A6" w:rsidR="00996BF3" w:rsidRPr="000B6335" w:rsidRDefault="00996BF3" w:rsidP="008524EE">
      <w:pPr>
        <w:rPr>
          <w:rFonts w:ascii="Arial" w:eastAsia="Calibri" w:hAnsi="Arial" w:cs="Arial"/>
        </w:rPr>
      </w:pPr>
      <w:r w:rsidRPr="000B6335">
        <w:rPr>
          <w:rFonts w:ascii="Arial" w:hAnsi="Arial" w:cs="Arial"/>
          <w:i/>
          <w:iCs/>
        </w:rPr>
        <w:lastRenderedPageBreak/>
        <w:t>Ordonne</w:t>
      </w:r>
      <w:r w:rsidRPr="000B6335">
        <w:rPr>
          <w:rFonts w:ascii="Arial" w:hAnsi="Arial" w:cs="Arial"/>
        </w:rPr>
        <w:t xml:space="preserve"> que chaque Partie supporte ses frais de procédure.</w:t>
      </w:r>
    </w:p>
    <w:p w14:paraId="25938AF0" w14:textId="6B5F46F7" w:rsidR="00996BF3" w:rsidRPr="000B6335" w:rsidRDefault="00996BF3" w:rsidP="008524EE">
      <w:pPr>
        <w:rPr>
          <w:rFonts w:ascii="Arial" w:hAnsi="Arial" w:cs="Arial"/>
          <w:b/>
        </w:rPr>
      </w:pPr>
      <w:r w:rsidRPr="000B6335">
        <w:rPr>
          <w:rFonts w:ascii="Arial" w:hAnsi="Arial" w:cs="Arial"/>
          <w:b/>
        </w:rPr>
        <w:t>Ont signé :</w:t>
      </w:r>
    </w:p>
    <w:p w14:paraId="2845DF3F" w14:textId="77777777" w:rsidR="00996BF3" w:rsidRPr="000B6335" w:rsidRDefault="00996BF3" w:rsidP="008524EE">
      <w:pPr>
        <w:rPr>
          <w:rFonts w:ascii="Arial" w:hAnsi="Arial" w:cs="Arial"/>
          <w:iCs/>
        </w:rPr>
      </w:pPr>
    </w:p>
    <w:p w14:paraId="1B92475C" w14:textId="77777777" w:rsidR="00996BF3" w:rsidRPr="000B6335" w:rsidRDefault="00996BF3" w:rsidP="008524EE">
      <w:pPr>
        <w:rPr>
          <w:rFonts w:ascii="Arial" w:hAnsi="Arial" w:cs="Arial"/>
        </w:rPr>
      </w:pPr>
      <w:r w:rsidRPr="000B6335">
        <w:rPr>
          <w:rFonts w:ascii="Arial" w:hAnsi="Arial" w:cs="Arial"/>
        </w:rPr>
        <w:t xml:space="preserve">Blaise TCHIKAYA, Vice-président ; </w:t>
      </w:r>
    </w:p>
    <w:p w14:paraId="55C8553C" w14:textId="77777777" w:rsidR="00996BF3" w:rsidRPr="000B6335" w:rsidRDefault="00996BF3" w:rsidP="008524EE">
      <w:pPr>
        <w:rPr>
          <w:rFonts w:ascii="Arial" w:hAnsi="Arial" w:cs="Arial"/>
        </w:rPr>
      </w:pPr>
    </w:p>
    <w:p w14:paraId="017ABD36" w14:textId="77777777" w:rsidR="00996BF3" w:rsidRPr="000B6335" w:rsidRDefault="00996BF3" w:rsidP="008524EE">
      <w:pPr>
        <w:rPr>
          <w:rFonts w:ascii="Arial" w:hAnsi="Arial" w:cs="Arial"/>
          <w:lang w:val="nl-BE"/>
        </w:rPr>
      </w:pPr>
      <w:r w:rsidRPr="000B6335">
        <w:rPr>
          <w:rFonts w:ascii="Arial" w:hAnsi="Arial" w:cs="Arial"/>
          <w:lang w:val="nl-BE"/>
        </w:rPr>
        <w:t>Ben KIOKO, Juge ;</w:t>
      </w:r>
    </w:p>
    <w:p w14:paraId="5CB96EFF" w14:textId="77777777" w:rsidR="00996BF3" w:rsidRPr="000B6335" w:rsidRDefault="00996BF3" w:rsidP="008524EE">
      <w:pPr>
        <w:rPr>
          <w:rFonts w:ascii="Arial" w:hAnsi="Arial" w:cs="Arial"/>
          <w:lang w:val="nl-BE"/>
        </w:rPr>
      </w:pPr>
    </w:p>
    <w:p w14:paraId="50E4172F" w14:textId="6EAD05E6" w:rsidR="00996BF3" w:rsidRPr="000B6335" w:rsidRDefault="00996BF3" w:rsidP="008524EE">
      <w:pPr>
        <w:rPr>
          <w:rFonts w:ascii="Arial" w:hAnsi="Arial" w:cs="Arial"/>
          <w:lang w:val="nl-BE"/>
        </w:rPr>
      </w:pPr>
      <w:r w:rsidRPr="000B6335">
        <w:rPr>
          <w:rFonts w:ascii="Arial" w:hAnsi="Arial" w:cs="Arial"/>
          <w:lang w:val="nl-BE"/>
        </w:rPr>
        <w:t>Rafaâ BEN ACHOUR, Juge ;</w:t>
      </w:r>
    </w:p>
    <w:p w14:paraId="7EC82F0E" w14:textId="77777777" w:rsidR="006C5A2E" w:rsidRPr="000B6335" w:rsidRDefault="006C5A2E" w:rsidP="008524EE">
      <w:pPr>
        <w:rPr>
          <w:rFonts w:ascii="Arial" w:hAnsi="Arial" w:cs="Arial"/>
          <w:lang w:val="nl-BE"/>
        </w:rPr>
      </w:pPr>
    </w:p>
    <w:p w14:paraId="79B9BE7E" w14:textId="77777777" w:rsidR="00996BF3" w:rsidRPr="000B6335" w:rsidRDefault="00996BF3" w:rsidP="008524EE">
      <w:pPr>
        <w:rPr>
          <w:rFonts w:ascii="Arial" w:hAnsi="Arial" w:cs="Arial"/>
        </w:rPr>
      </w:pPr>
      <w:r w:rsidRPr="000B6335">
        <w:rPr>
          <w:rFonts w:ascii="Arial" w:hAnsi="Arial" w:cs="Arial"/>
        </w:rPr>
        <w:t>Suzanne MENGUE, Juge ;</w:t>
      </w:r>
    </w:p>
    <w:p w14:paraId="1D588B8C" w14:textId="77777777" w:rsidR="00996BF3" w:rsidRPr="000B6335" w:rsidRDefault="00996BF3" w:rsidP="008524EE">
      <w:pPr>
        <w:rPr>
          <w:rFonts w:ascii="Arial" w:hAnsi="Arial" w:cs="Arial"/>
        </w:rPr>
      </w:pPr>
    </w:p>
    <w:p w14:paraId="68EE2949" w14:textId="77777777" w:rsidR="00996BF3" w:rsidRPr="000B6335" w:rsidRDefault="00996BF3" w:rsidP="008524EE">
      <w:pPr>
        <w:rPr>
          <w:rFonts w:ascii="Arial" w:hAnsi="Arial" w:cs="Arial"/>
        </w:rPr>
      </w:pPr>
      <w:r w:rsidRPr="000B6335">
        <w:rPr>
          <w:rFonts w:ascii="Arial" w:hAnsi="Arial" w:cs="Arial"/>
        </w:rPr>
        <w:t xml:space="preserve">Tujilane R. CHIZUMILA, Juge ; </w:t>
      </w:r>
    </w:p>
    <w:p w14:paraId="13B2D4E7" w14:textId="77777777" w:rsidR="00996BF3" w:rsidRPr="000B6335" w:rsidRDefault="00996BF3" w:rsidP="008524EE">
      <w:pPr>
        <w:rPr>
          <w:rFonts w:ascii="Arial" w:hAnsi="Arial" w:cs="Arial"/>
        </w:rPr>
      </w:pPr>
    </w:p>
    <w:p w14:paraId="4E9E4D4D" w14:textId="77777777" w:rsidR="00996BF3" w:rsidRPr="000B6335" w:rsidRDefault="00996BF3" w:rsidP="008524EE">
      <w:pPr>
        <w:rPr>
          <w:rFonts w:ascii="Arial" w:hAnsi="Arial" w:cs="Arial"/>
        </w:rPr>
      </w:pPr>
      <w:r w:rsidRPr="000B6335">
        <w:rPr>
          <w:rFonts w:ascii="Arial" w:hAnsi="Arial" w:cs="Arial"/>
        </w:rPr>
        <w:t xml:space="preserve">Chafika BENSAOULA, Juge ; </w:t>
      </w:r>
    </w:p>
    <w:p w14:paraId="2A086355" w14:textId="77777777" w:rsidR="00996BF3" w:rsidRPr="000B6335" w:rsidRDefault="00996BF3" w:rsidP="008524EE">
      <w:pPr>
        <w:rPr>
          <w:rFonts w:ascii="Arial" w:hAnsi="Arial" w:cs="Arial"/>
        </w:rPr>
      </w:pPr>
    </w:p>
    <w:p w14:paraId="1ED77DFC" w14:textId="77777777" w:rsidR="00996BF3" w:rsidRPr="000B6335" w:rsidRDefault="00996BF3" w:rsidP="008524EE">
      <w:pPr>
        <w:rPr>
          <w:rFonts w:ascii="Arial" w:hAnsi="Arial" w:cs="Arial"/>
        </w:rPr>
      </w:pPr>
      <w:r w:rsidRPr="000B6335">
        <w:rPr>
          <w:rFonts w:ascii="Arial" w:hAnsi="Arial" w:cs="Arial"/>
        </w:rPr>
        <w:t xml:space="preserve">Stella I. ANUKAM, Juge ; </w:t>
      </w:r>
    </w:p>
    <w:p w14:paraId="4C08F8AC" w14:textId="77777777" w:rsidR="00996BF3" w:rsidRPr="000B6335" w:rsidRDefault="00996BF3" w:rsidP="008524EE">
      <w:pPr>
        <w:rPr>
          <w:rFonts w:ascii="Arial" w:hAnsi="Arial" w:cs="Arial"/>
        </w:rPr>
      </w:pPr>
    </w:p>
    <w:p w14:paraId="0F38CD4E" w14:textId="29A2FF0C" w:rsidR="00996BF3" w:rsidRPr="000B6335" w:rsidRDefault="00996BF3" w:rsidP="008524EE">
      <w:pPr>
        <w:rPr>
          <w:rFonts w:ascii="Arial" w:hAnsi="Arial" w:cs="Arial"/>
        </w:rPr>
      </w:pPr>
      <w:r w:rsidRPr="000B6335">
        <w:rPr>
          <w:rFonts w:ascii="Arial" w:hAnsi="Arial" w:cs="Arial"/>
        </w:rPr>
        <w:t>Dumisa B. NTSEBEZA, Juge ;</w:t>
      </w:r>
    </w:p>
    <w:p w14:paraId="1128F59E" w14:textId="77777777" w:rsidR="00996BF3" w:rsidRPr="000B6335" w:rsidRDefault="00996BF3" w:rsidP="008524EE">
      <w:pPr>
        <w:rPr>
          <w:rFonts w:ascii="Arial" w:hAnsi="Arial" w:cs="Arial"/>
        </w:rPr>
      </w:pPr>
    </w:p>
    <w:p w14:paraId="253D5047" w14:textId="1CE7093F" w:rsidR="00B06BE9" w:rsidRPr="000B6335" w:rsidRDefault="00996BF3" w:rsidP="008524EE">
      <w:pPr>
        <w:rPr>
          <w:rFonts w:ascii="Arial" w:hAnsi="Arial" w:cs="Arial"/>
        </w:rPr>
      </w:pPr>
      <w:r w:rsidRPr="000B6335">
        <w:rPr>
          <w:rFonts w:ascii="Arial" w:hAnsi="Arial" w:cs="Arial"/>
        </w:rPr>
        <w:t xml:space="preserve">Modibo SACKO, Juge ; </w:t>
      </w:r>
    </w:p>
    <w:p w14:paraId="662D7E50" w14:textId="7A53A78A" w:rsidR="00DB3FE2" w:rsidRPr="000B6335" w:rsidRDefault="00DB3FE2" w:rsidP="008524EE">
      <w:pPr>
        <w:rPr>
          <w:rFonts w:ascii="Arial" w:hAnsi="Arial" w:cs="Arial"/>
        </w:rPr>
      </w:pPr>
    </w:p>
    <w:p w14:paraId="764F4939" w14:textId="32618572" w:rsidR="00DB3FE2" w:rsidRPr="000B6335" w:rsidRDefault="00DB3FE2" w:rsidP="008524EE">
      <w:pPr>
        <w:rPr>
          <w:rFonts w:ascii="Arial" w:hAnsi="Arial" w:cs="Arial"/>
        </w:rPr>
      </w:pPr>
      <w:r w:rsidRPr="000B6335">
        <w:rPr>
          <w:rFonts w:ascii="Arial" w:hAnsi="Arial" w:cs="Arial"/>
        </w:rPr>
        <w:t>Dennis D. ADJEI, Juge ;</w:t>
      </w:r>
    </w:p>
    <w:p w14:paraId="4767C9EA" w14:textId="77777777" w:rsidR="00E64F18" w:rsidRPr="000B6335" w:rsidRDefault="00E64F18" w:rsidP="008524EE">
      <w:pPr>
        <w:rPr>
          <w:rFonts w:ascii="Arial" w:hAnsi="Arial" w:cs="Arial"/>
        </w:rPr>
      </w:pPr>
    </w:p>
    <w:p w14:paraId="5E2A65FF" w14:textId="77777777" w:rsidR="00996BF3" w:rsidRPr="000B6335" w:rsidRDefault="00996BF3" w:rsidP="008524EE">
      <w:pPr>
        <w:rPr>
          <w:rFonts w:ascii="Arial" w:hAnsi="Arial" w:cs="Arial"/>
        </w:rPr>
      </w:pPr>
      <w:r w:rsidRPr="000B6335">
        <w:rPr>
          <w:rFonts w:ascii="Arial" w:hAnsi="Arial" w:cs="Arial"/>
        </w:rPr>
        <w:t>et Robert ENO, Greffier.</w:t>
      </w:r>
    </w:p>
    <w:p w14:paraId="1B97BEC8" w14:textId="0B759347" w:rsidR="00996BF3" w:rsidRDefault="00996BF3" w:rsidP="008524EE">
      <w:pPr>
        <w:rPr>
          <w:rFonts w:ascii="Arial" w:hAnsi="Arial" w:cs="Arial"/>
        </w:rPr>
      </w:pPr>
    </w:p>
    <w:p w14:paraId="186FFE9C" w14:textId="77777777" w:rsidR="00D43B9D" w:rsidRPr="000B6335" w:rsidRDefault="00D43B9D" w:rsidP="008524EE">
      <w:pPr>
        <w:rPr>
          <w:rFonts w:ascii="Arial" w:hAnsi="Arial" w:cs="Arial"/>
        </w:rPr>
      </w:pPr>
    </w:p>
    <w:p w14:paraId="5DAB222D" w14:textId="7081B6D5" w:rsidR="00706997" w:rsidRPr="000B6335" w:rsidRDefault="00706997" w:rsidP="008524EE">
      <w:pPr>
        <w:rPr>
          <w:rFonts w:ascii="Arial" w:hAnsi="Arial" w:cs="Arial"/>
          <w:bCs/>
        </w:rPr>
      </w:pPr>
      <w:r w:rsidRPr="000B6335">
        <w:rPr>
          <w:rFonts w:ascii="Arial" w:hAnsi="Arial" w:cs="Arial"/>
          <w:bCs/>
        </w:rPr>
        <w:t>Conformément à l’article 28(7) du Protocole et à la règle 70</w:t>
      </w:r>
      <w:r w:rsidR="0000381E" w:rsidRPr="000B6335">
        <w:rPr>
          <w:rFonts w:ascii="Arial" w:hAnsi="Arial" w:cs="Arial"/>
          <w:bCs/>
        </w:rPr>
        <w:t>(1)</w:t>
      </w:r>
      <w:r w:rsidRPr="000B6335">
        <w:rPr>
          <w:rFonts w:ascii="Arial" w:hAnsi="Arial" w:cs="Arial"/>
          <w:bCs/>
        </w:rPr>
        <w:t xml:space="preserve"> du Règlement, l’Opinion dissidente conjointe des Juges Blaise TCHIKAYA et Rafaâ BEN ACHOUR </w:t>
      </w:r>
      <w:r w:rsidR="00CA65D8" w:rsidRPr="000B6335">
        <w:rPr>
          <w:rFonts w:ascii="Arial" w:hAnsi="Arial" w:cs="Arial"/>
          <w:bCs/>
        </w:rPr>
        <w:t xml:space="preserve">et l’Opinion individuelle de la Juge Chafika BENSAOULA sont </w:t>
      </w:r>
      <w:r w:rsidRPr="000B6335">
        <w:rPr>
          <w:rFonts w:ascii="Arial" w:hAnsi="Arial" w:cs="Arial"/>
          <w:bCs/>
        </w:rPr>
        <w:t>jointe</w:t>
      </w:r>
      <w:r w:rsidR="00CA65D8" w:rsidRPr="000B6335">
        <w:rPr>
          <w:rFonts w:ascii="Arial" w:hAnsi="Arial" w:cs="Arial"/>
          <w:bCs/>
        </w:rPr>
        <w:t>s</w:t>
      </w:r>
      <w:r w:rsidRPr="000B6335">
        <w:rPr>
          <w:rFonts w:ascii="Arial" w:hAnsi="Arial" w:cs="Arial"/>
          <w:bCs/>
        </w:rPr>
        <w:t xml:space="preserve"> au présent Arrêt.</w:t>
      </w:r>
      <w:r w:rsidR="00DD474C" w:rsidRPr="000B6335">
        <w:rPr>
          <w:rFonts w:ascii="Arial" w:hAnsi="Arial" w:cs="Arial"/>
          <w:bCs/>
        </w:rPr>
        <w:t xml:space="preserve"> </w:t>
      </w:r>
    </w:p>
    <w:p w14:paraId="1F9EA9AD" w14:textId="02537A89" w:rsidR="00B70A23" w:rsidRPr="000B6335" w:rsidRDefault="00B70A23" w:rsidP="008524EE">
      <w:pPr>
        <w:rPr>
          <w:rFonts w:ascii="Arial" w:hAnsi="Arial" w:cs="Arial"/>
        </w:rPr>
      </w:pPr>
    </w:p>
    <w:p w14:paraId="32275712" w14:textId="0C7D9DC4" w:rsidR="00706997" w:rsidRPr="000B6335" w:rsidRDefault="00DD474C" w:rsidP="008524EE">
      <w:pPr>
        <w:rPr>
          <w:rFonts w:ascii="Arial" w:hAnsi="Arial" w:cs="Arial"/>
        </w:rPr>
      </w:pPr>
      <w:r w:rsidRPr="000B6335">
        <w:rPr>
          <w:rFonts w:ascii="Arial" w:hAnsi="Arial" w:cs="Arial"/>
        </w:rPr>
        <w:t xml:space="preserve"> </w:t>
      </w:r>
    </w:p>
    <w:p w14:paraId="4DBFEFCE" w14:textId="296AA488" w:rsidR="00996BF3" w:rsidRPr="00B929B7" w:rsidRDefault="00996BF3" w:rsidP="008524EE">
      <w:pPr>
        <w:rPr>
          <w:rFonts w:ascii="Arial" w:hAnsi="Arial" w:cs="Arial"/>
        </w:rPr>
      </w:pPr>
      <w:r w:rsidRPr="000B6335">
        <w:rPr>
          <w:rFonts w:ascii="Arial" w:hAnsi="Arial" w:cs="Arial"/>
        </w:rPr>
        <w:t>Fait à Arusha, ce premier jour du mois de décembre de l’année deux-mille vingt-deux, en anglais et en français, le texte anglais faisant foi.</w:t>
      </w:r>
    </w:p>
    <w:sectPr w:rsidR="00996BF3" w:rsidRPr="00B929B7" w:rsidSect="00642A7B">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5930B" w14:textId="77777777" w:rsidR="00136210" w:rsidRDefault="00136210" w:rsidP="00996BF3">
      <w:r>
        <w:separator/>
      </w:r>
    </w:p>
  </w:endnote>
  <w:endnote w:type="continuationSeparator" w:id="0">
    <w:p w14:paraId="07A395AF" w14:textId="77777777" w:rsidR="00136210" w:rsidRDefault="00136210" w:rsidP="0099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35902583"/>
      <w:docPartObj>
        <w:docPartGallery w:val="Page Numbers (Bottom of Page)"/>
        <w:docPartUnique/>
      </w:docPartObj>
    </w:sdtPr>
    <w:sdtEndPr>
      <w:rPr>
        <w:noProof/>
      </w:rPr>
    </w:sdtEndPr>
    <w:sdtContent>
      <w:p w14:paraId="685A873E" w14:textId="6B65B122" w:rsidR="0089601E" w:rsidRPr="000F47AA" w:rsidRDefault="0089601E">
        <w:pPr>
          <w:pStyle w:val="Footer"/>
          <w:jc w:val="center"/>
          <w:rPr>
            <w:rFonts w:ascii="Arial" w:hAnsi="Arial" w:cs="Arial"/>
          </w:rPr>
        </w:pPr>
        <w:r w:rsidRPr="000F47AA">
          <w:rPr>
            <w:rFonts w:ascii="Arial" w:hAnsi="Arial" w:cs="Arial"/>
          </w:rPr>
          <w:fldChar w:fldCharType="begin"/>
        </w:r>
        <w:r w:rsidRPr="000F47AA">
          <w:rPr>
            <w:rFonts w:ascii="Arial" w:hAnsi="Arial" w:cs="Arial"/>
          </w:rPr>
          <w:instrText xml:space="preserve"> PAGE   \* MERGEFORMAT </w:instrText>
        </w:r>
        <w:r w:rsidRPr="000F47AA">
          <w:rPr>
            <w:rFonts w:ascii="Arial" w:hAnsi="Arial" w:cs="Arial"/>
          </w:rPr>
          <w:fldChar w:fldCharType="separate"/>
        </w:r>
        <w:r w:rsidR="001F2DC7">
          <w:rPr>
            <w:rFonts w:ascii="Arial" w:hAnsi="Arial" w:cs="Arial"/>
            <w:noProof/>
          </w:rPr>
          <w:t>i</w:t>
        </w:r>
        <w:r w:rsidRPr="000F47AA">
          <w:rPr>
            <w:rFonts w:ascii="Arial" w:hAnsi="Arial" w:cs="Arial"/>
          </w:rPr>
          <w:fldChar w:fldCharType="end"/>
        </w:r>
      </w:p>
    </w:sdtContent>
  </w:sdt>
  <w:p w14:paraId="0F5CF8C9" w14:textId="77777777" w:rsidR="0089601E" w:rsidRPr="000F47AA" w:rsidRDefault="0089601E">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71BC" w14:textId="5E03F9A2" w:rsidR="00642A7B" w:rsidRPr="00642A7B" w:rsidRDefault="00642A7B">
    <w:pPr>
      <w:pStyle w:val="Footer"/>
      <w:jc w:val="center"/>
      <w:rPr>
        <w:rFonts w:ascii="Arial" w:hAnsi="Arial" w:cs="Arial"/>
      </w:rPr>
    </w:pPr>
  </w:p>
  <w:p w14:paraId="37D88A43" w14:textId="77777777" w:rsidR="0089601E" w:rsidRDefault="00896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E8F2" w14:textId="77777777" w:rsidR="00136210" w:rsidRDefault="00136210" w:rsidP="00996BF3">
      <w:r>
        <w:separator/>
      </w:r>
    </w:p>
  </w:footnote>
  <w:footnote w:type="continuationSeparator" w:id="0">
    <w:p w14:paraId="497AF8AC" w14:textId="77777777" w:rsidR="00136210" w:rsidRDefault="00136210" w:rsidP="00996BF3">
      <w:r>
        <w:continuationSeparator/>
      </w:r>
    </w:p>
  </w:footnote>
  <w:footnote w:id="1">
    <w:p w14:paraId="574FAD79" w14:textId="484F9282" w:rsidR="0089601E" w:rsidRPr="00AE0BE9" w:rsidRDefault="0089601E" w:rsidP="007C121D">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w:t>
      </w:r>
      <w:r w:rsidRPr="00AE0BE9">
        <w:rPr>
          <w:rFonts w:ascii="Arial" w:hAnsi="Arial" w:cs="Arial"/>
          <w:i/>
        </w:rPr>
        <w:t>Andrew Ambrose Cheusi c. République-Unie de Tanzanie</w:t>
      </w:r>
      <w:r w:rsidRPr="00AE0BE9">
        <w:rPr>
          <w:rFonts w:ascii="Arial" w:hAnsi="Arial" w:cs="Arial"/>
        </w:rPr>
        <w:t>, CAfDHP, Requête N° 004/2015, Arrêt du 26 juin 2020 (fond et réparations), §§ 37 à 39.</w:t>
      </w:r>
    </w:p>
  </w:footnote>
  <w:footnote w:id="2">
    <w:p w14:paraId="0A489474" w14:textId="77777777" w:rsidR="0089601E" w:rsidRPr="00AE0BE9" w:rsidRDefault="0089601E" w:rsidP="00531CE9">
      <w:pPr>
        <w:autoSpaceDE w:val="0"/>
        <w:autoSpaceDN w:val="0"/>
        <w:adjustRightInd w:val="0"/>
        <w:jc w:val="both"/>
        <w:rPr>
          <w:rFonts w:ascii="Arial" w:hAnsi="Arial" w:cs="Arial"/>
          <w:sz w:val="20"/>
          <w:szCs w:val="20"/>
        </w:rPr>
      </w:pPr>
      <w:r w:rsidRPr="00AE0BE9">
        <w:rPr>
          <w:rStyle w:val="FootnoteReference"/>
          <w:rFonts w:ascii="Arial" w:hAnsi="Arial" w:cs="Arial"/>
          <w:sz w:val="20"/>
          <w:szCs w:val="20"/>
        </w:rPr>
        <w:footnoteRef/>
      </w:r>
      <w:r w:rsidRPr="00AE0BE9">
        <w:rPr>
          <w:rFonts w:ascii="Arial" w:hAnsi="Arial" w:cs="Arial"/>
          <w:sz w:val="20"/>
          <w:szCs w:val="20"/>
        </w:rPr>
        <w:t xml:space="preserve"> Voir </w:t>
      </w:r>
      <w:r w:rsidRPr="00AE0BE9">
        <w:rPr>
          <w:rFonts w:ascii="Arial" w:hAnsi="Arial" w:cs="Arial"/>
          <w:i/>
          <w:sz w:val="20"/>
          <w:szCs w:val="20"/>
        </w:rPr>
        <w:t>Nguza Viking (Babu Seya) et Johnson Nguza (Papi Kocha) c. République-Unie de Tanzanie</w:t>
      </w:r>
      <w:r w:rsidRPr="00AE0BE9">
        <w:rPr>
          <w:rFonts w:ascii="Arial" w:hAnsi="Arial" w:cs="Arial"/>
          <w:sz w:val="20"/>
          <w:szCs w:val="20"/>
        </w:rPr>
        <w:t xml:space="preserve"> (fond) (23 mars 2018), 2 RJCA 297, § 36.</w:t>
      </w:r>
    </w:p>
  </w:footnote>
  <w:footnote w:id="3">
    <w:p w14:paraId="7F7802C0" w14:textId="12C16798" w:rsidR="001A703A" w:rsidRPr="00AE0BE9" w:rsidRDefault="001A703A" w:rsidP="008221E9">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w:t>
      </w:r>
      <w:r w:rsidR="008221E9" w:rsidRPr="00AE0BE9">
        <w:rPr>
          <w:rFonts w:ascii="Arial" w:hAnsi="Arial" w:cs="Arial"/>
        </w:rPr>
        <w:t>L’État défendeur est devenu un État partie à la Charte le 21 octobre 1986, à la Charte africaine des enfants le 9 mai 2003, au Protocole de Maputo le 7 mai 2007, à la Charte africaine de la jeunesse le 21 mars 2013, à la CEDAW le 19 septembre 1985, à la CRC le 10 juillet 1991, au PIDESC le 11 septembre 1976, au PIDCP le 11 septembre 1976 et à la Convention contre la discrimination dans l’enseignement le 3 avril 1979.</w:t>
      </w:r>
    </w:p>
  </w:footnote>
  <w:footnote w:id="4">
    <w:p w14:paraId="1A19BACB" w14:textId="1E154427" w:rsidR="0089601E" w:rsidRPr="00AE0BE9" w:rsidRDefault="0089601E" w:rsidP="007C121D">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w:t>
      </w:r>
      <w:r w:rsidRPr="00AE0BE9">
        <w:rPr>
          <w:rFonts w:ascii="Arial" w:hAnsi="Arial" w:cs="Arial"/>
          <w:i/>
        </w:rPr>
        <w:t>Andrew Ambrose Cheusi c. République-Unie de Tanzanie</w:t>
      </w:r>
      <w:r w:rsidRPr="00AE0BE9">
        <w:rPr>
          <w:rFonts w:ascii="Arial" w:hAnsi="Arial" w:cs="Arial"/>
        </w:rPr>
        <w:t>, §§ 35 à 39.</w:t>
      </w:r>
    </w:p>
  </w:footnote>
  <w:footnote w:id="5">
    <w:p w14:paraId="61646B3B" w14:textId="77777777" w:rsidR="0089601E" w:rsidRPr="00AE0BE9" w:rsidRDefault="0089601E" w:rsidP="005D5B88">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w:t>
      </w:r>
      <w:bookmarkStart w:id="17" w:name="_Hlk117863919"/>
      <w:r w:rsidRPr="00AE0BE9">
        <w:rPr>
          <w:rFonts w:ascii="Arial" w:hAnsi="Arial" w:cs="Arial"/>
          <w:i/>
        </w:rPr>
        <w:t>Dexter Eddie Johnson c. République du Ghana</w:t>
      </w:r>
      <w:r w:rsidRPr="00AE0BE9">
        <w:rPr>
          <w:rFonts w:ascii="Arial" w:hAnsi="Arial" w:cs="Arial"/>
        </w:rPr>
        <w:t xml:space="preserve"> (compétence et recevabilité) (28 mars 2019), 3 RJCA 104, § 55.</w:t>
      </w:r>
      <w:bookmarkEnd w:id="17"/>
    </w:p>
  </w:footnote>
  <w:footnote w:id="6">
    <w:p w14:paraId="199F5865" w14:textId="65F4C3C8" w:rsidR="001A703A" w:rsidRPr="00AE0BE9" w:rsidRDefault="001A703A">
      <w:pPr>
        <w:pStyle w:val="FootnoteText"/>
        <w:rPr>
          <w:rFonts w:ascii="Arial" w:hAnsi="Arial" w:cs="Arial"/>
        </w:rPr>
      </w:pPr>
      <w:r w:rsidRPr="00AE0BE9">
        <w:rPr>
          <w:rStyle w:val="FootnoteReference"/>
          <w:rFonts w:ascii="Arial" w:hAnsi="Arial" w:cs="Arial"/>
        </w:rPr>
        <w:footnoteRef/>
      </w:r>
      <w:r w:rsidRPr="00AE0BE9">
        <w:rPr>
          <w:rFonts w:ascii="Arial" w:hAnsi="Arial" w:cs="Arial"/>
        </w:rPr>
        <w:t xml:space="preserve"> </w:t>
      </w:r>
      <w:r w:rsidR="00E0515F" w:rsidRPr="00AE0BE9">
        <w:rPr>
          <w:rFonts w:ascii="Arial" w:hAnsi="Arial" w:cs="Arial"/>
          <w:i/>
          <w:iCs/>
        </w:rPr>
        <w:t>Gombert c. Côte d’Ivoire</w:t>
      </w:r>
      <w:r w:rsidR="00E0515F" w:rsidRPr="00AE0BE9">
        <w:rPr>
          <w:rFonts w:ascii="Arial" w:hAnsi="Arial" w:cs="Arial"/>
        </w:rPr>
        <w:t xml:space="preserve"> (compétence et recevabilité) (2018), 2 RJCA 280, § 45.</w:t>
      </w:r>
    </w:p>
  </w:footnote>
  <w:footnote w:id="7">
    <w:p w14:paraId="1F08CC0F" w14:textId="3BBD4781" w:rsidR="001A703A" w:rsidRPr="00AE0BE9" w:rsidRDefault="001A703A">
      <w:pPr>
        <w:pStyle w:val="FootnoteText"/>
        <w:rPr>
          <w:rFonts w:ascii="Arial" w:hAnsi="Arial" w:cs="Arial"/>
        </w:rPr>
      </w:pPr>
      <w:r w:rsidRPr="00AE0BE9">
        <w:rPr>
          <w:rStyle w:val="FootnoteReference"/>
          <w:rFonts w:ascii="Arial" w:hAnsi="Arial" w:cs="Arial"/>
        </w:rPr>
        <w:footnoteRef/>
      </w:r>
      <w:r w:rsidRPr="00AE0BE9">
        <w:rPr>
          <w:rFonts w:ascii="Arial" w:hAnsi="Arial" w:cs="Arial"/>
        </w:rPr>
        <w:t xml:space="preserve"> </w:t>
      </w:r>
      <w:r w:rsidR="00E0515F" w:rsidRPr="00AE0BE9">
        <w:rPr>
          <w:rFonts w:ascii="Arial" w:hAnsi="Arial" w:cs="Arial"/>
          <w:i/>
          <w:iCs/>
        </w:rPr>
        <w:t xml:space="preserve">Dexter Eddie Johnson c. République du Ghana </w:t>
      </w:r>
      <w:r w:rsidR="00E0515F" w:rsidRPr="00AE0BE9">
        <w:rPr>
          <w:rFonts w:ascii="Arial" w:hAnsi="Arial" w:cs="Arial"/>
        </w:rPr>
        <w:t>(compétence et recevabilité) (28 mars 2019), 3 RJCA 104, § 48.</w:t>
      </w:r>
    </w:p>
  </w:footnote>
  <w:footnote w:id="8">
    <w:p w14:paraId="1F7578A3" w14:textId="77777777" w:rsidR="0089601E" w:rsidRPr="00AE0BE9" w:rsidRDefault="0089601E" w:rsidP="005D5B88">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w:t>
      </w:r>
      <w:r w:rsidRPr="00AE0BE9">
        <w:rPr>
          <w:rFonts w:ascii="Arial" w:hAnsi="Arial" w:cs="Arial"/>
          <w:i/>
        </w:rPr>
        <w:t>Dexter Eddie Johnson c. République du Ghana</w:t>
      </w:r>
      <w:r w:rsidRPr="00AE0BE9">
        <w:rPr>
          <w:rFonts w:ascii="Arial" w:hAnsi="Arial" w:cs="Arial"/>
        </w:rPr>
        <w:t xml:space="preserve"> (compétence et recevabilité) (28 mars 2019), 3 RJCA 104, § 48.</w:t>
      </w:r>
    </w:p>
  </w:footnote>
  <w:footnote w:id="9">
    <w:p w14:paraId="78A1C487" w14:textId="50291857" w:rsidR="0089601E" w:rsidRPr="00AE0BE9" w:rsidRDefault="0089601E" w:rsidP="005D5B88">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Devant le CAEDBE, la requête a été introduite le 17 juin 2019 par deux ONG, à savoir </w:t>
      </w:r>
      <w:r w:rsidRPr="00AE0BE9">
        <w:rPr>
          <w:rFonts w:ascii="Arial" w:hAnsi="Arial" w:cs="Arial"/>
          <w:i/>
          <w:iCs/>
        </w:rPr>
        <w:t>Legal and Human Rights Center</w:t>
      </w:r>
      <w:r w:rsidRPr="00AE0BE9">
        <w:rPr>
          <w:rFonts w:ascii="Arial" w:hAnsi="Arial" w:cs="Arial"/>
        </w:rPr>
        <w:t xml:space="preserve"> et </w:t>
      </w:r>
      <w:r w:rsidRPr="00AE0BE9">
        <w:rPr>
          <w:rFonts w:ascii="Arial" w:hAnsi="Arial" w:cs="Arial"/>
          <w:i/>
          <w:iCs/>
        </w:rPr>
        <w:t>Center for Reproductive Rights</w:t>
      </w:r>
      <w:r w:rsidRPr="00AE0BE9">
        <w:rPr>
          <w:rFonts w:ascii="Arial" w:hAnsi="Arial" w:cs="Arial"/>
        </w:rPr>
        <w:t>.</w:t>
      </w:r>
      <w:r w:rsidRPr="00AE0BE9">
        <w:rPr>
          <w:rFonts w:ascii="Arial" w:hAnsi="Arial" w:cs="Arial"/>
          <w:i/>
        </w:rPr>
        <w:t xml:space="preserve"> </w:t>
      </w:r>
      <w:r w:rsidRPr="00AE0BE9">
        <w:rPr>
          <w:rFonts w:ascii="Arial" w:hAnsi="Arial" w:cs="Arial"/>
        </w:rPr>
        <w:t xml:space="preserve">Devant la Cour de justice de l’Afrique de l’Est, la requête a été introduite le 24 avril 2020 par deux ONG, </w:t>
      </w:r>
      <w:r w:rsidRPr="00AE0BE9">
        <w:rPr>
          <w:rFonts w:ascii="Arial" w:hAnsi="Arial" w:cs="Arial"/>
          <w:i/>
          <w:iCs/>
        </w:rPr>
        <w:t>Inclusive Development for Citizens</w:t>
      </w:r>
      <w:r w:rsidRPr="00AE0BE9">
        <w:rPr>
          <w:rFonts w:ascii="Arial" w:hAnsi="Arial" w:cs="Arial"/>
        </w:rPr>
        <w:t xml:space="preserve"> et </w:t>
      </w:r>
      <w:r w:rsidRPr="00AE0BE9">
        <w:rPr>
          <w:rFonts w:ascii="Arial" w:hAnsi="Arial" w:cs="Arial"/>
          <w:i/>
          <w:iCs/>
        </w:rPr>
        <w:t>Center for Strategic Litigation</w:t>
      </w:r>
      <w:r w:rsidRPr="00AE0BE9">
        <w:rPr>
          <w:rFonts w:ascii="Arial" w:hAnsi="Arial" w:cs="Arial"/>
        </w:rPr>
        <w:t xml:space="preserve">. Devant la Cour africaine des droits de l’homme et des peuples, la Requête a été introduite le 19 novembre 2020 par une ressortissante de l’État défendeur, </w:t>
      </w:r>
      <w:r w:rsidRPr="00AE0BE9">
        <w:rPr>
          <w:rFonts w:ascii="Arial" w:hAnsi="Arial" w:cs="Arial"/>
          <w:i/>
          <w:iCs/>
        </w:rPr>
        <w:t>Tike Mwabipile</w:t>
      </w:r>
      <w:r w:rsidRPr="00AE0BE9">
        <w:rPr>
          <w:rFonts w:ascii="Arial" w:hAnsi="Arial" w:cs="Arial"/>
        </w:rPr>
        <w:t xml:space="preserve">, et une </w:t>
      </w:r>
      <w:r w:rsidRPr="00AE0BE9">
        <w:rPr>
          <w:rFonts w:ascii="Arial" w:hAnsi="Arial" w:cs="Arial"/>
          <w:i/>
          <w:iCs/>
        </w:rPr>
        <w:t>ONG Equality Now</w:t>
      </w:r>
      <w:r w:rsidRPr="00AE0BE9">
        <w:rPr>
          <w:rFonts w:ascii="Arial" w:hAnsi="Arial" w:cs="Arial"/>
        </w:rPr>
        <w:t>.</w:t>
      </w:r>
    </w:p>
  </w:footnote>
  <w:footnote w:id="10">
    <w:p w14:paraId="70FD5B89" w14:textId="3D07098F" w:rsidR="0089601E" w:rsidRPr="00AE0BE9" w:rsidRDefault="0089601E" w:rsidP="005D5B88">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w:t>
      </w:r>
      <w:r w:rsidRPr="00AE0BE9">
        <w:rPr>
          <w:rFonts w:ascii="Arial" w:hAnsi="Arial" w:cs="Arial"/>
          <w:i/>
        </w:rPr>
        <w:t xml:space="preserve">Suy Bi Gohore Émile et 8 autres c. </w:t>
      </w:r>
      <w:r w:rsidR="00B929B7" w:rsidRPr="00AE0BE9">
        <w:rPr>
          <w:rFonts w:ascii="Arial" w:hAnsi="Arial" w:cs="Arial"/>
          <w:i/>
        </w:rPr>
        <w:t>République</w:t>
      </w:r>
      <w:r w:rsidRPr="00AE0BE9">
        <w:rPr>
          <w:rFonts w:ascii="Arial" w:hAnsi="Arial" w:cs="Arial"/>
          <w:i/>
        </w:rPr>
        <w:t xml:space="preserve"> de Côte d’Ivoire</w:t>
      </w:r>
      <w:r w:rsidRPr="00AE0BE9">
        <w:rPr>
          <w:rFonts w:ascii="Arial" w:hAnsi="Arial" w:cs="Arial"/>
        </w:rPr>
        <w:t xml:space="preserve">, CAfDHP, Requête N° 044/2019, Arrêt du 15 juillet 2020 (fond et réparations), § 105. </w:t>
      </w:r>
    </w:p>
  </w:footnote>
  <w:footnote w:id="11">
    <w:p w14:paraId="42AD9792" w14:textId="7082895A" w:rsidR="0089601E" w:rsidRPr="00AE0BE9" w:rsidRDefault="0089601E" w:rsidP="005D5B88">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À titre d’exemple, l’article 3 de la Charte africaine des enfants prévoit le droit à la non-discrimination, qui est également inscrit à l’article 2 de la Charte ; et l’article 11 de la Charte africaine des enfants prévoit le droit à l’éducation, qui est également inscrit dans l’article 17 de la Charte.</w:t>
      </w:r>
    </w:p>
  </w:footnote>
  <w:footnote w:id="12">
    <w:p w14:paraId="189C9F2C" w14:textId="77777777" w:rsidR="0089601E" w:rsidRPr="00AE0BE9" w:rsidRDefault="0089601E" w:rsidP="005D5B88">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w:t>
      </w:r>
      <w:r w:rsidRPr="00AE0BE9">
        <w:rPr>
          <w:rFonts w:ascii="Arial" w:hAnsi="Arial" w:cs="Arial"/>
          <w:i/>
        </w:rPr>
        <w:t>Dexter Eddie Johnson c. République du Ghana</w:t>
      </w:r>
      <w:r w:rsidRPr="00AE0BE9">
        <w:rPr>
          <w:rFonts w:ascii="Arial" w:hAnsi="Arial" w:cs="Arial"/>
        </w:rPr>
        <w:t xml:space="preserve"> (compétence et recevabilité) (28 mars 2019), 3 RJCA 104, § 52.</w:t>
      </w:r>
    </w:p>
  </w:footnote>
  <w:footnote w:id="13">
    <w:p w14:paraId="4B931A60" w14:textId="77777777" w:rsidR="0089601E" w:rsidRPr="00AE0BE9" w:rsidRDefault="0089601E" w:rsidP="005D5B88">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w:t>
      </w:r>
      <w:r w:rsidRPr="00AE0BE9">
        <w:rPr>
          <w:rFonts w:ascii="Arial" w:hAnsi="Arial" w:cs="Arial"/>
          <w:i/>
        </w:rPr>
        <w:t>Dexter Eddie Johnson c. République du Ghana</w:t>
      </w:r>
      <w:r w:rsidRPr="00AE0BE9">
        <w:rPr>
          <w:rFonts w:ascii="Arial" w:hAnsi="Arial" w:cs="Arial"/>
        </w:rPr>
        <w:t xml:space="preserve"> (compétence et recevabilité) (28 mars 2019), 3 RJCA 104, § 51.</w:t>
      </w:r>
    </w:p>
  </w:footnote>
  <w:footnote w:id="14">
    <w:p w14:paraId="6FF45F59" w14:textId="4CF03C49" w:rsidR="0089601E" w:rsidRPr="00AE0BE9" w:rsidRDefault="0089601E">
      <w:pPr>
        <w:pStyle w:val="FootnoteText"/>
        <w:jc w:val="both"/>
        <w:rPr>
          <w:rFonts w:ascii="Arial" w:hAnsi="Arial" w:cs="Arial"/>
        </w:rPr>
      </w:pPr>
      <w:r w:rsidRPr="00AE0BE9">
        <w:rPr>
          <w:rStyle w:val="FootnoteReference"/>
          <w:rFonts w:ascii="Arial" w:hAnsi="Arial" w:cs="Arial"/>
        </w:rPr>
        <w:footnoteRef/>
      </w:r>
      <w:r w:rsidRPr="00AE0BE9">
        <w:rPr>
          <w:rFonts w:ascii="Arial" w:hAnsi="Arial" w:cs="Arial"/>
        </w:rPr>
        <w:t xml:space="preserve"> </w:t>
      </w:r>
      <w:r w:rsidRPr="00AE0BE9">
        <w:rPr>
          <w:rFonts w:ascii="Arial" w:hAnsi="Arial" w:cs="Arial"/>
          <w:i/>
        </w:rPr>
        <w:t>Jean Claude Roger Gombert c. Côte d’Ivoire</w:t>
      </w:r>
      <w:r w:rsidRPr="00AE0BE9">
        <w:rPr>
          <w:rFonts w:ascii="Arial" w:hAnsi="Arial" w:cs="Arial"/>
        </w:rPr>
        <w:t xml:space="preserve"> (compétence et recevabilité) (22 mars 2018), 2 RJCA 280, § 61 ; </w:t>
      </w:r>
      <w:r w:rsidRPr="00AE0BE9">
        <w:rPr>
          <w:rFonts w:ascii="Arial" w:hAnsi="Arial" w:cs="Arial"/>
          <w:i/>
        </w:rPr>
        <w:t xml:space="preserve">Dexter Eddie Johnson c. République du Ghana </w:t>
      </w:r>
      <w:r w:rsidRPr="00AE0BE9">
        <w:rPr>
          <w:rFonts w:ascii="Arial" w:hAnsi="Arial" w:cs="Arial"/>
        </w:rPr>
        <w:t>(compétence et recevabilité) (28 mars 2019), 3 RJCA 104, § 57.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034F"/>
    <w:multiLevelType w:val="hybridMultilevel"/>
    <w:tmpl w:val="EB90A814"/>
    <w:lvl w:ilvl="0" w:tplc="E5A0DD9A">
      <w:start w:val="1"/>
      <w:numFmt w:val="upp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9390F2F"/>
    <w:multiLevelType w:val="hybridMultilevel"/>
    <w:tmpl w:val="A6BE3F84"/>
    <w:lvl w:ilvl="0" w:tplc="FECC7C56">
      <w:start w:val="1"/>
      <w:numFmt w:val="decimal"/>
      <w:lvlText w:val="%1."/>
      <w:lvlJc w:val="left"/>
      <w:pPr>
        <w:ind w:left="1440" w:hanging="360"/>
      </w:pPr>
      <w:rPr>
        <w:rFonts w:ascii="Arial" w:hAnsi="Arial" w:cs="Arial" w:hint="default"/>
        <w:b w:val="0"/>
        <w:i w:val="0"/>
        <w:iCs w:val="0"/>
        <w:strike w:val="0"/>
        <w:sz w:val="24"/>
        <w:szCs w:val="24"/>
      </w:rPr>
    </w:lvl>
    <w:lvl w:ilvl="1" w:tplc="CB82AE72">
      <w:start w:val="1"/>
      <w:numFmt w:val="lowerRoman"/>
      <w:lvlText w:val="%2."/>
      <w:lvlJc w:val="right"/>
      <w:pPr>
        <w:ind w:left="1440" w:hanging="360"/>
      </w:pPr>
      <w:rPr>
        <w:rFonts w:ascii="Arial" w:eastAsiaTheme="minorHAnsi" w:hAnsi="Arial" w:cs="Arial"/>
        <w:b w:val="0"/>
      </w:r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B04595A"/>
    <w:multiLevelType w:val="hybridMultilevel"/>
    <w:tmpl w:val="322044B0"/>
    <w:lvl w:ilvl="0" w:tplc="040C0001">
      <w:start w:val="1"/>
      <w:numFmt w:val="bullet"/>
      <w:lvlText w:val=""/>
      <w:lvlJc w:val="left"/>
      <w:pPr>
        <w:ind w:left="2880" w:hanging="360"/>
      </w:pPr>
      <w:rPr>
        <w:rFonts w:ascii="Symbol" w:hAnsi="Symbol" w:hint="default"/>
      </w:rPr>
    </w:lvl>
    <w:lvl w:ilvl="1" w:tplc="040C0003" w:tentative="1">
      <w:start w:val="1"/>
      <w:numFmt w:val="bullet"/>
      <w:lvlText w:val="o"/>
      <w:lvlJc w:val="left"/>
      <w:pPr>
        <w:ind w:left="3600" w:hanging="360"/>
      </w:pPr>
      <w:rPr>
        <w:rFonts w:ascii="Courier New" w:hAnsi="Courier New" w:cs="Courier New" w:hint="default"/>
      </w:rPr>
    </w:lvl>
    <w:lvl w:ilvl="2" w:tplc="040C0005" w:tentative="1">
      <w:start w:val="1"/>
      <w:numFmt w:val="bullet"/>
      <w:lvlText w:val=""/>
      <w:lvlJc w:val="left"/>
      <w:pPr>
        <w:ind w:left="4320" w:hanging="360"/>
      </w:pPr>
      <w:rPr>
        <w:rFonts w:ascii="Wingdings" w:hAnsi="Wingdings" w:hint="default"/>
      </w:rPr>
    </w:lvl>
    <w:lvl w:ilvl="3" w:tplc="040C0001" w:tentative="1">
      <w:start w:val="1"/>
      <w:numFmt w:val="bullet"/>
      <w:lvlText w:val=""/>
      <w:lvlJc w:val="left"/>
      <w:pPr>
        <w:ind w:left="5040" w:hanging="360"/>
      </w:pPr>
      <w:rPr>
        <w:rFonts w:ascii="Symbol" w:hAnsi="Symbol" w:hint="default"/>
      </w:rPr>
    </w:lvl>
    <w:lvl w:ilvl="4" w:tplc="040C0003" w:tentative="1">
      <w:start w:val="1"/>
      <w:numFmt w:val="bullet"/>
      <w:lvlText w:val="o"/>
      <w:lvlJc w:val="left"/>
      <w:pPr>
        <w:ind w:left="5760" w:hanging="360"/>
      </w:pPr>
      <w:rPr>
        <w:rFonts w:ascii="Courier New" w:hAnsi="Courier New" w:cs="Courier New" w:hint="default"/>
      </w:rPr>
    </w:lvl>
    <w:lvl w:ilvl="5" w:tplc="040C0005" w:tentative="1">
      <w:start w:val="1"/>
      <w:numFmt w:val="bullet"/>
      <w:lvlText w:val=""/>
      <w:lvlJc w:val="left"/>
      <w:pPr>
        <w:ind w:left="6480" w:hanging="360"/>
      </w:pPr>
      <w:rPr>
        <w:rFonts w:ascii="Wingdings" w:hAnsi="Wingdings" w:hint="default"/>
      </w:rPr>
    </w:lvl>
    <w:lvl w:ilvl="6" w:tplc="040C0001" w:tentative="1">
      <w:start w:val="1"/>
      <w:numFmt w:val="bullet"/>
      <w:lvlText w:val=""/>
      <w:lvlJc w:val="left"/>
      <w:pPr>
        <w:ind w:left="7200" w:hanging="360"/>
      </w:pPr>
      <w:rPr>
        <w:rFonts w:ascii="Symbol" w:hAnsi="Symbol" w:hint="default"/>
      </w:rPr>
    </w:lvl>
    <w:lvl w:ilvl="7" w:tplc="040C0003" w:tentative="1">
      <w:start w:val="1"/>
      <w:numFmt w:val="bullet"/>
      <w:lvlText w:val="o"/>
      <w:lvlJc w:val="left"/>
      <w:pPr>
        <w:ind w:left="7920" w:hanging="360"/>
      </w:pPr>
      <w:rPr>
        <w:rFonts w:ascii="Courier New" w:hAnsi="Courier New" w:cs="Courier New" w:hint="default"/>
      </w:rPr>
    </w:lvl>
    <w:lvl w:ilvl="8" w:tplc="040C0005" w:tentative="1">
      <w:start w:val="1"/>
      <w:numFmt w:val="bullet"/>
      <w:lvlText w:val=""/>
      <w:lvlJc w:val="left"/>
      <w:pPr>
        <w:ind w:left="8640" w:hanging="360"/>
      </w:pPr>
      <w:rPr>
        <w:rFonts w:ascii="Wingdings" w:hAnsi="Wingdings" w:hint="default"/>
      </w:rPr>
    </w:lvl>
  </w:abstractNum>
  <w:abstractNum w:abstractNumId="3" w15:restartNumberingAfterBreak="0">
    <w:nsid w:val="15506249"/>
    <w:multiLevelType w:val="hybridMultilevel"/>
    <w:tmpl w:val="FB50CD60"/>
    <w:lvl w:ilvl="0" w:tplc="040C000F">
      <w:start w:val="1"/>
      <w:numFmt w:val="decimal"/>
      <w:lvlText w:val="%1."/>
      <w:lvlJc w:val="left"/>
      <w:pPr>
        <w:ind w:left="2138" w:hanging="360"/>
      </w:pPr>
    </w:lvl>
    <w:lvl w:ilvl="1" w:tplc="040C000F">
      <w:start w:val="1"/>
      <w:numFmt w:val="decimal"/>
      <w:lvlText w:val="%2."/>
      <w:lvlJc w:val="left"/>
      <w:pPr>
        <w:ind w:left="2858" w:hanging="360"/>
      </w:pPr>
    </w:lvl>
    <w:lvl w:ilvl="2" w:tplc="68BEDCF6">
      <w:numFmt w:val="bullet"/>
      <w:lvlText w:val="-"/>
      <w:lvlJc w:val="left"/>
      <w:pPr>
        <w:ind w:left="3758" w:hanging="360"/>
      </w:pPr>
      <w:rPr>
        <w:rFonts w:ascii="Arial" w:eastAsiaTheme="minorHAnsi" w:hAnsi="Arial" w:cs="Arial" w:hint="default"/>
      </w:r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4" w15:restartNumberingAfterBreak="0">
    <w:nsid w:val="19E93E5E"/>
    <w:multiLevelType w:val="hybridMultilevel"/>
    <w:tmpl w:val="C576D518"/>
    <w:lvl w:ilvl="0" w:tplc="87C62614">
      <w:start w:val="109"/>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20F16962"/>
    <w:multiLevelType w:val="hybridMultilevel"/>
    <w:tmpl w:val="DE1ECE72"/>
    <w:lvl w:ilvl="0" w:tplc="C08C5B36">
      <w:start w:val="1"/>
      <w:numFmt w:val="decimal"/>
      <w:lvlText w:val="%1."/>
      <w:lvlJc w:val="left"/>
      <w:pPr>
        <w:ind w:left="1152" w:hanging="432"/>
      </w:pPr>
      <w:rPr>
        <w:b w:val="0"/>
        <w:i w:val="0"/>
      </w:rPr>
    </w:lvl>
    <w:lvl w:ilvl="1" w:tplc="0809001B">
      <w:start w:val="1"/>
      <w:numFmt w:val="lowerRoman"/>
      <w:lvlText w:val="%2."/>
      <w:lvlJc w:val="righ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6" w15:restartNumberingAfterBreak="0">
    <w:nsid w:val="2253706F"/>
    <w:multiLevelType w:val="hybridMultilevel"/>
    <w:tmpl w:val="66F2A818"/>
    <w:lvl w:ilvl="0" w:tplc="7186A272">
      <w:start w:val="1"/>
      <w:numFmt w:val="lowerRoman"/>
      <w:lvlText w:val="%1."/>
      <w:lvlJc w:val="right"/>
      <w:pPr>
        <w:ind w:left="1080" w:hanging="72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5C95857"/>
    <w:multiLevelType w:val="hybridMultilevel"/>
    <w:tmpl w:val="1DD8444C"/>
    <w:lvl w:ilvl="0" w:tplc="FFFFFFFF">
      <w:start w:val="1"/>
      <w:numFmt w:val="decimal"/>
      <w:lvlText w:val="%1."/>
      <w:lvlJc w:val="left"/>
      <w:pPr>
        <w:ind w:left="1152" w:hanging="432"/>
      </w:pPr>
      <w:rPr>
        <w:b w:val="0"/>
        <w:i w:val="0"/>
        <w:sz w:val="24"/>
        <w:szCs w:val="24"/>
      </w:rPr>
    </w:lvl>
    <w:lvl w:ilvl="1" w:tplc="FFFFFFFF">
      <w:start w:val="1"/>
      <w:numFmt w:val="lowerRoman"/>
      <w:lvlText w:val="%2."/>
      <w:lvlJc w:val="righ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8" w15:restartNumberingAfterBreak="0">
    <w:nsid w:val="26E30749"/>
    <w:multiLevelType w:val="hybridMultilevel"/>
    <w:tmpl w:val="7D4C39A6"/>
    <w:lvl w:ilvl="0" w:tplc="FFFFFFFF">
      <w:start w:val="1"/>
      <w:numFmt w:val="decimal"/>
      <w:lvlText w:val="%1."/>
      <w:lvlJc w:val="left"/>
      <w:pPr>
        <w:ind w:left="1152" w:hanging="432"/>
      </w:pPr>
      <w:rPr>
        <w:b w:val="0"/>
        <w:i w:val="0"/>
        <w:sz w:val="24"/>
        <w:szCs w:val="24"/>
      </w:rPr>
    </w:lvl>
    <w:lvl w:ilvl="1" w:tplc="FFFFFFFF">
      <w:start w:val="1"/>
      <w:numFmt w:val="lowerRoman"/>
      <w:lvlText w:val="%2."/>
      <w:lvlJc w:val="left"/>
      <w:pPr>
        <w:ind w:left="1890" w:hanging="360"/>
      </w:pPr>
      <w:rPr>
        <w:rFonts w:hint="default"/>
      </w:r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9" w15:restartNumberingAfterBreak="0">
    <w:nsid w:val="2BCA2F67"/>
    <w:multiLevelType w:val="hybridMultilevel"/>
    <w:tmpl w:val="9446A464"/>
    <w:lvl w:ilvl="0" w:tplc="697A0B6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A2294F"/>
    <w:multiLevelType w:val="hybridMultilevel"/>
    <w:tmpl w:val="F28451B6"/>
    <w:lvl w:ilvl="0" w:tplc="040C0019">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1" w15:restartNumberingAfterBreak="0">
    <w:nsid w:val="3E672FFE"/>
    <w:multiLevelType w:val="hybridMultilevel"/>
    <w:tmpl w:val="7AD0E1AE"/>
    <w:lvl w:ilvl="0" w:tplc="E23E01AC">
      <w:start w:val="1"/>
      <w:numFmt w:val="decimal"/>
      <w:lvlText w:val="%1."/>
      <w:lvlJc w:val="left"/>
      <w:pPr>
        <w:ind w:left="792" w:hanging="504"/>
      </w:pPr>
      <w:rPr>
        <w:rFonts w:ascii="Arial" w:hAnsi="Arial" w:cs="Arial" w:hint="default"/>
        <w:b w:val="0"/>
        <w:sz w:val="24"/>
        <w:szCs w:val="24"/>
      </w:rPr>
    </w:lvl>
    <w:lvl w:ilvl="1" w:tplc="C3FE8520">
      <w:start w:val="1"/>
      <w:numFmt w:val="lowerRoman"/>
      <w:lvlText w:val="%2."/>
      <w:lvlJc w:val="right"/>
      <w:pPr>
        <w:ind w:left="1368" w:hanging="360"/>
      </w:pPr>
      <w:rPr>
        <w:rFonts w:hint="default"/>
      </w:r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2" w15:restartNumberingAfterBreak="0">
    <w:nsid w:val="3F585736"/>
    <w:multiLevelType w:val="hybridMultilevel"/>
    <w:tmpl w:val="973C404E"/>
    <w:lvl w:ilvl="0" w:tplc="A32C6E80">
      <w:start w:val="1"/>
      <w:numFmt w:val="upperLetter"/>
      <w:pStyle w:val="Heading2"/>
      <w:lvlText w:val="%1."/>
      <w:lvlJc w:val="left"/>
      <w:pPr>
        <w:ind w:left="786" w:hanging="360"/>
      </w:pPr>
    </w:lvl>
    <w:lvl w:ilvl="1" w:tplc="040C0019">
      <w:start w:val="1"/>
      <w:numFmt w:val="lowerLetter"/>
      <w:lvlText w:val="%2."/>
      <w:lvlJc w:val="left"/>
      <w:pPr>
        <w:ind w:left="1506" w:hanging="360"/>
      </w:pPr>
    </w:lvl>
    <w:lvl w:ilvl="2" w:tplc="040C001B">
      <w:start w:val="1"/>
      <w:numFmt w:val="lowerRoman"/>
      <w:lvlText w:val="%3."/>
      <w:lvlJc w:val="right"/>
      <w:pPr>
        <w:ind w:left="2226" w:hanging="180"/>
      </w:pPr>
    </w:lvl>
    <w:lvl w:ilvl="3" w:tplc="040C000F">
      <w:start w:val="1"/>
      <w:numFmt w:val="decimal"/>
      <w:lvlText w:val="%4."/>
      <w:lvlJc w:val="left"/>
      <w:pPr>
        <w:ind w:left="2946" w:hanging="360"/>
      </w:pPr>
    </w:lvl>
    <w:lvl w:ilvl="4" w:tplc="040C0019">
      <w:start w:val="1"/>
      <w:numFmt w:val="lowerLetter"/>
      <w:lvlText w:val="%5."/>
      <w:lvlJc w:val="left"/>
      <w:pPr>
        <w:ind w:left="3666" w:hanging="360"/>
      </w:pPr>
    </w:lvl>
    <w:lvl w:ilvl="5" w:tplc="040C001B">
      <w:start w:val="1"/>
      <w:numFmt w:val="lowerRoman"/>
      <w:lvlText w:val="%6."/>
      <w:lvlJc w:val="right"/>
      <w:pPr>
        <w:ind w:left="4386" w:hanging="180"/>
      </w:pPr>
    </w:lvl>
    <w:lvl w:ilvl="6" w:tplc="040C000F">
      <w:start w:val="1"/>
      <w:numFmt w:val="decimal"/>
      <w:lvlText w:val="%7."/>
      <w:lvlJc w:val="left"/>
      <w:pPr>
        <w:ind w:left="5106" w:hanging="360"/>
      </w:pPr>
    </w:lvl>
    <w:lvl w:ilvl="7" w:tplc="040C0019">
      <w:start w:val="1"/>
      <w:numFmt w:val="lowerLetter"/>
      <w:lvlText w:val="%8."/>
      <w:lvlJc w:val="left"/>
      <w:pPr>
        <w:ind w:left="5826" w:hanging="360"/>
      </w:pPr>
    </w:lvl>
    <w:lvl w:ilvl="8" w:tplc="040C001B">
      <w:start w:val="1"/>
      <w:numFmt w:val="lowerRoman"/>
      <w:lvlText w:val="%9."/>
      <w:lvlJc w:val="right"/>
      <w:pPr>
        <w:ind w:left="6546" w:hanging="180"/>
      </w:pPr>
    </w:lvl>
  </w:abstractNum>
  <w:abstractNum w:abstractNumId="13" w15:restartNumberingAfterBreak="0">
    <w:nsid w:val="455164D8"/>
    <w:multiLevelType w:val="hybridMultilevel"/>
    <w:tmpl w:val="F83EFE04"/>
    <w:lvl w:ilvl="0" w:tplc="0809001B">
      <w:start w:val="1"/>
      <w:numFmt w:val="lowerRoman"/>
      <w:lvlText w:val="%1."/>
      <w:lvlJc w:val="right"/>
      <w:pPr>
        <w:ind w:left="1872" w:hanging="360"/>
      </w:pPr>
    </w:lvl>
    <w:lvl w:ilvl="1" w:tplc="08090019" w:tentative="1">
      <w:start w:val="1"/>
      <w:numFmt w:val="lowerLetter"/>
      <w:lvlText w:val="%2."/>
      <w:lvlJc w:val="left"/>
      <w:pPr>
        <w:ind w:left="2592" w:hanging="360"/>
      </w:pPr>
    </w:lvl>
    <w:lvl w:ilvl="2" w:tplc="0809001B" w:tentative="1">
      <w:start w:val="1"/>
      <w:numFmt w:val="lowerRoman"/>
      <w:lvlText w:val="%3."/>
      <w:lvlJc w:val="right"/>
      <w:pPr>
        <w:ind w:left="3312" w:hanging="180"/>
      </w:pPr>
    </w:lvl>
    <w:lvl w:ilvl="3" w:tplc="0809000F" w:tentative="1">
      <w:start w:val="1"/>
      <w:numFmt w:val="decimal"/>
      <w:lvlText w:val="%4."/>
      <w:lvlJc w:val="left"/>
      <w:pPr>
        <w:ind w:left="4032" w:hanging="360"/>
      </w:pPr>
    </w:lvl>
    <w:lvl w:ilvl="4" w:tplc="08090019" w:tentative="1">
      <w:start w:val="1"/>
      <w:numFmt w:val="lowerLetter"/>
      <w:lvlText w:val="%5."/>
      <w:lvlJc w:val="left"/>
      <w:pPr>
        <w:ind w:left="4752" w:hanging="360"/>
      </w:pPr>
    </w:lvl>
    <w:lvl w:ilvl="5" w:tplc="0809001B" w:tentative="1">
      <w:start w:val="1"/>
      <w:numFmt w:val="lowerRoman"/>
      <w:lvlText w:val="%6."/>
      <w:lvlJc w:val="right"/>
      <w:pPr>
        <w:ind w:left="5472" w:hanging="180"/>
      </w:pPr>
    </w:lvl>
    <w:lvl w:ilvl="6" w:tplc="0809000F" w:tentative="1">
      <w:start w:val="1"/>
      <w:numFmt w:val="decimal"/>
      <w:lvlText w:val="%7."/>
      <w:lvlJc w:val="left"/>
      <w:pPr>
        <w:ind w:left="6192" w:hanging="360"/>
      </w:pPr>
    </w:lvl>
    <w:lvl w:ilvl="7" w:tplc="08090019" w:tentative="1">
      <w:start w:val="1"/>
      <w:numFmt w:val="lowerLetter"/>
      <w:lvlText w:val="%8."/>
      <w:lvlJc w:val="left"/>
      <w:pPr>
        <w:ind w:left="6912" w:hanging="360"/>
      </w:pPr>
    </w:lvl>
    <w:lvl w:ilvl="8" w:tplc="0809001B" w:tentative="1">
      <w:start w:val="1"/>
      <w:numFmt w:val="lowerRoman"/>
      <w:lvlText w:val="%9."/>
      <w:lvlJc w:val="right"/>
      <w:pPr>
        <w:ind w:left="7632" w:hanging="180"/>
      </w:pPr>
    </w:lvl>
  </w:abstractNum>
  <w:abstractNum w:abstractNumId="14" w15:restartNumberingAfterBreak="0">
    <w:nsid w:val="4D851B8D"/>
    <w:multiLevelType w:val="hybridMultilevel"/>
    <w:tmpl w:val="DE1ECE72"/>
    <w:lvl w:ilvl="0" w:tplc="C08C5B36">
      <w:start w:val="1"/>
      <w:numFmt w:val="decimal"/>
      <w:lvlText w:val="%1."/>
      <w:lvlJc w:val="left"/>
      <w:pPr>
        <w:ind w:left="1152" w:hanging="432"/>
      </w:pPr>
      <w:rPr>
        <w:b w:val="0"/>
        <w:i w:val="0"/>
      </w:rPr>
    </w:lvl>
    <w:lvl w:ilvl="1" w:tplc="0809001B">
      <w:start w:val="1"/>
      <w:numFmt w:val="lowerRoman"/>
      <w:lvlText w:val="%2."/>
      <w:lvlJc w:val="righ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5" w15:restartNumberingAfterBreak="0">
    <w:nsid w:val="519756A2"/>
    <w:multiLevelType w:val="hybridMultilevel"/>
    <w:tmpl w:val="7F14BD1C"/>
    <w:lvl w:ilvl="0" w:tplc="040C0001">
      <w:start w:val="1"/>
      <w:numFmt w:val="bullet"/>
      <w:lvlText w:val=""/>
      <w:lvlJc w:val="left"/>
      <w:pPr>
        <w:ind w:left="3555" w:hanging="360"/>
      </w:pPr>
      <w:rPr>
        <w:rFonts w:ascii="Symbol" w:hAnsi="Symbol" w:hint="default"/>
      </w:rPr>
    </w:lvl>
    <w:lvl w:ilvl="1" w:tplc="040C0003" w:tentative="1">
      <w:start w:val="1"/>
      <w:numFmt w:val="bullet"/>
      <w:lvlText w:val="o"/>
      <w:lvlJc w:val="left"/>
      <w:pPr>
        <w:ind w:left="4275" w:hanging="360"/>
      </w:pPr>
      <w:rPr>
        <w:rFonts w:ascii="Courier New" w:hAnsi="Courier New" w:cs="Courier New" w:hint="default"/>
      </w:rPr>
    </w:lvl>
    <w:lvl w:ilvl="2" w:tplc="040C0005" w:tentative="1">
      <w:start w:val="1"/>
      <w:numFmt w:val="bullet"/>
      <w:lvlText w:val=""/>
      <w:lvlJc w:val="left"/>
      <w:pPr>
        <w:ind w:left="4995" w:hanging="360"/>
      </w:pPr>
      <w:rPr>
        <w:rFonts w:ascii="Wingdings" w:hAnsi="Wingdings" w:hint="default"/>
      </w:rPr>
    </w:lvl>
    <w:lvl w:ilvl="3" w:tplc="040C0001" w:tentative="1">
      <w:start w:val="1"/>
      <w:numFmt w:val="bullet"/>
      <w:lvlText w:val=""/>
      <w:lvlJc w:val="left"/>
      <w:pPr>
        <w:ind w:left="5715" w:hanging="360"/>
      </w:pPr>
      <w:rPr>
        <w:rFonts w:ascii="Symbol" w:hAnsi="Symbol" w:hint="default"/>
      </w:rPr>
    </w:lvl>
    <w:lvl w:ilvl="4" w:tplc="040C0003" w:tentative="1">
      <w:start w:val="1"/>
      <w:numFmt w:val="bullet"/>
      <w:lvlText w:val="o"/>
      <w:lvlJc w:val="left"/>
      <w:pPr>
        <w:ind w:left="6435" w:hanging="360"/>
      </w:pPr>
      <w:rPr>
        <w:rFonts w:ascii="Courier New" w:hAnsi="Courier New" w:cs="Courier New" w:hint="default"/>
      </w:rPr>
    </w:lvl>
    <w:lvl w:ilvl="5" w:tplc="040C0005" w:tentative="1">
      <w:start w:val="1"/>
      <w:numFmt w:val="bullet"/>
      <w:lvlText w:val=""/>
      <w:lvlJc w:val="left"/>
      <w:pPr>
        <w:ind w:left="7155" w:hanging="360"/>
      </w:pPr>
      <w:rPr>
        <w:rFonts w:ascii="Wingdings" w:hAnsi="Wingdings" w:hint="default"/>
      </w:rPr>
    </w:lvl>
    <w:lvl w:ilvl="6" w:tplc="040C0001" w:tentative="1">
      <w:start w:val="1"/>
      <w:numFmt w:val="bullet"/>
      <w:lvlText w:val=""/>
      <w:lvlJc w:val="left"/>
      <w:pPr>
        <w:ind w:left="7875" w:hanging="360"/>
      </w:pPr>
      <w:rPr>
        <w:rFonts w:ascii="Symbol" w:hAnsi="Symbol" w:hint="default"/>
      </w:rPr>
    </w:lvl>
    <w:lvl w:ilvl="7" w:tplc="040C0003" w:tentative="1">
      <w:start w:val="1"/>
      <w:numFmt w:val="bullet"/>
      <w:lvlText w:val="o"/>
      <w:lvlJc w:val="left"/>
      <w:pPr>
        <w:ind w:left="8595" w:hanging="360"/>
      </w:pPr>
      <w:rPr>
        <w:rFonts w:ascii="Courier New" w:hAnsi="Courier New" w:cs="Courier New" w:hint="default"/>
      </w:rPr>
    </w:lvl>
    <w:lvl w:ilvl="8" w:tplc="040C0005" w:tentative="1">
      <w:start w:val="1"/>
      <w:numFmt w:val="bullet"/>
      <w:lvlText w:val=""/>
      <w:lvlJc w:val="left"/>
      <w:pPr>
        <w:ind w:left="9315" w:hanging="360"/>
      </w:pPr>
      <w:rPr>
        <w:rFonts w:ascii="Wingdings" w:hAnsi="Wingdings" w:hint="default"/>
      </w:rPr>
    </w:lvl>
  </w:abstractNum>
  <w:abstractNum w:abstractNumId="16" w15:restartNumberingAfterBreak="0">
    <w:nsid w:val="53BC16DF"/>
    <w:multiLevelType w:val="hybridMultilevel"/>
    <w:tmpl w:val="E93C5A62"/>
    <w:lvl w:ilvl="0" w:tplc="04090017">
      <w:start w:val="1"/>
      <w:numFmt w:val="lowerLetter"/>
      <w:lvlText w:val="%1)"/>
      <w:lvlJc w:val="left"/>
      <w:pPr>
        <w:ind w:left="1440" w:hanging="360"/>
      </w:p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start w:val="1"/>
      <w:numFmt w:val="decimal"/>
      <w:lvlText w:val="%4."/>
      <w:lvlJc w:val="left"/>
      <w:pPr>
        <w:ind w:left="3600" w:hanging="360"/>
      </w:pPr>
    </w:lvl>
    <w:lvl w:ilvl="4" w:tplc="1C090019">
      <w:start w:val="1"/>
      <w:numFmt w:val="lowerLetter"/>
      <w:lvlText w:val="%5."/>
      <w:lvlJc w:val="left"/>
      <w:pPr>
        <w:ind w:left="4320" w:hanging="360"/>
      </w:pPr>
    </w:lvl>
    <w:lvl w:ilvl="5" w:tplc="1C09001B">
      <w:start w:val="1"/>
      <w:numFmt w:val="lowerRoman"/>
      <w:lvlText w:val="%6."/>
      <w:lvlJc w:val="right"/>
      <w:pPr>
        <w:ind w:left="5040" w:hanging="180"/>
      </w:pPr>
    </w:lvl>
    <w:lvl w:ilvl="6" w:tplc="1C09000F">
      <w:start w:val="1"/>
      <w:numFmt w:val="decimal"/>
      <w:lvlText w:val="%7."/>
      <w:lvlJc w:val="left"/>
      <w:pPr>
        <w:ind w:left="5760" w:hanging="360"/>
      </w:pPr>
    </w:lvl>
    <w:lvl w:ilvl="7" w:tplc="1C090019">
      <w:start w:val="1"/>
      <w:numFmt w:val="lowerLetter"/>
      <w:lvlText w:val="%8."/>
      <w:lvlJc w:val="left"/>
      <w:pPr>
        <w:ind w:left="6480" w:hanging="360"/>
      </w:pPr>
    </w:lvl>
    <w:lvl w:ilvl="8" w:tplc="1C09001B">
      <w:start w:val="1"/>
      <w:numFmt w:val="lowerRoman"/>
      <w:lvlText w:val="%9."/>
      <w:lvlJc w:val="right"/>
      <w:pPr>
        <w:ind w:left="7200" w:hanging="180"/>
      </w:pPr>
    </w:lvl>
  </w:abstractNum>
  <w:abstractNum w:abstractNumId="17" w15:restartNumberingAfterBreak="0">
    <w:nsid w:val="540172EA"/>
    <w:multiLevelType w:val="hybridMultilevel"/>
    <w:tmpl w:val="68481712"/>
    <w:lvl w:ilvl="0" w:tplc="8A52EDE0">
      <w:start w:val="1"/>
      <w:numFmt w:val="lowerRoman"/>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BB1EC2"/>
    <w:multiLevelType w:val="hybridMultilevel"/>
    <w:tmpl w:val="CCE048B2"/>
    <w:lvl w:ilvl="0" w:tplc="3F365BE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75A5180"/>
    <w:multiLevelType w:val="hybridMultilevel"/>
    <w:tmpl w:val="5F2CAB7E"/>
    <w:lvl w:ilvl="0" w:tplc="9D986318">
      <w:start w:val="1"/>
      <w:numFmt w:val="decimal"/>
      <w:lvlText w:val="%1."/>
      <w:lvlJc w:val="left"/>
      <w:pPr>
        <w:ind w:left="720" w:hanging="360"/>
      </w:pPr>
      <w:rPr>
        <w:rFonts w:ascii="Arial" w:hAnsi="Arial" w:cs="Arial" w:hint="default"/>
        <w:b w:val="0"/>
        <w:bCs w:val="0"/>
        <w:i w:val="0"/>
        <w:iCs w:val="0"/>
        <w:sz w:val="24"/>
        <w:szCs w:val="24"/>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9BC5649"/>
    <w:multiLevelType w:val="hybridMultilevel"/>
    <w:tmpl w:val="DE1ECE72"/>
    <w:lvl w:ilvl="0" w:tplc="FFFFFFFF">
      <w:start w:val="1"/>
      <w:numFmt w:val="decimal"/>
      <w:lvlText w:val="%1."/>
      <w:lvlJc w:val="left"/>
      <w:pPr>
        <w:ind w:left="1152" w:hanging="432"/>
      </w:pPr>
      <w:rPr>
        <w:b w:val="0"/>
        <w:i w:val="0"/>
      </w:rPr>
    </w:lvl>
    <w:lvl w:ilvl="1" w:tplc="FFFFFFFF">
      <w:start w:val="1"/>
      <w:numFmt w:val="lowerRoman"/>
      <w:lvlText w:val="%2."/>
      <w:lvlJc w:val="righ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abstractNum w:abstractNumId="21" w15:restartNumberingAfterBreak="0">
    <w:nsid w:val="5FD65625"/>
    <w:multiLevelType w:val="hybridMultilevel"/>
    <w:tmpl w:val="304A072A"/>
    <w:lvl w:ilvl="0" w:tplc="040C000F">
      <w:start w:val="1"/>
      <w:numFmt w:val="decimal"/>
      <w:lvlText w:val="%1."/>
      <w:lvlJc w:val="left"/>
      <w:pPr>
        <w:ind w:left="2421" w:hanging="360"/>
      </w:pPr>
    </w:lvl>
    <w:lvl w:ilvl="1" w:tplc="040C0019" w:tentative="1">
      <w:start w:val="1"/>
      <w:numFmt w:val="lowerLetter"/>
      <w:lvlText w:val="%2."/>
      <w:lvlJc w:val="left"/>
      <w:pPr>
        <w:ind w:left="3141" w:hanging="360"/>
      </w:pPr>
    </w:lvl>
    <w:lvl w:ilvl="2" w:tplc="040C001B" w:tentative="1">
      <w:start w:val="1"/>
      <w:numFmt w:val="lowerRoman"/>
      <w:lvlText w:val="%3."/>
      <w:lvlJc w:val="right"/>
      <w:pPr>
        <w:ind w:left="3861" w:hanging="180"/>
      </w:pPr>
    </w:lvl>
    <w:lvl w:ilvl="3" w:tplc="040C000F" w:tentative="1">
      <w:start w:val="1"/>
      <w:numFmt w:val="decimal"/>
      <w:lvlText w:val="%4."/>
      <w:lvlJc w:val="left"/>
      <w:pPr>
        <w:ind w:left="4581" w:hanging="360"/>
      </w:pPr>
    </w:lvl>
    <w:lvl w:ilvl="4" w:tplc="040C0019" w:tentative="1">
      <w:start w:val="1"/>
      <w:numFmt w:val="lowerLetter"/>
      <w:lvlText w:val="%5."/>
      <w:lvlJc w:val="left"/>
      <w:pPr>
        <w:ind w:left="5301" w:hanging="360"/>
      </w:pPr>
    </w:lvl>
    <w:lvl w:ilvl="5" w:tplc="040C001B" w:tentative="1">
      <w:start w:val="1"/>
      <w:numFmt w:val="lowerRoman"/>
      <w:lvlText w:val="%6."/>
      <w:lvlJc w:val="right"/>
      <w:pPr>
        <w:ind w:left="6021" w:hanging="180"/>
      </w:pPr>
    </w:lvl>
    <w:lvl w:ilvl="6" w:tplc="040C000F" w:tentative="1">
      <w:start w:val="1"/>
      <w:numFmt w:val="decimal"/>
      <w:lvlText w:val="%7."/>
      <w:lvlJc w:val="left"/>
      <w:pPr>
        <w:ind w:left="6741" w:hanging="360"/>
      </w:pPr>
    </w:lvl>
    <w:lvl w:ilvl="7" w:tplc="040C0019" w:tentative="1">
      <w:start w:val="1"/>
      <w:numFmt w:val="lowerLetter"/>
      <w:lvlText w:val="%8."/>
      <w:lvlJc w:val="left"/>
      <w:pPr>
        <w:ind w:left="7461" w:hanging="360"/>
      </w:pPr>
    </w:lvl>
    <w:lvl w:ilvl="8" w:tplc="040C001B" w:tentative="1">
      <w:start w:val="1"/>
      <w:numFmt w:val="lowerRoman"/>
      <w:lvlText w:val="%9."/>
      <w:lvlJc w:val="right"/>
      <w:pPr>
        <w:ind w:left="8181" w:hanging="180"/>
      </w:pPr>
    </w:lvl>
  </w:abstractNum>
  <w:abstractNum w:abstractNumId="22" w15:restartNumberingAfterBreak="0">
    <w:nsid w:val="62D12DAF"/>
    <w:multiLevelType w:val="hybridMultilevel"/>
    <w:tmpl w:val="A746D164"/>
    <w:lvl w:ilvl="0" w:tplc="BA58340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B6068"/>
    <w:multiLevelType w:val="multilevel"/>
    <w:tmpl w:val="C734CFDC"/>
    <w:lvl w:ilvl="0">
      <w:start w:val="1"/>
      <w:numFmt w:val="lowerRoman"/>
      <w:lvlText w:val="%1."/>
      <w:lvlJc w:val="left"/>
      <w:pPr>
        <w:ind w:left="720"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124D92"/>
    <w:multiLevelType w:val="hybridMultilevel"/>
    <w:tmpl w:val="71DEB4F4"/>
    <w:lvl w:ilvl="0" w:tplc="9D5C5E2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C24598"/>
    <w:multiLevelType w:val="hybridMultilevel"/>
    <w:tmpl w:val="917CCDB6"/>
    <w:lvl w:ilvl="0" w:tplc="3FFC2F84">
      <w:start w:val="1"/>
      <w:numFmt w:val="lowerRoman"/>
      <w:pStyle w:val="Heading3"/>
      <w:lvlText w:val="%1."/>
      <w:lvlJc w:val="right"/>
      <w:pPr>
        <w:ind w:left="72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start w:val="1"/>
      <w:numFmt w:val="decimal"/>
      <w:lvlText w:val="%4."/>
      <w:lvlJc w:val="left"/>
      <w:pPr>
        <w:ind w:left="3600" w:hanging="360"/>
      </w:pPr>
    </w:lvl>
    <w:lvl w:ilvl="4" w:tplc="040C0019">
      <w:start w:val="1"/>
      <w:numFmt w:val="lowerLetter"/>
      <w:lvlText w:val="%5."/>
      <w:lvlJc w:val="left"/>
      <w:pPr>
        <w:ind w:left="4320" w:hanging="360"/>
      </w:pPr>
    </w:lvl>
    <w:lvl w:ilvl="5" w:tplc="040C001B">
      <w:start w:val="1"/>
      <w:numFmt w:val="lowerRoman"/>
      <w:lvlText w:val="%6."/>
      <w:lvlJc w:val="right"/>
      <w:pPr>
        <w:ind w:left="5040" w:hanging="180"/>
      </w:pPr>
    </w:lvl>
    <w:lvl w:ilvl="6" w:tplc="040C000F">
      <w:start w:val="1"/>
      <w:numFmt w:val="decimal"/>
      <w:lvlText w:val="%7."/>
      <w:lvlJc w:val="left"/>
      <w:pPr>
        <w:ind w:left="5760" w:hanging="360"/>
      </w:pPr>
    </w:lvl>
    <w:lvl w:ilvl="7" w:tplc="040C0019">
      <w:start w:val="1"/>
      <w:numFmt w:val="lowerLetter"/>
      <w:lvlText w:val="%8."/>
      <w:lvlJc w:val="left"/>
      <w:pPr>
        <w:ind w:left="6480" w:hanging="360"/>
      </w:pPr>
    </w:lvl>
    <w:lvl w:ilvl="8" w:tplc="040C001B">
      <w:start w:val="1"/>
      <w:numFmt w:val="lowerRoman"/>
      <w:lvlText w:val="%9."/>
      <w:lvlJc w:val="right"/>
      <w:pPr>
        <w:ind w:left="7200" w:hanging="180"/>
      </w:pPr>
    </w:lvl>
  </w:abstractNum>
  <w:abstractNum w:abstractNumId="26" w15:restartNumberingAfterBreak="0">
    <w:nsid w:val="67823B27"/>
    <w:multiLevelType w:val="hybridMultilevel"/>
    <w:tmpl w:val="7D4C39A6"/>
    <w:lvl w:ilvl="0" w:tplc="80187C84">
      <w:start w:val="1"/>
      <w:numFmt w:val="decimal"/>
      <w:lvlText w:val="%1."/>
      <w:lvlJc w:val="left"/>
      <w:pPr>
        <w:ind w:left="1152" w:hanging="432"/>
      </w:pPr>
      <w:rPr>
        <w:b w:val="0"/>
        <w:i w:val="0"/>
        <w:sz w:val="24"/>
        <w:szCs w:val="24"/>
      </w:rPr>
    </w:lvl>
    <w:lvl w:ilvl="1" w:tplc="35EE61FC">
      <w:start w:val="1"/>
      <w:numFmt w:val="lowerRoman"/>
      <w:lvlText w:val="%2."/>
      <w:lvlJc w:val="left"/>
      <w:pPr>
        <w:ind w:left="1890" w:hanging="360"/>
      </w:pPr>
      <w:rPr>
        <w:rFonts w:hint="default"/>
      </w:r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7" w15:restartNumberingAfterBreak="0">
    <w:nsid w:val="719B0589"/>
    <w:multiLevelType w:val="hybridMultilevel"/>
    <w:tmpl w:val="24927A1A"/>
    <w:lvl w:ilvl="0" w:tplc="2966A0BC">
      <w:start w:val="109"/>
      <w:numFmt w:val="decimal"/>
      <w:lvlText w:val="%1."/>
      <w:lvlJc w:val="left"/>
      <w:pPr>
        <w:ind w:left="285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31F3C40"/>
    <w:multiLevelType w:val="hybridMultilevel"/>
    <w:tmpl w:val="5306A52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42A4A85"/>
    <w:multiLevelType w:val="hybridMultilevel"/>
    <w:tmpl w:val="51885F94"/>
    <w:lvl w:ilvl="0" w:tplc="0809001B">
      <w:start w:val="1"/>
      <w:numFmt w:val="lowerRoman"/>
      <w:lvlText w:val="%1."/>
      <w:lvlJc w:val="right"/>
      <w:pPr>
        <w:ind w:left="2160" w:hanging="360"/>
      </w:pPr>
      <w:rPr>
        <w:caps w:val="0"/>
        <w:smallCaps w:val="0"/>
        <w:strike w:val="0"/>
        <w:dstrike w:val="0"/>
        <w:color w:val="000000"/>
        <w:spacing w:val="0"/>
        <w:w w:val="100"/>
        <w:kern w:val="0"/>
        <w:position w:val="0"/>
        <w:u w:val="none"/>
        <w:effect w:val="none"/>
        <w:vertAlign w:val="baseline"/>
      </w:rPr>
    </w:lvl>
    <w:lvl w:ilvl="1" w:tplc="B6568936">
      <w:start w:val="1"/>
      <w:numFmt w:val="lowerLetter"/>
      <w:lvlText w:val="%2."/>
      <w:lvlJc w:val="left"/>
      <w:pPr>
        <w:ind w:left="2880"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738AE338">
      <w:start w:val="1"/>
      <w:numFmt w:val="lowerRoman"/>
      <w:lvlText w:val="%3."/>
      <w:lvlJc w:val="left"/>
      <w:pPr>
        <w:ind w:left="3600" w:hanging="294"/>
      </w:pPr>
      <w:rPr>
        <w:rFonts w:hAnsi="Arial Unicode MS" w:cs="Times New Roman"/>
        <w:caps w:val="0"/>
        <w:smallCaps w:val="0"/>
        <w:strike w:val="0"/>
        <w:dstrike w:val="0"/>
        <w:color w:val="000000"/>
        <w:spacing w:val="0"/>
        <w:w w:val="100"/>
        <w:kern w:val="0"/>
        <w:position w:val="0"/>
        <w:u w:val="none"/>
        <w:effect w:val="none"/>
        <w:vertAlign w:val="baseline"/>
      </w:rPr>
    </w:lvl>
    <w:lvl w:ilvl="3" w:tplc="95461AB6">
      <w:start w:val="1"/>
      <w:numFmt w:val="decimal"/>
      <w:lvlText w:val="%4."/>
      <w:lvlJc w:val="left"/>
      <w:pPr>
        <w:ind w:left="2072"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382EB2B8">
      <w:start w:val="1"/>
      <w:numFmt w:val="lowerLetter"/>
      <w:lvlText w:val="%5."/>
      <w:lvlJc w:val="left"/>
      <w:pPr>
        <w:ind w:left="5040"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D6DE836A">
      <w:start w:val="1"/>
      <w:numFmt w:val="lowerRoman"/>
      <w:lvlText w:val="%6."/>
      <w:lvlJc w:val="left"/>
      <w:pPr>
        <w:ind w:left="5760" w:hanging="294"/>
      </w:pPr>
      <w:rPr>
        <w:rFonts w:hAnsi="Arial Unicode MS" w:cs="Times New Roman"/>
        <w:caps w:val="0"/>
        <w:smallCaps w:val="0"/>
        <w:strike w:val="0"/>
        <w:dstrike w:val="0"/>
        <w:color w:val="000000"/>
        <w:spacing w:val="0"/>
        <w:w w:val="100"/>
        <w:kern w:val="0"/>
        <w:position w:val="0"/>
        <w:u w:val="none"/>
        <w:effect w:val="none"/>
        <w:vertAlign w:val="baseline"/>
      </w:rPr>
    </w:lvl>
    <w:lvl w:ilvl="6" w:tplc="157E045C">
      <w:start w:val="1"/>
      <w:numFmt w:val="decimal"/>
      <w:lvlText w:val="%7."/>
      <w:lvlJc w:val="left"/>
      <w:pPr>
        <w:ind w:left="6480"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A9FA5A80">
      <w:start w:val="1"/>
      <w:numFmt w:val="lowerLetter"/>
      <w:lvlText w:val="%8."/>
      <w:lvlJc w:val="left"/>
      <w:pPr>
        <w:ind w:left="7200"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66986DA6">
      <w:start w:val="1"/>
      <w:numFmt w:val="lowerRoman"/>
      <w:lvlText w:val="%9."/>
      <w:lvlJc w:val="left"/>
      <w:pPr>
        <w:ind w:left="7920" w:hanging="294"/>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30" w15:restartNumberingAfterBreak="0">
    <w:nsid w:val="77A300A6"/>
    <w:multiLevelType w:val="hybridMultilevel"/>
    <w:tmpl w:val="3A0A1B12"/>
    <w:lvl w:ilvl="0" w:tplc="FA86896C">
      <w:start w:val="1"/>
      <w:numFmt w:val="upperRoman"/>
      <w:pStyle w:val="Heading1"/>
      <w:lvlText w:val="%1."/>
      <w:lvlJc w:val="left"/>
      <w:pPr>
        <w:ind w:left="240" w:hanging="720"/>
      </w:pPr>
    </w:lvl>
    <w:lvl w:ilvl="1" w:tplc="20000019">
      <w:start w:val="1"/>
      <w:numFmt w:val="lowerLetter"/>
      <w:lvlText w:val="%2."/>
      <w:lvlJc w:val="left"/>
      <w:pPr>
        <w:ind w:left="600" w:hanging="360"/>
      </w:pPr>
    </w:lvl>
    <w:lvl w:ilvl="2" w:tplc="2000001B">
      <w:start w:val="1"/>
      <w:numFmt w:val="lowerRoman"/>
      <w:lvlText w:val="%3."/>
      <w:lvlJc w:val="right"/>
      <w:pPr>
        <w:ind w:left="1320" w:hanging="180"/>
      </w:pPr>
    </w:lvl>
    <w:lvl w:ilvl="3" w:tplc="2000000F">
      <w:start w:val="1"/>
      <w:numFmt w:val="decimal"/>
      <w:lvlText w:val="%4."/>
      <w:lvlJc w:val="left"/>
      <w:pPr>
        <w:ind w:left="2040" w:hanging="360"/>
      </w:pPr>
    </w:lvl>
    <w:lvl w:ilvl="4" w:tplc="20000019">
      <w:start w:val="1"/>
      <w:numFmt w:val="lowerLetter"/>
      <w:lvlText w:val="%5."/>
      <w:lvlJc w:val="left"/>
      <w:pPr>
        <w:ind w:left="2760" w:hanging="360"/>
      </w:pPr>
    </w:lvl>
    <w:lvl w:ilvl="5" w:tplc="2000001B">
      <w:start w:val="1"/>
      <w:numFmt w:val="lowerRoman"/>
      <w:lvlText w:val="%6."/>
      <w:lvlJc w:val="right"/>
      <w:pPr>
        <w:ind w:left="3480" w:hanging="180"/>
      </w:pPr>
    </w:lvl>
    <w:lvl w:ilvl="6" w:tplc="2000000F">
      <w:start w:val="1"/>
      <w:numFmt w:val="decimal"/>
      <w:lvlText w:val="%7."/>
      <w:lvlJc w:val="left"/>
      <w:pPr>
        <w:ind w:left="4200" w:hanging="360"/>
      </w:pPr>
    </w:lvl>
    <w:lvl w:ilvl="7" w:tplc="20000019">
      <w:start w:val="1"/>
      <w:numFmt w:val="lowerLetter"/>
      <w:lvlText w:val="%8."/>
      <w:lvlJc w:val="left"/>
      <w:pPr>
        <w:ind w:left="4920" w:hanging="360"/>
      </w:pPr>
    </w:lvl>
    <w:lvl w:ilvl="8" w:tplc="2000001B">
      <w:start w:val="1"/>
      <w:numFmt w:val="lowerRoman"/>
      <w:lvlText w:val="%9."/>
      <w:lvlJc w:val="right"/>
      <w:pPr>
        <w:ind w:left="5640" w:hanging="180"/>
      </w:pPr>
    </w:lvl>
  </w:abstractNum>
  <w:abstractNum w:abstractNumId="31" w15:restartNumberingAfterBreak="0">
    <w:nsid w:val="7B386C19"/>
    <w:multiLevelType w:val="hybridMultilevel"/>
    <w:tmpl w:val="8572F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052C5A"/>
    <w:multiLevelType w:val="hybridMultilevel"/>
    <w:tmpl w:val="1DD8444C"/>
    <w:lvl w:ilvl="0" w:tplc="FFFFFFFF">
      <w:start w:val="1"/>
      <w:numFmt w:val="decimal"/>
      <w:lvlText w:val="%1."/>
      <w:lvlJc w:val="left"/>
      <w:pPr>
        <w:ind w:left="1152" w:hanging="432"/>
      </w:pPr>
      <w:rPr>
        <w:b w:val="0"/>
        <w:i w:val="0"/>
        <w:sz w:val="24"/>
        <w:szCs w:val="24"/>
      </w:rPr>
    </w:lvl>
    <w:lvl w:ilvl="1" w:tplc="FFFFFFFF">
      <w:start w:val="1"/>
      <w:numFmt w:val="lowerRoman"/>
      <w:lvlText w:val="%2."/>
      <w:lvlJc w:val="right"/>
      <w:pPr>
        <w:ind w:left="1890" w:hanging="360"/>
      </w:pPr>
    </w:lvl>
    <w:lvl w:ilvl="2" w:tplc="FFFFFFFF">
      <w:start w:val="1"/>
      <w:numFmt w:val="lowerRoman"/>
      <w:lvlText w:val="%3."/>
      <w:lvlJc w:val="right"/>
      <w:pPr>
        <w:ind w:left="2610" w:hanging="180"/>
      </w:pPr>
    </w:lvl>
    <w:lvl w:ilvl="3" w:tplc="FFFFFFFF">
      <w:start w:val="1"/>
      <w:numFmt w:val="decimal"/>
      <w:lvlText w:val="%4."/>
      <w:lvlJc w:val="left"/>
      <w:pPr>
        <w:ind w:left="3330" w:hanging="360"/>
      </w:pPr>
    </w:lvl>
    <w:lvl w:ilvl="4" w:tplc="FFFFFFFF">
      <w:start w:val="1"/>
      <w:numFmt w:val="lowerLetter"/>
      <w:lvlText w:val="%5."/>
      <w:lvlJc w:val="left"/>
      <w:pPr>
        <w:ind w:left="4050" w:hanging="360"/>
      </w:pPr>
    </w:lvl>
    <w:lvl w:ilvl="5" w:tplc="FFFFFFFF">
      <w:start w:val="1"/>
      <w:numFmt w:val="lowerRoman"/>
      <w:lvlText w:val="%6."/>
      <w:lvlJc w:val="right"/>
      <w:pPr>
        <w:ind w:left="4770" w:hanging="180"/>
      </w:pPr>
    </w:lvl>
    <w:lvl w:ilvl="6" w:tplc="FFFFFFFF">
      <w:start w:val="1"/>
      <w:numFmt w:val="decimal"/>
      <w:lvlText w:val="%7."/>
      <w:lvlJc w:val="left"/>
      <w:pPr>
        <w:ind w:left="5490" w:hanging="360"/>
      </w:pPr>
    </w:lvl>
    <w:lvl w:ilvl="7" w:tplc="FFFFFFFF">
      <w:start w:val="1"/>
      <w:numFmt w:val="lowerLetter"/>
      <w:lvlText w:val="%8."/>
      <w:lvlJc w:val="left"/>
      <w:pPr>
        <w:ind w:left="6210" w:hanging="360"/>
      </w:pPr>
    </w:lvl>
    <w:lvl w:ilvl="8" w:tplc="FFFFFFFF">
      <w:start w:val="1"/>
      <w:numFmt w:val="lowerRoman"/>
      <w:lvlText w:val="%9."/>
      <w:lvlJc w:val="right"/>
      <w:pPr>
        <w:ind w:left="6930" w:hanging="180"/>
      </w:pPr>
    </w:lvl>
  </w:abstractNum>
  <w:num w:numId="1" w16cid:durableId="20963232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80044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4107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86680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3041598">
    <w:abstractNumId w:val="0"/>
  </w:num>
  <w:num w:numId="6" w16cid:durableId="1752853496">
    <w:abstractNumId w:val="26"/>
  </w:num>
  <w:num w:numId="7" w16cid:durableId="10687686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8190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4207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91848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5149295">
    <w:abstractNumId w:val="23"/>
  </w:num>
  <w:num w:numId="12" w16cid:durableId="1006589945">
    <w:abstractNumId w:val="26"/>
  </w:num>
  <w:num w:numId="13" w16cid:durableId="1681542229">
    <w:abstractNumId w:val="28"/>
  </w:num>
  <w:num w:numId="14" w16cid:durableId="1574853561">
    <w:abstractNumId w:val="31"/>
  </w:num>
  <w:num w:numId="15" w16cid:durableId="198010318">
    <w:abstractNumId w:val="25"/>
  </w:num>
  <w:num w:numId="16" w16cid:durableId="171452135">
    <w:abstractNumId w:val="5"/>
  </w:num>
  <w:num w:numId="17" w16cid:durableId="1160079607">
    <w:abstractNumId w:val="14"/>
  </w:num>
  <w:num w:numId="18" w16cid:durableId="2123499874">
    <w:abstractNumId w:val="24"/>
  </w:num>
  <w:num w:numId="19" w16cid:durableId="1686007556">
    <w:abstractNumId w:val="20"/>
  </w:num>
  <w:num w:numId="20" w16cid:durableId="1948853244">
    <w:abstractNumId w:val="11"/>
  </w:num>
  <w:num w:numId="21" w16cid:durableId="624044845">
    <w:abstractNumId w:val="17"/>
  </w:num>
  <w:num w:numId="22" w16cid:durableId="766385515">
    <w:abstractNumId w:val="3"/>
  </w:num>
  <w:num w:numId="23" w16cid:durableId="1647005184">
    <w:abstractNumId w:val="16"/>
  </w:num>
  <w:num w:numId="24" w16cid:durableId="1753432188">
    <w:abstractNumId w:val="18"/>
  </w:num>
  <w:num w:numId="25" w16cid:durableId="1262910217">
    <w:abstractNumId w:val="12"/>
  </w:num>
  <w:num w:numId="26" w16cid:durableId="1006396049">
    <w:abstractNumId w:val="12"/>
    <w:lvlOverride w:ilvl="0">
      <w:startOverride w:val="1"/>
    </w:lvlOverride>
  </w:num>
  <w:num w:numId="27" w16cid:durableId="1928807687">
    <w:abstractNumId w:val="1"/>
  </w:num>
  <w:num w:numId="28" w16cid:durableId="1542402317">
    <w:abstractNumId w:val="19"/>
  </w:num>
  <w:num w:numId="29" w16cid:durableId="1907569402">
    <w:abstractNumId w:val="7"/>
  </w:num>
  <w:num w:numId="30" w16cid:durableId="551158508">
    <w:abstractNumId w:val="32"/>
  </w:num>
  <w:num w:numId="31" w16cid:durableId="584846500">
    <w:abstractNumId w:val="0"/>
  </w:num>
  <w:num w:numId="32" w16cid:durableId="2167410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55907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420660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37862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573492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0807380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1715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6350106">
    <w:abstractNumId w:val="2"/>
  </w:num>
  <w:num w:numId="40" w16cid:durableId="1305239440">
    <w:abstractNumId w:val="4"/>
  </w:num>
  <w:num w:numId="41" w16cid:durableId="561256246">
    <w:abstractNumId w:val="10"/>
  </w:num>
  <w:num w:numId="42" w16cid:durableId="4292798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5108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6175970">
    <w:abstractNumId w:val="8"/>
  </w:num>
  <w:num w:numId="45" w16cid:durableId="919290824">
    <w:abstractNumId w:val="26"/>
  </w:num>
  <w:num w:numId="46" w16cid:durableId="13368073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9639094">
    <w:abstractNumId w:val="21"/>
  </w:num>
  <w:num w:numId="48" w16cid:durableId="111362867">
    <w:abstractNumId w:val="27"/>
  </w:num>
  <w:num w:numId="49" w16cid:durableId="495998428">
    <w:abstractNumId w:val="15"/>
  </w:num>
  <w:num w:numId="50" w16cid:durableId="1183982712">
    <w:abstractNumId w:val="22"/>
  </w:num>
  <w:num w:numId="51" w16cid:durableId="1104569189">
    <w:abstractNumId w:val="9"/>
  </w:num>
  <w:num w:numId="52" w16cid:durableId="157909523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BF3"/>
    <w:rsid w:val="00002031"/>
    <w:rsid w:val="0000381E"/>
    <w:rsid w:val="000061D6"/>
    <w:rsid w:val="00011722"/>
    <w:rsid w:val="00012721"/>
    <w:rsid w:val="00013403"/>
    <w:rsid w:val="00013861"/>
    <w:rsid w:val="00017DC9"/>
    <w:rsid w:val="0002481E"/>
    <w:rsid w:val="00024EAF"/>
    <w:rsid w:val="000266FF"/>
    <w:rsid w:val="00027959"/>
    <w:rsid w:val="00027C6E"/>
    <w:rsid w:val="00031592"/>
    <w:rsid w:val="0003219A"/>
    <w:rsid w:val="00033B43"/>
    <w:rsid w:val="00037036"/>
    <w:rsid w:val="00040AB6"/>
    <w:rsid w:val="00044B05"/>
    <w:rsid w:val="00051DDF"/>
    <w:rsid w:val="00055AC8"/>
    <w:rsid w:val="00056BAC"/>
    <w:rsid w:val="000607BD"/>
    <w:rsid w:val="000614BE"/>
    <w:rsid w:val="00066BDF"/>
    <w:rsid w:val="00073046"/>
    <w:rsid w:val="0007519F"/>
    <w:rsid w:val="00082FC2"/>
    <w:rsid w:val="000859D1"/>
    <w:rsid w:val="0009280B"/>
    <w:rsid w:val="00095FD1"/>
    <w:rsid w:val="000A150C"/>
    <w:rsid w:val="000A1D04"/>
    <w:rsid w:val="000A5278"/>
    <w:rsid w:val="000B07F9"/>
    <w:rsid w:val="000B15CE"/>
    <w:rsid w:val="000B6335"/>
    <w:rsid w:val="000B7898"/>
    <w:rsid w:val="000C45AA"/>
    <w:rsid w:val="000C7D98"/>
    <w:rsid w:val="000D767F"/>
    <w:rsid w:val="000D77FB"/>
    <w:rsid w:val="000D7AFC"/>
    <w:rsid w:val="000E37FF"/>
    <w:rsid w:val="000E45C6"/>
    <w:rsid w:val="000E5F04"/>
    <w:rsid w:val="000E62A9"/>
    <w:rsid w:val="000F14A4"/>
    <w:rsid w:val="000F2D40"/>
    <w:rsid w:val="000F47AA"/>
    <w:rsid w:val="000F5165"/>
    <w:rsid w:val="000F57AD"/>
    <w:rsid w:val="000F7A3D"/>
    <w:rsid w:val="001043F8"/>
    <w:rsid w:val="00104563"/>
    <w:rsid w:val="001121AB"/>
    <w:rsid w:val="00113CA2"/>
    <w:rsid w:val="00114B63"/>
    <w:rsid w:val="00123C1C"/>
    <w:rsid w:val="00125997"/>
    <w:rsid w:val="00126784"/>
    <w:rsid w:val="00134007"/>
    <w:rsid w:val="00136210"/>
    <w:rsid w:val="001369C2"/>
    <w:rsid w:val="00140157"/>
    <w:rsid w:val="001417F7"/>
    <w:rsid w:val="00142382"/>
    <w:rsid w:val="00142F62"/>
    <w:rsid w:val="00144DFC"/>
    <w:rsid w:val="001451D4"/>
    <w:rsid w:val="00167342"/>
    <w:rsid w:val="00170A41"/>
    <w:rsid w:val="00170C7E"/>
    <w:rsid w:val="00170F02"/>
    <w:rsid w:val="0017128A"/>
    <w:rsid w:val="001725A1"/>
    <w:rsid w:val="00172D75"/>
    <w:rsid w:val="001730BB"/>
    <w:rsid w:val="00174CCF"/>
    <w:rsid w:val="00176C79"/>
    <w:rsid w:val="00177232"/>
    <w:rsid w:val="00181040"/>
    <w:rsid w:val="00182C79"/>
    <w:rsid w:val="00184215"/>
    <w:rsid w:val="00184C76"/>
    <w:rsid w:val="00187AB0"/>
    <w:rsid w:val="001926CB"/>
    <w:rsid w:val="00195FEA"/>
    <w:rsid w:val="001A703A"/>
    <w:rsid w:val="001A76CD"/>
    <w:rsid w:val="001A78DA"/>
    <w:rsid w:val="001B0022"/>
    <w:rsid w:val="001B7DFF"/>
    <w:rsid w:val="001C6BEC"/>
    <w:rsid w:val="001D0872"/>
    <w:rsid w:val="001E26A6"/>
    <w:rsid w:val="001E3A97"/>
    <w:rsid w:val="001E5D26"/>
    <w:rsid w:val="001E63C5"/>
    <w:rsid w:val="001E67A8"/>
    <w:rsid w:val="001E7908"/>
    <w:rsid w:val="001E7FA3"/>
    <w:rsid w:val="001F2DC7"/>
    <w:rsid w:val="001F69E5"/>
    <w:rsid w:val="001F74CA"/>
    <w:rsid w:val="00200DBC"/>
    <w:rsid w:val="0020464D"/>
    <w:rsid w:val="00221E88"/>
    <w:rsid w:val="00224953"/>
    <w:rsid w:val="00236E79"/>
    <w:rsid w:val="00242A31"/>
    <w:rsid w:val="00245754"/>
    <w:rsid w:val="0024774B"/>
    <w:rsid w:val="00252DCF"/>
    <w:rsid w:val="0025489B"/>
    <w:rsid w:val="00255AB9"/>
    <w:rsid w:val="00257E4D"/>
    <w:rsid w:val="00262241"/>
    <w:rsid w:val="002658F0"/>
    <w:rsid w:val="00265DC5"/>
    <w:rsid w:val="00270C7F"/>
    <w:rsid w:val="00272239"/>
    <w:rsid w:val="00272DE8"/>
    <w:rsid w:val="0027366E"/>
    <w:rsid w:val="00281AE5"/>
    <w:rsid w:val="00282F0D"/>
    <w:rsid w:val="002903A1"/>
    <w:rsid w:val="0029330E"/>
    <w:rsid w:val="0029559D"/>
    <w:rsid w:val="00295F9D"/>
    <w:rsid w:val="00296D33"/>
    <w:rsid w:val="00297BF1"/>
    <w:rsid w:val="002A1A17"/>
    <w:rsid w:val="002A3B7B"/>
    <w:rsid w:val="002B0F77"/>
    <w:rsid w:val="002B1AFA"/>
    <w:rsid w:val="002B2F93"/>
    <w:rsid w:val="002B5A12"/>
    <w:rsid w:val="002B7485"/>
    <w:rsid w:val="002C410A"/>
    <w:rsid w:val="002C599D"/>
    <w:rsid w:val="002C5A1F"/>
    <w:rsid w:val="002D4CC6"/>
    <w:rsid w:val="002D5648"/>
    <w:rsid w:val="002D640B"/>
    <w:rsid w:val="002E26DA"/>
    <w:rsid w:val="002E5EC0"/>
    <w:rsid w:val="002E6C92"/>
    <w:rsid w:val="002F0835"/>
    <w:rsid w:val="002F2C9B"/>
    <w:rsid w:val="002F75C8"/>
    <w:rsid w:val="002F760E"/>
    <w:rsid w:val="0030253F"/>
    <w:rsid w:val="00307298"/>
    <w:rsid w:val="00310BCC"/>
    <w:rsid w:val="00310F60"/>
    <w:rsid w:val="0031162D"/>
    <w:rsid w:val="00312647"/>
    <w:rsid w:val="00313C73"/>
    <w:rsid w:val="00316DCF"/>
    <w:rsid w:val="00317E9D"/>
    <w:rsid w:val="00320734"/>
    <w:rsid w:val="00321541"/>
    <w:rsid w:val="00326478"/>
    <w:rsid w:val="0032713A"/>
    <w:rsid w:val="00330F2B"/>
    <w:rsid w:val="003358D3"/>
    <w:rsid w:val="00344F25"/>
    <w:rsid w:val="00346553"/>
    <w:rsid w:val="00346F48"/>
    <w:rsid w:val="003514F3"/>
    <w:rsid w:val="003535B4"/>
    <w:rsid w:val="00360959"/>
    <w:rsid w:val="0036247E"/>
    <w:rsid w:val="003662B6"/>
    <w:rsid w:val="00370C15"/>
    <w:rsid w:val="00373E12"/>
    <w:rsid w:val="003760C2"/>
    <w:rsid w:val="0037761F"/>
    <w:rsid w:val="00377B3A"/>
    <w:rsid w:val="003806CC"/>
    <w:rsid w:val="00381AFA"/>
    <w:rsid w:val="00383BF7"/>
    <w:rsid w:val="00391CF2"/>
    <w:rsid w:val="00394128"/>
    <w:rsid w:val="00396E80"/>
    <w:rsid w:val="003A7713"/>
    <w:rsid w:val="003B0A56"/>
    <w:rsid w:val="003B2922"/>
    <w:rsid w:val="003B2E90"/>
    <w:rsid w:val="003B490E"/>
    <w:rsid w:val="003B58F6"/>
    <w:rsid w:val="003B5945"/>
    <w:rsid w:val="003C0B4D"/>
    <w:rsid w:val="003C1C6F"/>
    <w:rsid w:val="003C3554"/>
    <w:rsid w:val="003C4F22"/>
    <w:rsid w:val="003C6258"/>
    <w:rsid w:val="003C73F3"/>
    <w:rsid w:val="003D01C3"/>
    <w:rsid w:val="003D2640"/>
    <w:rsid w:val="003D3C21"/>
    <w:rsid w:val="003D4396"/>
    <w:rsid w:val="003E05EB"/>
    <w:rsid w:val="003E06B2"/>
    <w:rsid w:val="003E0B97"/>
    <w:rsid w:val="003E0C70"/>
    <w:rsid w:val="003E6589"/>
    <w:rsid w:val="003E7255"/>
    <w:rsid w:val="003E752A"/>
    <w:rsid w:val="003F1046"/>
    <w:rsid w:val="003F3D4A"/>
    <w:rsid w:val="003F4FCB"/>
    <w:rsid w:val="003F7591"/>
    <w:rsid w:val="00401CE6"/>
    <w:rsid w:val="00404D35"/>
    <w:rsid w:val="004106FE"/>
    <w:rsid w:val="00410A68"/>
    <w:rsid w:val="00411D74"/>
    <w:rsid w:val="0042297C"/>
    <w:rsid w:val="00427FDF"/>
    <w:rsid w:val="00430A17"/>
    <w:rsid w:val="00432563"/>
    <w:rsid w:val="00435F36"/>
    <w:rsid w:val="00442B2F"/>
    <w:rsid w:val="004439D2"/>
    <w:rsid w:val="00447185"/>
    <w:rsid w:val="00447907"/>
    <w:rsid w:val="00453766"/>
    <w:rsid w:val="004578C9"/>
    <w:rsid w:val="004578D1"/>
    <w:rsid w:val="004634FD"/>
    <w:rsid w:val="004704F2"/>
    <w:rsid w:val="004714CB"/>
    <w:rsid w:val="00471CEC"/>
    <w:rsid w:val="00475DF6"/>
    <w:rsid w:val="004834B3"/>
    <w:rsid w:val="00485A2B"/>
    <w:rsid w:val="00486169"/>
    <w:rsid w:val="00490581"/>
    <w:rsid w:val="00493D5E"/>
    <w:rsid w:val="00495C20"/>
    <w:rsid w:val="0049797E"/>
    <w:rsid w:val="004A1B24"/>
    <w:rsid w:val="004A3A28"/>
    <w:rsid w:val="004A4CBC"/>
    <w:rsid w:val="004A51B0"/>
    <w:rsid w:val="004B30B2"/>
    <w:rsid w:val="004B65EF"/>
    <w:rsid w:val="004C35F7"/>
    <w:rsid w:val="004C6B6D"/>
    <w:rsid w:val="004C73A0"/>
    <w:rsid w:val="004D7342"/>
    <w:rsid w:val="004D78E7"/>
    <w:rsid w:val="004D795E"/>
    <w:rsid w:val="004E4CC3"/>
    <w:rsid w:val="004E4F3A"/>
    <w:rsid w:val="004E5E28"/>
    <w:rsid w:val="004E7974"/>
    <w:rsid w:val="004E7F05"/>
    <w:rsid w:val="004F28BB"/>
    <w:rsid w:val="004F4017"/>
    <w:rsid w:val="004F5E92"/>
    <w:rsid w:val="0050791C"/>
    <w:rsid w:val="00511FE2"/>
    <w:rsid w:val="00512412"/>
    <w:rsid w:val="00516A77"/>
    <w:rsid w:val="00520750"/>
    <w:rsid w:val="0052106A"/>
    <w:rsid w:val="00521D08"/>
    <w:rsid w:val="00531CE9"/>
    <w:rsid w:val="00541221"/>
    <w:rsid w:val="005426D7"/>
    <w:rsid w:val="00552261"/>
    <w:rsid w:val="00552562"/>
    <w:rsid w:val="00552605"/>
    <w:rsid w:val="0055734E"/>
    <w:rsid w:val="00557766"/>
    <w:rsid w:val="00562708"/>
    <w:rsid w:val="00563CD0"/>
    <w:rsid w:val="005645DE"/>
    <w:rsid w:val="005647E9"/>
    <w:rsid w:val="00571831"/>
    <w:rsid w:val="005779A7"/>
    <w:rsid w:val="00580F93"/>
    <w:rsid w:val="00582680"/>
    <w:rsid w:val="00597327"/>
    <w:rsid w:val="0059762D"/>
    <w:rsid w:val="005A0DA2"/>
    <w:rsid w:val="005A465B"/>
    <w:rsid w:val="005A6DDF"/>
    <w:rsid w:val="005B1D57"/>
    <w:rsid w:val="005B38E8"/>
    <w:rsid w:val="005B4C0A"/>
    <w:rsid w:val="005B7939"/>
    <w:rsid w:val="005B7A37"/>
    <w:rsid w:val="005C2B44"/>
    <w:rsid w:val="005C5B0F"/>
    <w:rsid w:val="005D38DF"/>
    <w:rsid w:val="005D5AA3"/>
    <w:rsid w:val="005D5B88"/>
    <w:rsid w:val="005D73B2"/>
    <w:rsid w:val="005E2A1B"/>
    <w:rsid w:val="005F79FB"/>
    <w:rsid w:val="0060108D"/>
    <w:rsid w:val="00611AA9"/>
    <w:rsid w:val="00613491"/>
    <w:rsid w:val="006148B2"/>
    <w:rsid w:val="00615010"/>
    <w:rsid w:val="00620A9E"/>
    <w:rsid w:val="00622BAB"/>
    <w:rsid w:val="00623F93"/>
    <w:rsid w:val="006257E8"/>
    <w:rsid w:val="00626807"/>
    <w:rsid w:val="006277A8"/>
    <w:rsid w:val="006311C0"/>
    <w:rsid w:val="00635E40"/>
    <w:rsid w:val="00642A7B"/>
    <w:rsid w:val="006440E2"/>
    <w:rsid w:val="00646D49"/>
    <w:rsid w:val="00651C8C"/>
    <w:rsid w:val="00660D12"/>
    <w:rsid w:val="0066299C"/>
    <w:rsid w:val="006650D3"/>
    <w:rsid w:val="00671C02"/>
    <w:rsid w:val="00673037"/>
    <w:rsid w:val="006760CB"/>
    <w:rsid w:val="0067673A"/>
    <w:rsid w:val="00676C0B"/>
    <w:rsid w:val="00677D85"/>
    <w:rsid w:val="0068544A"/>
    <w:rsid w:val="00686655"/>
    <w:rsid w:val="0068787F"/>
    <w:rsid w:val="006A0A83"/>
    <w:rsid w:val="006A1864"/>
    <w:rsid w:val="006A42FF"/>
    <w:rsid w:val="006A5959"/>
    <w:rsid w:val="006A7C7D"/>
    <w:rsid w:val="006B0E2B"/>
    <w:rsid w:val="006B10C4"/>
    <w:rsid w:val="006B50EA"/>
    <w:rsid w:val="006C1274"/>
    <w:rsid w:val="006C2A63"/>
    <w:rsid w:val="006C4CAE"/>
    <w:rsid w:val="006C5A2E"/>
    <w:rsid w:val="006D03E6"/>
    <w:rsid w:val="006D0B6F"/>
    <w:rsid w:val="006D17F3"/>
    <w:rsid w:val="006D1C8E"/>
    <w:rsid w:val="006D6581"/>
    <w:rsid w:val="006D7260"/>
    <w:rsid w:val="006E51C3"/>
    <w:rsid w:val="006E6911"/>
    <w:rsid w:val="006F1975"/>
    <w:rsid w:val="006F3634"/>
    <w:rsid w:val="006F41F5"/>
    <w:rsid w:val="007000B7"/>
    <w:rsid w:val="00701C20"/>
    <w:rsid w:val="00706997"/>
    <w:rsid w:val="00710374"/>
    <w:rsid w:val="00714820"/>
    <w:rsid w:val="00715235"/>
    <w:rsid w:val="00716C59"/>
    <w:rsid w:val="007174D1"/>
    <w:rsid w:val="00720220"/>
    <w:rsid w:val="007211C1"/>
    <w:rsid w:val="00725534"/>
    <w:rsid w:val="00727509"/>
    <w:rsid w:val="00727718"/>
    <w:rsid w:val="0073450A"/>
    <w:rsid w:val="0073706E"/>
    <w:rsid w:val="007412F7"/>
    <w:rsid w:val="00746180"/>
    <w:rsid w:val="007471CC"/>
    <w:rsid w:val="007472CF"/>
    <w:rsid w:val="00750A36"/>
    <w:rsid w:val="00750F7D"/>
    <w:rsid w:val="00752708"/>
    <w:rsid w:val="00754D0A"/>
    <w:rsid w:val="0075730E"/>
    <w:rsid w:val="007667A9"/>
    <w:rsid w:val="00766CDD"/>
    <w:rsid w:val="00772080"/>
    <w:rsid w:val="00773CBD"/>
    <w:rsid w:val="00774E86"/>
    <w:rsid w:val="007758DB"/>
    <w:rsid w:val="00775E37"/>
    <w:rsid w:val="0077743D"/>
    <w:rsid w:val="00777819"/>
    <w:rsid w:val="007819D0"/>
    <w:rsid w:val="00781A4A"/>
    <w:rsid w:val="0078698D"/>
    <w:rsid w:val="00792FAF"/>
    <w:rsid w:val="00793AAD"/>
    <w:rsid w:val="007A075B"/>
    <w:rsid w:val="007A0EDD"/>
    <w:rsid w:val="007A3188"/>
    <w:rsid w:val="007A6220"/>
    <w:rsid w:val="007B69FC"/>
    <w:rsid w:val="007B72EF"/>
    <w:rsid w:val="007B752B"/>
    <w:rsid w:val="007C121D"/>
    <w:rsid w:val="007C7AA1"/>
    <w:rsid w:val="007D001C"/>
    <w:rsid w:val="007D1155"/>
    <w:rsid w:val="007D1B58"/>
    <w:rsid w:val="007D32AF"/>
    <w:rsid w:val="007E22E3"/>
    <w:rsid w:val="007E4EB1"/>
    <w:rsid w:val="007E5238"/>
    <w:rsid w:val="007E56D9"/>
    <w:rsid w:val="007E5E8F"/>
    <w:rsid w:val="007E74F0"/>
    <w:rsid w:val="007F07D3"/>
    <w:rsid w:val="007F3794"/>
    <w:rsid w:val="007F3931"/>
    <w:rsid w:val="0080113E"/>
    <w:rsid w:val="00803B32"/>
    <w:rsid w:val="00804F38"/>
    <w:rsid w:val="008060F5"/>
    <w:rsid w:val="00814289"/>
    <w:rsid w:val="008221E9"/>
    <w:rsid w:val="00824DBD"/>
    <w:rsid w:val="008301C0"/>
    <w:rsid w:val="0083139A"/>
    <w:rsid w:val="00832EAC"/>
    <w:rsid w:val="008419CD"/>
    <w:rsid w:val="008524EE"/>
    <w:rsid w:val="00856E48"/>
    <w:rsid w:val="00861FFD"/>
    <w:rsid w:val="00866FDA"/>
    <w:rsid w:val="00871B49"/>
    <w:rsid w:val="00872A41"/>
    <w:rsid w:val="00872D7F"/>
    <w:rsid w:val="00874D2A"/>
    <w:rsid w:val="00880155"/>
    <w:rsid w:val="00892881"/>
    <w:rsid w:val="00892FB7"/>
    <w:rsid w:val="0089601E"/>
    <w:rsid w:val="008A1315"/>
    <w:rsid w:val="008A5DC7"/>
    <w:rsid w:val="008A5DEC"/>
    <w:rsid w:val="008A653F"/>
    <w:rsid w:val="008C6DBF"/>
    <w:rsid w:val="008D137B"/>
    <w:rsid w:val="008D1C9E"/>
    <w:rsid w:val="008D2197"/>
    <w:rsid w:val="008D7949"/>
    <w:rsid w:val="008E036E"/>
    <w:rsid w:val="008E35BA"/>
    <w:rsid w:val="008E598F"/>
    <w:rsid w:val="008E6A03"/>
    <w:rsid w:val="00900B6B"/>
    <w:rsid w:val="00900D3E"/>
    <w:rsid w:val="00902DD5"/>
    <w:rsid w:val="00904254"/>
    <w:rsid w:val="00905525"/>
    <w:rsid w:val="00907922"/>
    <w:rsid w:val="00911167"/>
    <w:rsid w:val="0091159B"/>
    <w:rsid w:val="00911A31"/>
    <w:rsid w:val="00915522"/>
    <w:rsid w:val="00916342"/>
    <w:rsid w:val="00923E71"/>
    <w:rsid w:val="009253AB"/>
    <w:rsid w:val="00926D99"/>
    <w:rsid w:val="009316C7"/>
    <w:rsid w:val="0093241F"/>
    <w:rsid w:val="00936AA5"/>
    <w:rsid w:val="00936DD2"/>
    <w:rsid w:val="0094277E"/>
    <w:rsid w:val="00944FE0"/>
    <w:rsid w:val="00946ABC"/>
    <w:rsid w:val="00950316"/>
    <w:rsid w:val="00953614"/>
    <w:rsid w:val="00953FF6"/>
    <w:rsid w:val="009605FB"/>
    <w:rsid w:val="009615CA"/>
    <w:rsid w:val="009625C5"/>
    <w:rsid w:val="00964189"/>
    <w:rsid w:val="00965285"/>
    <w:rsid w:val="00966C20"/>
    <w:rsid w:val="009702C3"/>
    <w:rsid w:val="00974043"/>
    <w:rsid w:val="00981EB2"/>
    <w:rsid w:val="00981F24"/>
    <w:rsid w:val="00984B8E"/>
    <w:rsid w:val="0099420D"/>
    <w:rsid w:val="00996BF3"/>
    <w:rsid w:val="009A0F15"/>
    <w:rsid w:val="009A3EE3"/>
    <w:rsid w:val="009A40FB"/>
    <w:rsid w:val="009A5910"/>
    <w:rsid w:val="009C6F5C"/>
    <w:rsid w:val="009D2290"/>
    <w:rsid w:val="009D2868"/>
    <w:rsid w:val="009D3123"/>
    <w:rsid w:val="009E0C2F"/>
    <w:rsid w:val="009E5EF0"/>
    <w:rsid w:val="009E71B1"/>
    <w:rsid w:val="009F4EB8"/>
    <w:rsid w:val="009F5869"/>
    <w:rsid w:val="00A01700"/>
    <w:rsid w:val="00A01763"/>
    <w:rsid w:val="00A04186"/>
    <w:rsid w:val="00A05006"/>
    <w:rsid w:val="00A1177C"/>
    <w:rsid w:val="00A14D4C"/>
    <w:rsid w:val="00A157FD"/>
    <w:rsid w:val="00A17207"/>
    <w:rsid w:val="00A1745F"/>
    <w:rsid w:val="00A223D5"/>
    <w:rsid w:val="00A30697"/>
    <w:rsid w:val="00A32A41"/>
    <w:rsid w:val="00A35C6F"/>
    <w:rsid w:val="00A36386"/>
    <w:rsid w:val="00A36CFB"/>
    <w:rsid w:val="00A461FB"/>
    <w:rsid w:val="00A47E91"/>
    <w:rsid w:val="00A51BBC"/>
    <w:rsid w:val="00A52881"/>
    <w:rsid w:val="00A52F02"/>
    <w:rsid w:val="00A544B7"/>
    <w:rsid w:val="00A54CAE"/>
    <w:rsid w:val="00A61C00"/>
    <w:rsid w:val="00A658B1"/>
    <w:rsid w:val="00A65A2A"/>
    <w:rsid w:val="00A75071"/>
    <w:rsid w:val="00A7657C"/>
    <w:rsid w:val="00A77AEF"/>
    <w:rsid w:val="00A83510"/>
    <w:rsid w:val="00A935D9"/>
    <w:rsid w:val="00A95B9F"/>
    <w:rsid w:val="00AB14CB"/>
    <w:rsid w:val="00AB16E7"/>
    <w:rsid w:val="00AB1C6E"/>
    <w:rsid w:val="00AB463E"/>
    <w:rsid w:val="00AC20CF"/>
    <w:rsid w:val="00AD1108"/>
    <w:rsid w:val="00AD1AF7"/>
    <w:rsid w:val="00AD1B60"/>
    <w:rsid w:val="00AD42C2"/>
    <w:rsid w:val="00AD4982"/>
    <w:rsid w:val="00AE0BE9"/>
    <w:rsid w:val="00AE136C"/>
    <w:rsid w:val="00AE2D69"/>
    <w:rsid w:val="00AE373C"/>
    <w:rsid w:val="00AE6448"/>
    <w:rsid w:val="00AE7C00"/>
    <w:rsid w:val="00AF5ED5"/>
    <w:rsid w:val="00AF77B6"/>
    <w:rsid w:val="00AF78F0"/>
    <w:rsid w:val="00B00058"/>
    <w:rsid w:val="00B00BB5"/>
    <w:rsid w:val="00B06BE9"/>
    <w:rsid w:val="00B314F6"/>
    <w:rsid w:val="00B315E0"/>
    <w:rsid w:val="00B36B9C"/>
    <w:rsid w:val="00B40E50"/>
    <w:rsid w:val="00B4308B"/>
    <w:rsid w:val="00B4373F"/>
    <w:rsid w:val="00B4772F"/>
    <w:rsid w:val="00B536E6"/>
    <w:rsid w:val="00B60139"/>
    <w:rsid w:val="00B62EB5"/>
    <w:rsid w:val="00B64723"/>
    <w:rsid w:val="00B6717B"/>
    <w:rsid w:val="00B674D3"/>
    <w:rsid w:val="00B70A23"/>
    <w:rsid w:val="00B744F0"/>
    <w:rsid w:val="00B763BE"/>
    <w:rsid w:val="00B811C7"/>
    <w:rsid w:val="00B929B7"/>
    <w:rsid w:val="00B935BE"/>
    <w:rsid w:val="00B95CFA"/>
    <w:rsid w:val="00BB0DAC"/>
    <w:rsid w:val="00BB23A6"/>
    <w:rsid w:val="00BB43A2"/>
    <w:rsid w:val="00BB6470"/>
    <w:rsid w:val="00BC17C4"/>
    <w:rsid w:val="00BC1AFD"/>
    <w:rsid w:val="00BC366F"/>
    <w:rsid w:val="00BC5E95"/>
    <w:rsid w:val="00BD0611"/>
    <w:rsid w:val="00BD14EF"/>
    <w:rsid w:val="00BD4784"/>
    <w:rsid w:val="00BD5F97"/>
    <w:rsid w:val="00BE12CA"/>
    <w:rsid w:val="00BE2520"/>
    <w:rsid w:val="00BE3344"/>
    <w:rsid w:val="00BE6C4F"/>
    <w:rsid w:val="00BF1CF6"/>
    <w:rsid w:val="00BF268E"/>
    <w:rsid w:val="00BF3F47"/>
    <w:rsid w:val="00C042A6"/>
    <w:rsid w:val="00C045A1"/>
    <w:rsid w:val="00C111E7"/>
    <w:rsid w:val="00C11E9F"/>
    <w:rsid w:val="00C143BB"/>
    <w:rsid w:val="00C14CB8"/>
    <w:rsid w:val="00C16749"/>
    <w:rsid w:val="00C27798"/>
    <w:rsid w:val="00C27941"/>
    <w:rsid w:val="00C3130D"/>
    <w:rsid w:val="00C336A5"/>
    <w:rsid w:val="00C357EA"/>
    <w:rsid w:val="00C408E6"/>
    <w:rsid w:val="00C41CBE"/>
    <w:rsid w:val="00C442F2"/>
    <w:rsid w:val="00C50899"/>
    <w:rsid w:val="00C51650"/>
    <w:rsid w:val="00C55EA0"/>
    <w:rsid w:val="00C560E9"/>
    <w:rsid w:val="00C60178"/>
    <w:rsid w:val="00C62D2D"/>
    <w:rsid w:val="00C648D9"/>
    <w:rsid w:val="00C65F89"/>
    <w:rsid w:val="00C677BC"/>
    <w:rsid w:val="00C71463"/>
    <w:rsid w:val="00C717C8"/>
    <w:rsid w:val="00C7257F"/>
    <w:rsid w:val="00C81310"/>
    <w:rsid w:val="00C84191"/>
    <w:rsid w:val="00C85219"/>
    <w:rsid w:val="00C87785"/>
    <w:rsid w:val="00C92A82"/>
    <w:rsid w:val="00C94B89"/>
    <w:rsid w:val="00CA0FF0"/>
    <w:rsid w:val="00CA2A37"/>
    <w:rsid w:val="00CA65D8"/>
    <w:rsid w:val="00CB22EF"/>
    <w:rsid w:val="00CB436A"/>
    <w:rsid w:val="00CC00D0"/>
    <w:rsid w:val="00CC017A"/>
    <w:rsid w:val="00CC166A"/>
    <w:rsid w:val="00CC2394"/>
    <w:rsid w:val="00CC4ED1"/>
    <w:rsid w:val="00CD1DFA"/>
    <w:rsid w:val="00CE0B96"/>
    <w:rsid w:val="00CE49C0"/>
    <w:rsid w:val="00CF43CE"/>
    <w:rsid w:val="00CF592C"/>
    <w:rsid w:val="00CF79B5"/>
    <w:rsid w:val="00CF7E15"/>
    <w:rsid w:val="00D01101"/>
    <w:rsid w:val="00D03AB3"/>
    <w:rsid w:val="00D1082B"/>
    <w:rsid w:val="00D125E3"/>
    <w:rsid w:val="00D16E84"/>
    <w:rsid w:val="00D21E84"/>
    <w:rsid w:val="00D25D14"/>
    <w:rsid w:val="00D35B7A"/>
    <w:rsid w:val="00D41937"/>
    <w:rsid w:val="00D43B9D"/>
    <w:rsid w:val="00D45A84"/>
    <w:rsid w:val="00D45FFA"/>
    <w:rsid w:val="00D53F82"/>
    <w:rsid w:val="00D54C40"/>
    <w:rsid w:val="00D54D72"/>
    <w:rsid w:val="00D55925"/>
    <w:rsid w:val="00D638DE"/>
    <w:rsid w:val="00D64472"/>
    <w:rsid w:val="00D7256E"/>
    <w:rsid w:val="00D7518B"/>
    <w:rsid w:val="00D75935"/>
    <w:rsid w:val="00D94C20"/>
    <w:rsid w:val="00DA06BC"/>
    <w:rsid w:val="00DA29FB"/>
    <w:rsid w:val="00DA77FB"/>
    <w:rsid w:val="00DB2E99"/>
    <w:rsid w:val="00DB3162"/>
    <w:rsid w:val="00DB3FE2"/>
    <w:rsid w:val="00DB497F"/>
    <w:rsid w:val="00DC3956"/>
    <w:rsid w:val="00DC7AA1"/>
    <w:rsid w:val="00DD474C"/>
    <w:rsid w:val="00DD6C0C"/>
    <w:rsid w:val="00DD77F8"/>
    <w:rsid w:val="00DD7FC9"/>
    <w:rsid w:val="00DE7F83"/>
    <w:rsid w:val="00DF0876"/>
    <w:rsid w:val="00DF4B42"/>
    <w:rsid w:val="00E033B1"/>
    <w:rsid w:val="00E0410B"/>
    <w:rsid w:val="00E0515F"/>
    <w:rsid w:val="00E05DD5"/>
    <w:rsid w:val="00E10AA7"/>
    <w:rsid w:val="00E11184"/>
    <w:rsid w:val="00E179A6"/>
    <w:rsid w:val="00E209DB"/>
    <w:rsid w:val="00E228C9"/>
    <w:rsid w:val="00E22E87"/>
    <w:rsid w:val="00E25F21"/>
    <w:rsid w:val="00E26DC1"/>
    <w:rsid w:val="00E37F30"/>
    <w:rsid w:val="00E40763"/>
    <w:rsid w:val="00E42437"/>
    <w:rsid w:val="00E51BCC"/>
    <w:rsid w:val="00E565DF"/>
    <w:rsid w:val="00E57FBA"/>
    <w:rsid w:val="00E64F18"/>
    <w:rsid w:val="00E73C69"/>
    <w:rsid w:val="00E81BC6"/>
    <w:rsid w:val="00E8283C"/>
    <w:rsid w:val="00E83420"/>
    <w:rsid w:val="00E836B3"/>
    <w:rsid w:val="00EA0DDE"/>
    <w:rsid w:val="00EA6071"/>
    <w:rsid w:val="00EA7BEA"/>
    <w:rsid w:val="00EA7E50"/>
    <w:rsid w:val="00EB024F"/>
    <w:rsid w:val="00EB40C9"/>
    <w:rsid w:val="00EB4B86"/>
    <w:rsid w:val="00EB6705"/>
    <w:rsid w:val="00ED55BE"/>
    <w:rsid w:val="00ED5B51"/>
    <w:rsid w:val="00ED7C05"/>
    <w:rsid w:val="00ED7FFC"/>
    <w:rsid w:val="00EE1971"/>
    <w:rsid w:val="00EE42E2"/>
    <w:rsid w:val="00EF2BD3"/>
    <w:rsid w:val="00F00B99"/>
    <w:rsid w:val="00F0389F"/>
    <w:rsid w:val="00F105D1"/>
    <w:rsid w:val="00F10BD8"/>
    <w:rsid w:val="00F1510B"/>
    <w:rsid w:val="00F16427"/>
    <w:rsid w:val="00F170E2"/>
    <w:rsid w:val="00F17167"/>
    <w:rsid w:val="00F224DE"/>
    <w:rsid w:val="00F25289"/>
    <w:rsid w:val="00F252D8"/>
    <w:rsid w:val="00F2651F"/>
    <w:rsid w:val="00F32C9F"/>
    <w:rsid w:val="00F363E0"/>
    <w:rsid w:val="00F42A5D"/>
    <w:rsid w:val="00F57018"/>
    <w:rsid w:val="00F65820"/>
    <w:rsid w:val="00F65E08"/>
    <w:rsid w:val="00F70CBC"/>
    <w:rsid w:val="00F71499"/>
    <w:rsid w:val="00F7311A"/>
    <w:rsid w:val="00F746E0"/>
    <w:rsid w:val="00F7658E"/>
    <w:rsid w:val="00F81DD5"/>
    <w:rsid w:val="00F879E6"/>
    <w:rsid w:val="00FA49F1"/>
    <w:rsid w:val="00FA54BD"/>
    <w:rsid w:val="00FA6F43"/>
    <w:rsid w:val="00FA7CD1"/>
    <w:rsid w:val="00FB3D44"/>
    <w:rsid w:val="00FC7E4D"/>
    <w:rsid w:val="00FD294B"/>
    <w:rsid w:val="00FD386E"/>
    <w:rsid w:val="00FF1089"/>
    <w:rsid w:val="00FF1C88"/>
    <w:rsid w:val="00FF4477"/>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34A96FFE"/>
  <w15:chartTrackingRefBased/>
  <w15:docId w15:val="{D5AF91E8-D46D-46BA-A228-48BA964A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F3"/>
    <w:pPr>
      <w:spacing w:after="0" w:line="240" w:lineRule="auto"/>
    </w:pPr>
    <w:rPr>
      <w:sz w:val="24"/>
      <w:szCs w:val="24"/>
    </w:rPr>
  </w:style>
  <w:style w:type="paragraph" w:styleId="Heading1">
    <w:name w:val="heading 1"/>
    <w:basedOn w:val="Normal"/>
    <w:next w:val="Normal"/>
    <w:link w:val="Heading1Char"/>
    <w:uiPriority w:val="9"/>
    <w:qFormat/>
    <w:rsid w:val="00996BF3"/>
    <w:pPr>
      <w:keepNext/>
      <w:keepLines/>
      <w:numPr>
        <w:numId w:val="1"/>
      </w:numPr>
      <w:spacing w:line="360" w:lineRule="auto"/>
      <w:jc w:val="both"/>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996BF3"/>
    <w:pPr>
      <w:keepNext/>
      <w:keepLines/>
      <w:numPr>
        <w:numId w:val="2"/>
      </w:numPr>
      <w:spacing w:line="360" w:lineRule="auto"/>
      <w:outlineLvl w:val="1"/>
    </w:pPr>
    <w:rPr>
      <w:rFonts w:ascii="Arial" w:eastAsiaTheme="majorEastAsia" w:hAnsi="Arial" w:cs="Arial"/>
      <w:b/>
    </w:rPr>
  </w:style>
  <w:style w:type="paragraph" w:styleId="Heading3">
    <w:name w:val="heading 3"/>
    <w:basedOn w:val="ListParagraph"/>
    <w:next w:val="Normal"/>
    <w:link w:val="Heading3Char"/>
    <w:uiPriority w:val="9"/>
    <w:unhideWhenUsed/>
    <w:qFormat/>
    <w:rsid w:val="00996BF3"/>
    <w:pPr>
      <w:numPr>
        <w:numId w:val="3"/>
      </w:numPr>
      <w:tabs>
        <w:tab w:val="num" w:pos="360"/>
      </w:tabs>
      <w:spacing w:line="360" w:lineRule="auto"/>
      <w:ind w:firstLine="0"/>
      <w:outlineLvl w:val="2"/>
    </w:pPr>
    <w:rPr>
      <w:rFonts w:ascii="Arial" w:eastAsiaTheme="majorEastAsia"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BF3"/>
    <w:rPr>
      <w:rFonts w:ascii="Arial" w:eastAsiaTheme="majorEastAsia" w:hAnsi="Arial" w:cs="Arial"/>
      <w:b/>
      <w:bCs/>
      <w:sz w:val="24"/>
      <w:szCs w:val="24"/>
      <w:lang w:val="fr-FR"/>
    </w:rPr>
  </w:style>
  <w:style w:type="character" w:customStyle="1" w:styleId="Heading2Char">
    <w:name w:val="Heading 2 Char"/>
    <w:basedOn w:val="DefaultParagraphFont"/>
    <w:link w:val="Heading2"/>
    <w:uiPriority w:val="9"/>
    <w:rsid w:val="00996BF3"/>
    <w:rPr>
      <w:rFonts w:ascii="Arial" w:eastAsiaTheme="majorEastAsia" w:hAnsi="Arial" w:cs="Arial"/>
      <w:b/>
      <w:sz w:val="24"/>
      <w:szCs w:val="24"/>
    </w:rPr>
  </w:style>
  <w:style w:type="character" w:customStyle="1" w:styleId="Heading3Char">
    <w:name w:val="Heading 3 Char"/>
    <w:basedOn w:val="DefaultParagraphFont"/>
    <w:link w:val="Heading3"/>
    <w:uiPriority w:val="9"/>
    <w:rsid w:val="00996BF3"/>
    <w:rPr>
      <w:rFonts w:ascii="Arial" w:eastAsiaTheme="majorEastAsia" w:hAnsi="Arial" w:cs="Arial"/>
      <w:b/>
      <w:sz w:val="24"/>
      <w:szCs w:val="24"/>
    </w:rPr>
  </w:style>
  <w:style w:type="character" w:styleId="Hyperlink">
    <w:name w:val="Hyperlink"/>
    <w:basedOn w:val="DefaultParagraphFont"/>
    <w:uiPriority w:val="99"/>
    <w:unhideWhenUsed/>
    <w:rsid w:val="00996BF3"/>
    <w:rPr>
      <w:color w:val="0563C1" w:themeColor="hyperlink"/>
      <w:u w:val="single"/>
    </w:rPr>
  </w:style>
  <w:style w:type="paragraph" w:styleId="ListParagraph">
    <w:name w:val="List Paragraph"/>
    <w:aliases w:val="Párrafo de lista1,Colorful List - Accent 11"/>
    <w:basedOn w:val="Normal"/>
    <w:link w:val="ListParagraphChar"/>
    <w:uiPriority w:val="34"/>
    <w:qFormat/>
    <w:rsid w:val="00996BF3"/>
    <w:pPr>
      <w:ind w:left="720"/>
      <w:contextualSpacing/>
    </w:pPr>
  </w:style>
  <w:style w:type="paragraph" w:styleId="HTMLPreformatted">
    <w:name w:val="HTML Preformatted"/>
    <w:basedOn w:val="Normal"/>
    <w:link w:val="HTMLPreformattedChar"/>
    <w:uiPriority w:val="99"/>
    <w:semiHidden/>
    <w:unhideWhenUsed/>
    <w:rsid w:val="0099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96BF3"/>
    <w:rPr>
      <w:rFonts w:ascii="Courier New" w:eastAsia="Times New Roman" w:hAnsi="Courier New" w:cs="Courier New"/>
      <w:sz w:val="20"/>
      <w:szCs w:val="20"/>
      <w:lang w:val="fr-FR"/>
    </w:rPr>
  </w:style>
  <w:style w:type="paragraph" w:styleId="TOC1">
    <w:name w:val="toc 1"/>
    <w:basedOn w:val="Normal"/>
    <w:next w:val="Normal"/>
    <w:autoRedefine/>
    <w:uiPriority w:val="39"/>
    <w:unhideWhenUsed/>
    <w:rsid w:val="00996BF3"/>
    <w:pPr>
      <w:spacing w:after="100"/>
    </w:pPr>
  </w:style>
  <w:style w:type="paragraph" w:styleId="TOC2">
    <w:name w:val="toc 2"/>
    <w:basedOn w:val="Normal"/>
    <w:next w:val="Normal"/>
    <w:autoRedefine/>
    <w:uiPriority w:val="39"/>
    <w:unhideWhenUsed/>
    <w:rsid w:val="00996BF3"/>
    <w:pPr>
      <w:spacing w:after="100"/>
      <w:ind w:left="240"/>
    </w:pPr>
  </w:style>
  <w:style w:type="paragraph" w:styleId="TOC3">
    <w:name w:val="toc 3"/>
    <w:basedOn w:val="Normal"/>
    <w:next w:val="Normal"/>
    <w:autoRedefine/>
    <w:uiPriority w:val="39"/>
    <w:semiHidden/>
    <w:unhideWhenUsed/>
    <w:rsid w:val="00996BF3"/>
    <w:pPr>
      <w:spacing w:after="100"/>
      <w:ind w:left="480"/>
    </w:p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basedOn w:val="DefaultParagraphFont"/>
    <w:link w:val="FootnoteText"/>
    <w:uiPriority w:val="99"/>
    <w:locked/>
    <w:rsid w:val="00996BF3"/>
    <w:rPr>
      <w:sz w:val="20"/>
      <w:szCs w:val="20"/>
      <w:lang w:val="fr-FR"/>
    </w:rPr>
  </w:style>
  <w:style w:type="paragraph" w:styleId="FootnoteText">
    <w:name w:val="footnote text"/>
    <w:aliases w:val="Footnote Text Char Char Char Char Char,Footnote Text Char Char Char Char,Footnote reference,FA Fu,Footnote Text Char Char Char,Footnote Text Cha,FA Fußnotentext,FA Fuﬂnotentext,Footnote Text Char Char,FA Fu?notente,Ca,FA Fu?notentext"/>
    <w:basedOn w:val="Normal"/>
    <w:link w:val="FootnoteTextChar"/>
    <w:uiPriority w:val="99"/>
    <w:unhideWhenUsed/>
    <w:qFormat/>
    <w:rsid w:val="00996BF3"/>
    <w:rPr>
      <w:sz w:val="20"/>
      <w:szCs w:val="20"/>
    </w:rPr>
  </w:style>
  <w:style w:type="character" w:customStyle="1" w:styleId="FootnoteTextChar1">
    <w:name w:val="Footnote Text Char1"/>
    <w:basedOn w:val="DefaultParagraphFont"/>
    <w:uiPriority w:val="99"/>
    <w:semiHidden/>
    <w:rsid w:val="00996BF3"/>
    <w:rPr>
      <w:sz w:val="20"/>
      <w:szCs w:val="20"/>
    </w:rPr>
  </w:style>
  <w:style w:type="character" w:customStyle="1" w:styleId="NoSpacingChar">
    <w:name w:val="No Spacing Char"/>
    <w:basedOn w:val="DefaultParagraphFont"/>
    <w:link w:val="NoSpacing"/>
    <w:uiPriority w:val="1"/>
    <w:locked/>
    <w:rsid w:val="00996BF3"/>
  </w:style>
  <w:style w:type="paragraph" w:styleId="NoSpacing">
    <w:name w:val="No Spacing"/>
    <w:link w:val="NoSpacingChar"/>
    <w:uiPriority w:val="1"/>
    <w:qFormat/>
    <w:rsid w:val="00996BF3"/>
    <w:pPr>
      <w:spacing w:after="0" w:line="240" w:lineRule="auto"/>
    </w:pPr>
  </w:style>
  <w:style w:type="character" w:customStyle="1" w:styleId="ListParagraphChar">
    <w:name w:val="List Paragraph Char"/>
    <w:aliases w:val="Párrafo de lista1 Char,Colorful List - Accent 11 Char"/>
    <w:link w:val="ListParagraph"/>
    <w:uiPriority w:val="34"/>
    <w:locked/>
    <w:rsid w:val="00996BF3"/>
    <w:rPr>
      <w:sz w:val="24"/>
      <w:szCs w:val="24"/>
    </w:rPr>
  </w:style>
  <w:style w:type="character" w:styleId="FootnoteReference">
    <w:name w:val="footnote reference"/>
    <w:aliases w:val="4_G,Appel note de bas de page,Appel note de bas de page Char Char Char Char Char Char Char Char,Appel note de bas de page Char2 Char Char Char Char Char Char Char Char Char Char,Appel note de bas de page Char1"/>
    <w:basedOn w:val="DefaultParagraphFont"/>
    <w:link w:val="AppelnotedebasdepageCharCharCharCharCharCharChar"/>
    <w:uiPriority w:val="99"/>
    <w:unhideWhenUsed/>
    <w:qFormat/>
    <w:rsid w:val="00996BF3"/>
    <w:rPr>
      <w:vertAlign w:val="superscript"/>
    </w:rPr>
  </w:style>
  <w:style w:type="paragraph" w:customStyle="1" w:styleId="AppelnotedebasdepageCharCharCharCharCharCharChar">
    <w:name w:val="Appel note de bas de page Char Char Char Char Char Char Char"/>
    <w:aliases w:val="Appel note de bas de page Char2 Char Char Char Char Char Char Char Char Char,Footnote Reference Char,Appel note de ba...,Appel note de bas de page Char Char Char"/>
    <w:basedOn w:val="Normal"/>
    <w:link w:val="FootnoteReference"/>
    <w:uiPriority w:val="99"/>
    <w:rsid w:val="00996BF3"/>
    <w:pPr>
      <w:jc w:val="both"/>
    </w:pPr>
    <w:rPr>
      <w:sz w:val="22"/>
      <w:szCs w:val="22"/>
      <w:vertAlign w:val="superscript"/>
    </w:rPr>
  </w:style>
  <w:style w:type="character" w:customStyle="1" w:styleId="tlid-translation">
    <w:name w:val="tlid-translation"/>
    <w:basedOn w:val="DefaultParagraphFont"/>
    <w:rsid w:val="00996BF3"/>
  </w:style>
  <w:style w:type="paragraph" w:customStyle="1" w:styleId="Default">
    <w:name w:val="Default"/>
    <w:rsid w:val="00871B4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11A31"/>
    <w:rPr>
      <w:sz w:val="16"/>
      <w:szCs w:val="16"/>
    </w:rPr>
  </w:style>
  <w:style w:type="paragraph" w:styleId="CommentText">
    <w:name w:val="annotation text"/>
    <w:basedOn w:val="Normal"/>
    <w:link w:val="CommentTextChar"/>
    <w:uiPriority w:val="99"/>
    <w:semiHidden/>
    <w:unhideWhenUsed/>
    <w:rsid w:val="00911A31"/>
    <w:rPr>
      <w:sz w:val="20"/>
      <w:szCs w:val="20"/>
    </w:rPr>
  </w:style>
  <w:style w:type="character" w:customStyle="1" w:styleId="CommentTextChar">
    <w:name w:val="Comment Text Char"/>
    <w:basedOn w:val="DefaultParagraphFont"/>
    <w:link w:val="CommentText"/>
    <w:uiPriority w:val="99"/>
    <w:semiHidden/>
    <w:rsid w:val="00911A31"/>
    <w:rPr>
      <w:sz w:val="20"/>
      <w:szCs w:val="20"/>
    </w:rPr>
  </w:style>
  <w:style w:type="paragraph" w:styleId="CommentSubject">
    <w:name w:val="annotation subject"/>
    <w:basedOn w:val="CommentText"/>
    <w:next w:val="CommentText"/>
    <w:link w:val="CommentSubjectChar"/>
    <w:uiPriority w:val="99"/>
    <w:semiHidden/>
    <w:unhideWhenUsed/>
    <w:rsid w:val="00911A31"/>
    <w:rPr>
      <w:b/>
      <w:bCs/>
    </w:rPr>
  </w:style>
  <w:style w:type="character" w:customStyle="1" w:styleId="CommentSubjectChar">
    <w:name w:val="Comment Subject Char"/>
    <w:basedOn w:val="CommentTextChar"/>
    <w:link w:val="CommentSubject"/>
    <w:uiPriority w:val="99"/>
    <w:semiHidden/>
    <w:rsid w:val="00911A31"/>
    <w:rPr>
      <w:b/>
      <w:bCs/>
      <w:sz w:val="20"/>
      <w:szCs w:val="20"/>
    </w:rPr>
  </w:style>
  <w:style w:type="paragraph" w:styleId="BalloonText">
    <w:name w:val="Balloon Text"/>
    <w:basedOn w:val="Normal"/>
    <w:link w:val="BalloonTextChar"/>
    <w:uiPriority w:val="99"/>
    <w:semiHidden/>
    <w:unhideWhenUsed/>
    <w:rsid w:val="00911A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A31"/>
    <w:rPr>
      <w:rFonts w:ascii="Segoe UI" w:hAnsi="Segoe UI" w:cs="Segoe UI"/>
      <w:sz w:val="18"/>
      <w:szCs w:val="18"/>
    </w:rPr>
  </w:style>
  <w:style w:type="paragraph" w:styleId="Header">
    <w:name w:val="header"/>
    <w:basedOn w:val="Normal"/>
    <w:link w:val="HeaderChar"/>
    <w:uiPriority w:val="99"/>
    <w:unhideWhenUsed/>
    <w:rsid w:val="00104563"/>
    <w:pPr>
      <w:tabs>
        <w:tab w:val="center" w:pos="4536"/>
        <w:tab w:val="right" w:pos="9072"/>
      </w:tabs>
    </w:pPr>
  </w:style>
  <w:style w:type="character" w:customStyle="1" w:styleId="HeaderChar">
    <w:name w:val="Header Char"/>
    <w:basedOn w:val="DefaultParagraphFont"/>
    <w:link w:val="Header"/>
    <w:uiPriority w:val="99"/>
    <w:rsid w:val="00104563"/>
    <w:rPr>
      <w:sz w:val="24"/>
      <w:szCs w:val="24"/>
    </w:rPr>
  </w:style>
  <w:style w:type="paragraph" w:styleId="Footer">
    <w:name w:val="footer"/>
    <w:basedOn w:val="Normal"/>
    <w:link w:val="FooterChar"/>
    <w:uiPriority w:val="99"/>
    <w:unhideWhenUsed/>
    <w:rsid w:val="00104563"/>
    <w:pPr>
      <w:tabs>
        <w:tab w:val="center" w:pos="4536"/>
        <w:tab w:val="right" w:pos="9072"/>
      </w:tabs>
    </w:pPr>
  </w:style>
  <w:style w:type="character" w:customStyle="1" w:styleId="FooterChar">
    <w:name w:val="Footer Char"/>
    <w:basedOn w:val="DefaultParagraphFont"/>
    <w:link w:val="Footer"/>
    <w:uiPriority w:val="99"/>
    <w:rsid w:val="00104563"/>
    <w:rPr>
      <w:sz w:val="24"/>
      <w:szCs w:val="24"/>
    </w:rPr>
  </w:style>
  <w:style w:type="paragraph" w:customStyle="1" w:styleId="BodyC">
    <w:name w:val="Body C"/>
    <w:rsid w:val="00622BAB"/>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en-GB"/>
    </w:rPr>
  </w:style>
  <w:style w:type="character" w:styleId="LineNumber">
    <w:name w:val="line number"/>
    <w:basedOn w:val="DefaultParagraphFont"/>
    <w:uiPriority w:val="99"/>
    <w:semiHidden/>
    <w:unhideWhenUsed/>
    <w:rsid w:val="007B752B"/>
  </w:style>
  <w:style w:type="paragraph" w:styleId="Revision">
    <w:name w:val="Revision"/>
    <w:hidden/>
    <w:uiPriority w:val="99"/>
    <w:semiHidden/>
    <w:rsid w:val="00170A4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375089">
      <w:bodyDiv w:val="1"/>
      <w:marLeft w:val="0"/>
      <w:marRight w:val="0"/>
      <w:marTop w:val="0"/>
      <w:marBottom w:val="0"/>
      <w:divBdr>
        <w:top w:val="none" w:sz="0" w:space="0" w:color="auto"/>
        <w:left w:val="none" w:sz="0" w:space="0" w:color="auto"/>
        <w:bottom w:val="none" w:sz="0" w:space="0" w:color="auto"/>
        <w:right w:val="none" w:sz="0" w:space="0" w:color="auto"/>
      </w:divBdr>
    </w:div>
    <w:div w:id="1026174415">
      <w:bodyDiv w:val="1"/>
      <w:marLeft w:val="0"/>
      <w:marRight w:val="0"/>
      <w:marTop w:val="0"/>
      <w:marBottom w:val="0"/>
      <w:divBdr>
        <w:top w:val="none" w:sz="0" w:space="0" w:color="auto"/>
        <w:left w:val="none" w:sz="0" w:space="0" w:color="auto"/>
        <w:bottom w:val="none" w:sz="0" w:space="0" w:color="auto"/>
        <w:right w:val="none" w:sz="0" w:space="0" w:color="auto"/>
      </w:divBdr>
      <w:divsChild>
        <w:div w:id="766852789">
          <w:marLeft w:val="0"/>
          <w:marRight w:val="0"/>
          <w:marTop w:val="0"/>
          <w:marBottom w:val="0"/>
          <w:divBdr>
            <w:top w:val="single" w:sz="2" w:space="15" w:color="auto"/>
            <w:left w:val="single" w:sz="2" w:space="15" w:color="auto"/>
            <w:bottom w:val="single" w:sz="2" w:space="15" w:color="auto"/>
            <w:right w:val="single" w:sz="2" w:space="15" w:color="auto"/>
          </w:divBdr>
        </w:div>
      </w:divsChild>
    </w:div>
    <w:div w:id="1046292369">
      <w:bodyDiv w:val="1"/>
      <w:marLeft w:val="0"/>
      <w:marRight w:val="0"/>
      <w:marTop w:val="0"/>
      <w:marBottom w:val="0"/>
      <w:divBdr>
        <w:top w:val="none" w:sz="0" w:space="0" w:color="auto"/>
        <w:left w:val="none" w:sz="0" w:space="0" w:color="auto"/>
        <w:bottom w:val="none" w:sz="0" w:space="0" w:color="auto"/>
        <w:right w:val="none" w:sz="0" w:space="0" w:color="auto"/>
      </w:divBdr>
    </w:div>
    <w:div w:id="111321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9EBF24FF7984781B7427C980835C8" ma:contentTypeVersion="14" ma:contentTypeDescription="Een nieuw document maken." ma:contentTypeScope="" ma:versionID="b537d974651c252a5454b95a336efa70">
  <xsd:schema xmlns:xsd="http://www.w3.org/2001/XMLSchema" xmlns:xs="http://www.w3.org/2001/XMLSchema" xmlns:p="http://schemas.microsoft.com/office/2006/metadata/properties" xmlns:ns3="7b308179-90de-49b9-be99-867e8915f3fe" xmlns:ns4="91f398d7-a5a0-4c8c-bd0c-245a25df5e0c" targetNamespace="http://schemas.microsoft.com/office/2006/metadata/properties" ma:root="true" ma:fieldsID="8f65c48faf7c38a038aabaa99b82fa9a" ns3:_="" ns4:_="">
    <xsd:import namespace="7b308179-90de-49b9-be99-867e8915f3fe"/>
    <xsd:import namespace="91f398d7-a5a0-4c8c-bd0c-245a25df5e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08179-90de-49b9-be99-867e8915f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f398d7-a5a0-4c8c-bd0c-245a25df5e0c"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4BDCE-673D-4524-9B12-87F277A06699}">
  <ds:schemaRefs>
    <ds:schemaRef ds:uri="http://schemas.microsoft.com/sharepoint/v3/contenttype/forms"/>
  </ds:schemaRefs>
</ds:datastoreItem>
</file>

<file path=customXml/itemProps2.xml><?xml version="1.0" encoding="utf-8"?>
<ds:datastoreItem xmlns:ds="http://schemas.openxmlformats.org/officeDocument/2006/customXml" ds:itemID="{B65B04D4-4365-4C8D-94BF-D6739C4C91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18B342-0612-450D-B102-266ABA0B5036}">
  <ds:schemaRefs>
    <ds:schemaRef ds:uri="http://schemas.openxmlformats.org/officeDocument/2006/bibliography"/>
  </ds:schemaRefs>
</ds:datastoreItem>
</file>

<file path=customXml/itemProps4.xml><?xml version="1.0" encoding="utf-8"?>
<ds:datastoreItem xmlns:ds="http://schemas.openxmlformats.org/officeDocument/2006/customXml" ds:itemID="{C8DDEB43-1FF7-43EC-8C7C-6DAB37D90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08179-90de-49b9-be99-867e8915f3fe"/>
    <ds:schemaRef ds:uri="91f398d7-a5a0-4c8c-bd0c-245a25df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5388</Words>
  <Characters>30713</Characters>
  <Application>Microsoft Office Word</Application>
  <DocSecurity>0</DocSecurity>
  <Lines>255</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Kahuthia Murimi</dc:creator>
  <cp:keywords/>
  <dc:description/>
  <cp:lastModifiedBy>sathish mohan</cp:lastModifiedBy>
  <cp:revision>11</cp:revision>
  <cp:lastPrinted>2022-11-13T11:16:00Z</cp:lastPrinted>
  <dcterms:created xsi:type="dcterms:W3CDTF">2022-12-03T12:32:00Z</dcterms:created>
  <dcterms:modified xsi:type="dcterms:W3CDTF">2025-06-26T17:58:00Z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0x010100AB29EBF24FF7984781B7427C980835C8</vt:lpwstr>
  </property>
  <property fmtid="{D5CDD505-2E9C-101B-9397-08002B2CF9AE}" pid="3" name="GrammarlyDocumentId">
    <vt:lpwstr>265943776f37c4ab05331337657711ff3c6f4c6b97b8745dcd105de1a2ba1f37</vt:lpwstr>
  </property>
</Properties>
</file>