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174"/>
        <w:gridCol w:w="2167"/>
        <w:gridCol w:w="3164"/>
      </w:tblGrid>
      <w:tr w:rsidR="00F414DC" w:rsidRPr="001D4D9A" w14:paraId="4217D418" w14:textId="77777777" w:rsidTr="004F7A34">
        <w:trPr>
          <w:cantSplit/>
          <w:trHeight w:val="1340"/>
        </w:trPr>
        <w:tc>
          <w:tcPr>
            <w:tcW w:w="3174" w:type="dxa"/>
            <w:tcBorders>
              <w:top w:val="single" w:sz="4" w:space="0" w:color="auto"/>
              <w:left w:val="single" w:sz="4" w:space="0" w:color="auto"/>
              <w:bottom w:val="single" w:sz="4" w:space="0" w:color="auto"/>
              <w:right w:val="single" w:sz="4" w:space="0" w:color="auto"/>
            </w:tcBorders>
          </w:tcPr>
          <w:p w14:paraId="45809671" w14:textId="77777777" w:rsidR="00F414DC" w:rsidRPr="00D01944" w:rsidRDefault="00F414DC" w:rsidP="009E2D2E">
            <w:pPr>
              <w:rPr>
                <w:rFonts w:ascii="Arial" w:hAnsi="Arial" w:cs="Arial"/>
                <w:b/>
                <w:bCs/>
              </w:rPr>
            </w:pPr>
            <w:r w:rsidRPr="00D01944">
              <w:br w:type="page"/>
            </w:r>
            <w:r w:rsidRPr="00D01944">
              <w:br w:type="page"/>
            </w:r>
            <w:r w:rsidRPr="00D01944">
              <w:br w:type="page"/>
            </w:r>
          </w:p>
          <w:p w14:paraId="711834AE" w14:textId="77777777" w:rsidR="00F414DC" w:rsidRPr="00D01944" w:rsidRDefault="00F414DC" w:rsidP="009E2D2E">
            <w:pPr>
              <w:rPr>
                <w:rFonts w:ascii="Arial" w:hAnsi="Arial" w:cs="Arial"/>
                <w:b/>
                <w:bCs/>
              </w:rPr>
            </w:pPr>
            <w:r w:rsidRPr="00D01944">
              <w:rPr>
                <w:rFonts w:ascii="Arial" w:hAnsi="Arial"/>
                <w:b/>
              </w:rPr>
              <w:t>AFRICAN UNION</w:t>
            </w:r>
          </w:p>
        </w:tc>
        <w:tc>
          <w:tcPr>
            <w:tcW w:w="2167" w:type="dxa"/>
            <w:vMerge w:val="restart"/>
            <w:tcBorders>
              <w:top w:val="single" w:sz="4" w:space="0" w:color="auto"/>
              <w:left w:val="single" w:sz="4" w:space="0" w:color="auto"/>
              <w:bottom w:val="single" w:sz="4" w:space="0" w:color="auto"/>
              <w:right w:val="single" w:sz="4" w:space="0" w:color="auto"/>
            </w:tcBorders>
          </w:tcPr>
          <w:p w14:paraId="48A9E9ED" w14:textId="77777777" w:rsidR="00F414DC" w:rsidRPr="00D01944" w:rsidRDefault="00F414DC" w:rsidP="009E2D2E">
            <w:pPr>
              <w:rPr>
                <w:rFonts w:ascii="Arial" w:hAnsi="Arial" w:cs="Arial"/>
              </w:rPr>
            </w:pPr>
          </w:p>
          <w:p w14:paraId="39800689" w14:textId="77777777" w:rsidR="00F414DC" w:rsidRPr="00D01944" w:rsidRDefault="00F414DC" w:rsidP="009E2D2E">
            <w:pPr>
              <w:rPr>
                <w:rFonts w:ascii="Arial" w:hAnsi="Arial" w:cs="Arial"/>
              </w:rPr>
            </w:pPr>
            <w:r w:rsidRPr="00D01944">
              <w:rPr>
                <w:rFonts w:ascii="Arial" w:hAnsi="Arial"/>
                <w:noProof/>
                <w:lang w:eastAsia="fr-FR"/>
              </w:rPr>
              <w:drawing>
                <wp:anchor distT="0" distB="0" distL="114300" distR="114300" simplePos="0" relativeHeight="251659264" behindDoc="1" locked="0" layoutInCell="1" allowOverlap="1" wp14:anchorId="641C981A" wp14:editId="38040FDD">
                  <wp:simplePos x="0" y="0"/>
                  <wp:positionH relativeFrom="column">
                    <wp:posOffset>182880</wp:posOffset>
                  </wp:positionH>
                  <wp:positionV relativeFrom="paragraph">
                    <wp:posOffset>38100</wp:posOffset>
                  </wp:positionV>
                  <wp:extent cx="933450" cy="914400"/>
                  <wp:effectExtent l="0" t="0" r="0" b="0"/>
                  <wp:wrapNone/>
                  <wp:docPr id="13" name="Picture 13" descr="AU Cou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U Cour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4" w:type="dxa"/>
            <w:tcBorders>
              <w:top w:val="single" w:sz="4" w:space="0" w:color="auto"/>
              <w:left w:val="single" w:sz="4" w:space="0" w:color="auto"/>
              <w:bottom w:val="single" w:sz="4" w:space="0" w:color="auto"/>
              <w:right w:val="single" w:sz="4" w:space="0" w:color="auto"/>
            </w:tcBorders>
          </w:tcPr>
          <w:p w14:paraId="7F877CA6" w14:textId="77777777" w:rsidR="00F414DC" w:rsidRPr="00D01944" w:rsidRDefault="00F414DC" w:rsidP="009E2D2E">
            <w:pPr>
              <w:rPr>
                <w:rFonts w:ascii="Arial" w:hAnsi="Arial" w:cs="Arial"/>
                <w:b/>
                <w:bCs/>
              </w:rPr>
            </w:pPr>
          </w:p>
          <w:p w14:paraId="0BC5E611" w14:textId="77777777" w:rsidR="00F414DC" w:rsidRPr="00D01944" w:rsidRDefault="00F414DC" w:rsidP="009E2D2E">
            <w:pPr>
              <w:rPr>
                <w:rFonts w:ascii="Arial" w:hAnsi="Arial" w:cs="Arial"/>
                <w:b/>
                <w:bCs/>
              </w:rPr>
            </w:pPr>
            <w:r w:rsidRPr="00D01944">
              <w:rPr>
                <w:rFonts w:ascii="Arial" w:hAnsi="Arial"/>
                <w:b/>
              </w:rPr>
              <w:t>UNION AFRICAINE</w:t>
            </w:r>
          </w:p>
        </w:tc>
      </w:tr>
      <w:tr w:rsidR="00F414DC" w:rsidRPr="001D4D9A" w14:paraId="09487691" w14:textId="77777777" w:rsidTr="004F7A34">
        <w:trPr>
          <w:cantSplit/>
          <w:trHeight w:val="1061"/>
        </w:trPr>
        <w:tc>
          <w:tcPr>
            <w:tcW w:w="3174" w:type="dxa"/>
            <w:tcBorders>
              <w:top w:val="single" w:sz="4" w:space="0" w:color="auto"/>
              <w:left w:val="single" w:sz="4" w:space="0" w:color="auto"/>
              <w:bottom w:val="single" w:sz="4" w:space="0" w:color="auto"/>
              <w:right w:val="single" w:sz="4" w:space="0" w:color="auto"/>
            </w:tcBorders>
            <w:hideMark/>
          </w:tcPr>
          <w:p w14:paraId="27308638" w14:textId="024538FA" w:rsidR="00F414DC" w:rsidRPr="00D01944" w:rsidRDefault="00F414DC" w:rsidP="009E2D2E">
            <w:pPr>
              <w:rPr>
                <w:rFonts w:ascii="Arial" w:hAnsi="Arial" w:cs="Arial"/>
              </w:rPr>
            </w:pPr>
            <w:r w:rsidRPr="00D01944">
              <w:rPr>
                <w:rFonts w:ascii="Arial" w:hAnsi="Arial"/>
                <w:noProof/>
                <w:lang w:eastAsia="fr-FR"/>
              </w:rPr>
              <w:drawing>
                <wp:anchor distT="0" distB="0" distL="114300" distR="114300" simplePos="0" relativeHeight="251660288" behindDoc="1" locked="0" layoutInCell="1" allowOverlap="1" wp14:anchorId="53FA544B" wp14:editId="57C38153">
                  <wp:simplePos x="0" y="0"/>
                  <wp:positionH relativeFrom="column">
                    <wp:posOffset>296545</wp:posOffset>
                  </wp:positionH>
                  <wp:positionV relativeFrom="paragraph">
                    <wp:posOffset>121920</wp:posOffset>
                  </wp:positionV>
                  <wp:extent cx="1196340" cy="358140"/>
                  <wp:effectExtent l="0" t="0" r="381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6340" cy="358140"/>
                          </a:xfrm>
                          <a:prstGeom prst="rect">
                            <a:avLst/>
                          </a:prstGeom>
                          <a:noFill/>
                        </pic:spPr>
                      </pic:pic>
                    </a:graphicData>
                  </a:graphic>
                  <wp14:sizeRelH relativeFrom="page">
                    <wp14:pctWidth>0</wp14:pctWidth>
                  </wp14:sizeRelH>
                  <wp14:sizeRelV relativeFrom="page">
                    <wp14:pctHeight>0</wp14:pctHeight>
                  </wp14:sizeRelV>
                </wp:anchor>
              </w:drawing>
            </w:r>
          </w:p>
        </w:tc>
        <w:tc>
          <w:tcPr>
            <w:tcW w:w="2167" w:type="dxa"/>
            <w:vMerge/>
            <w:tcBorders>
              <w:top w:val="single" w:sz="4" w:space="0" w:color="auto"/>
              <w:left w:val="single" w:sz="4" w:space="0" w:color="auto"/>
              <w:bottom w:val="single" w:sz="4" w:space="0" w:color="auto"/>
              <w:right w:val="single" w:sz="4" w:space="0" w:color="auto"/>
            </w:tcBorders>
            <w:vAlign w:val="center"/>
            <w:hideMark/>
          </w:tcPr>
          <w:p w14:paraId="0B99E298" w14:textId="77777777" w:rsidR="00F414DC" w:rsidRPr="00D01944" w:rsidRDefault="00F414DC" w:rsidP="009E2D2E">
            <w:pPr>
              <w:rPr>
                <w:rFonts w:ascii="Arial" w:hAnsi="Arial" w:cs="Arial"/>
              </w:rPr>
            </w:pPr>
          </w:p>
        </w:tc>
        <w:tc>
          <w:tcPr>
            <w:tcW w:w="3164" w:type="dxa"/>
            <w:tcBorders>
              <w:top w:val="single" w:sz="4" w:space="0" w:color="auto"/>
              <w:left w:val="single" w:sz="4" w:space="0" w:color="auto"/>
              <w:bottom w:val="single" w:sz="4" w:space="0" w:color="auto"/>
              <w:right w:val="single" w:sz="4" w:space="0" w:color="auto"/>
            </w:tcBorders>
          </w:tcPr>
          <w:p w14:paraId="2996A94D" w14:textId="77777777" w:rsidR="00F414DC" w:rsidRPr="00D01944" w:rsidRDefault="00F414DC" w:rsidP="009E2D2E">
            <w:pPr>
              <w:rPr>
                <w:rFonts w:ascii="Arial" w:hAnsi="Arial" w:cs="Arial"/>
                <w:b/>
                <w:bCs/>
              </w:rPr>
            </w:pPr>
          </w:p>
          <w:p w14:paraId="13E9BEC6" w14:textId="77777777" w:rsidR="00F414DC" w:rsidRPr="00D01944" w:rsidRDefault="00F414DC" w:rsidP="009E2D2E">
            <w:pPr>
              <w:rPr>
                <w:rFonts w:ascii="Arial" w:hAnsi="Arial" w:cs="Arial"/>
                <w:b/>
                <w:bCs/>
              </w:rPr>
            </w:pPr>
            <w:r w:rsidRPr="00D01944">
              <w:rPr>
                <w:rFonts w:ascii="Arial" w:hAnsi="Arial"/>
                <w:b/>
              </w:rPr>
              <w:t>UNIÃO AFRICANA</w:t>
            </w:r>
          </w:p>
        </w:tc>
      </w:tr>
      <w:tr w:rsidR="00F414DC" w:rsidRPr="001D4D9A" w14:paraId="7BCC3510" w14:textId="77777777" w:rsidTr="004F7A34">
        <w:trPr>
          <w:cantSplit/>
          <w:trHeight w:val="818"/>
        </w:trPr>
        <w:tc>
          <w:tcPr>
            <w:tcW w:w="8505" w:type="dxa"/>
            <w:gridSpan w:val="3"/>
            <w:tcBorders>
              <w:top w:val="single" w:sz="4" w:space="0" w:color="auto"/>
              <w:left w:val="single" w:sz="4" w:space="0" w:color="auto"/>
              <w:bottom w:val="single" w:sz="4" w:space="0" w:color="auto"/>
              <w:right w:val="single" w:sz="4" w:space="0" w:color="auto"/>
            </w:tcBorders>
            <w:vAlign w:val="center"/>
            <w:hideMark/>
          </w:tcPr>
          <w:p w14:paraId="3BF95AD7" w14:textId="39272EB3" w:rsidR="00F414DC" w:rsidRPr="001D4D9A" w:rsidRDefault="00F414DC" w:rsidP="009E2D2E">
            <w:pPr>
              <w:rPr>
                <w:rFonts w:ascii="Arial" w:hAnsi="Arial" w:cs="Arial"/>
                <w:b/>
                <w:lang w:val="en-US"/>
              </w:rPr>
            </w:pPr>
            <w:r w:rsidRPr="001D4D9A">
              <w:rPr>
                <w:rFonts w:ascii="Arial" w:hAnsi="Arial"/>
                <w:b/>
                <w:lang w:val="en-US"/>
              </w:rPr>
              <w:t>AFRICAN COURT ON HUMAN AND PEOPLES</w:t>
            </w:r>
            <w:r w:rsidR="0009028A">
              <w:rPr>
                <w:rFonts w:ascii="Arial" w:hAnsi="Arial"/>
                <w:b/>
                <w:lang w:val="en-US"/>
              </w:rPr>
              <w:t>’</w:t>
            </w:r>
            <w:r w:rsidRPr="001D4D9A">
              <w:rPr>
                <w:rFonts w:ascii="Arial" w:hAnsi="Arial"/>
                <w:b/>
                <w:lang w:val="en-US"/>
              </w:rPr>
              <w:t xml:space="preserve"> RIGHTS</w:t>
            </w:r>
          </w:p>
          <w:p w14:paraId="681EAC7D" w14:textId="77BF5403" w:rsidR="00F414DC" w:rsidRPr="001D4D9A" w:rsidRDefault="00F414DC" w:rsidP="009E2D2E">
            <w:pPr>
              <w:rPr>
                <w:rFonts w:ascii="Arial" w:hAnsi="Arial" w:cs="Arial"/>
                <w:b/>
              </w:rPr>
            </w:pPr>
            <w:r w:rsidRPr="001D4D9A">
              <w:rPr>
                <w:rFonts w:ascii="Arial" w:hAnsi="Arial"/>
                <w:b/>
              </w:rPr>
              <w:t>COUR AFRICAINE DES DROITS DE L</w:t>
            </w:r>
            <w:r w:rsidR="0009028A">
              <w:rPr>
                <w:rFonts w:ascii="Arial" w:hAnsi="Arial"/>
                <w:b/>
              </w:rPr>
              <w:t>’</w:t>
            </w:r>
            <w:r w:rsidRPr="001D4D9A">
              <w:rPr>
                <w:rFonts w:ascii="Arial" w:hAnsi="Arial"/>
                <w:b/>
              </w:rPr>
              <w:t>HOMME ET DES PEUPLES</w:t>
            </w:r>
          </w:p>
        </w:tc>
      </w:tr>
    </w:tbl>
    <w:p w14:paraId="3E88DF50" w14:textId="77777777" w:rsidR="0060770F" w:rsidRDefault="0060770F" w:rsidP="009E2D2E">
      <w:pPr>
        <w:rPr>
          <w:rFonts w:ascii="Arial" w:hAnsi="Arial" w:cs="Arial"/>
          <w:b/>
          <w:color w:val="000000" w:themeColor="text1"/>
        </w:rPr>
      </w:pPr>
    </w:p>
    <w:p w14:paraId="23EBD436" w14:textId="77777777" w:rsidR="0060770F" w:rsidRDefault="0060770F" w:rsidP="009E2D2E">
      <w:pPr>
        <w:rPr>
          <w:rFonts w:ascii="Arial" w:hAnsi="Arial" w:cs="Arial"/>
          <w:b/>
          <w:bCs/>
          <w:sz w:val="32"/>
          <w:szCs w:val="32"/>
          <w:lang w:bidi="ar-EG"/>
        </w:rPr>
      </w:pPr>
    </w:p>
    <w:p w14:paraId="2938CE6C" w14:textId="77777777" w:rsidR="0060770F" w:rsidRPr="00205E25" w:rsidRDefault="00E278A9" w:rsidP="009E2D2E">
      <w:pPr>
        <w:rPr>
          <w:rFonts w:ascii="Arial" w:hAnsi="Arial" w:cs="Arial"/>
          <w:b/>
          <w:sz w:val="26"/>
          <w:szCs w:val="26"/>
          <w:rtl/>
        </w:rPr>
      </w:pPr>
      <w:r w:rsidRPr="00205E25">
        <w:rPr>
          <w:rFonts w:ascii="Arial" w:hAnsi="Arial" w:cs="Arial"/>
          <w:b/>
          <w:sz w:val="26"/>
        </w:rPr>
        <w:t>AFFAIRE</w:t>
      </w:r>
    </w:p>
    <w:p w14:paraId="0353BE8F" w14:textId="77777777" w:rsidR="0060770F" w:rsidRPr="00205E25" w:rsidRDefault="0060770F" w:rsidP="009E2D2E">
      <w:pPr>
        <w:rPr>
          <w:rFonts w:ascii="Arial" w:hAnsi="Arial" w:cs="Arial"/>
          <w:b/>
          <w:sz w:val="26"/>
          <w:szCs w:val="26"/>
        </w:rPr>
      </w:pPr>
    </w:p>
    <w:p w14:paraId="3EC225B4" w14:textId="77777777" w:rsidR="0060770F" w:rsidRPr="00205E25" w:rsidRDefault="0060770F" w:rsidP="009E2D2E">
      <w:pPr>
        <w:rPr>
          <w:rFonts w:ascii="Arial" w:hAnsi="Arial" w:cs="Arial"/>
          <w:b/>
          <w:sz w:val="26"/>
          <w:szCs w:val="26"/>
        </w:rPr>
      </w:pPr>
    </w:p>
    <w:p w14:paraId="392D353F" w14:textId="77777777" w:rsidR="0060770F" w:rsidRPr="00205E25" w:rsidRDefault="0060770F" w:rsidP="009E2D2E">
      <w:pPr>
        <w:rPr>
          <w:rFonts w:ascii="Arial" w:hAnsi="Arial" w:cs="Arial"/>
          <w:b/>
          <w:sz w:val="26"/>
          <w:szCs w:val="26"/>
        </w:rPr>
      </w:pPr>
    </w:p>
    <w:p w14:paraId="16608DFA" w14:textId="77777777" w:rsidR="0060770F" w:rsidRPr="00205E25" w:rsidRDefault="00E278A9" w:rsidP="009E2D2E">
      <w:pPr>
        <w:rPr>
          <w:rFonts w:ascii="Arial" w:hAnsi="Arial" w:cs="Arial"/>
          <w:b/>
          <w:bCs/>
          <w:sz w:val="26"/>
          <w:szCs w:val="26"/>
          <w:rtl/>
        </w:rPr>
      </w:pPr>
      <w:bookmarkStart w:id="0" w:name="_Hlk118104674"/>
      <w:r w:rsidRPr="00205E25">
        <w:rPr>
          <w:rFonts w:ascii="Arial" w:hAnsi="Arial" w:cs="Arial"/>
          <w:b/>
          <w:sz w:val="26"/>
        </w:rPr>
        <w:t>MAMADOU DABO ET AUTRES</w:t>
      </w:r>
      <w:bookmarkEnd w:id="0"/>
    </w:p>
    <w:p w14:paraId="11336C5E" w14:textId="77777777" w:rsidR="0060770F" w:rsidRPr="00205E25" w:rsidRDefault="0060770F" w:rsidP="009E2D2E">
      <w:pPr>
        <w:rPr>
          <w:rFonts w:ascii="Arial" w:hAnsi="Arial" w:cs="Arial"/>
          <w:b/>
          <w:sz w:val="26"/>
          <w:szCs w:val="26"/>
        </w:rPr>
      </w:pPr>
    </w:p>
    <w:p w14:paraId="7CD0FCA1" w14:textId="77777777" w:rsidR="0060770F" w:rsidRPr="00205E25" w:rsidRDefault="00E278A9" w:rsidP="009E2D2E">
      <w:pPr>
        <w:rPr>
          <w:rFonts w:ascii="Arial" w:hAnsi="Arial" w:cs="Arial"/>
          <w:b/>
          <w:sz w:val="26"/>
          <w:szCs w:val="26"/>
        </w:rPr>
      </w:pPr>
      <w:r w:rsidRPr="00205E25">
        <w:rPr>
          <w:rFonts w:ascii="Arial" w:hAnsi="Arial" w:cs="Arial"/>
          <w:b/>
          <w:sz w:val="26"/>
        </w:rPr>
        <w:t>C.</w:t>
      </w:r>
    </w:p>
    <w:p w14:paraId="7878AC50" w14:textId="77777777" w:rsidR="0060770F" w:rsidRPr="00205E25" w:rsidRDefault="0060770F" w:rsidP="009E2D2E">
      <w:pPr>
        <w:rPr>
          <w:rFonts w:ascii="Arial" w:hAnsi="Arial" w:cs="Arial"/>
          <w:b/>
          <w:bCs/>
          <w:sz w:val="26"/>
          <w:szCs w:val="26"/>
          <w:lang w:bidi="ar-EG"/>
        </w:rPr>
      </w:pPr>
    </w:p>
    <w:p w14:paraId="487774C5" w14:textId="77777777" w:rsidR="0060770F" w:rsidRPr="00205E25" w:rsidRDefault="00E278A9" w:rsidP="009E2D2E">
      <w:pPr>
        <w:rPr>
          <w:rFonts w:ascii="Arial" w:hAnsi="Arial" w:cs="Arial"/>
          <w:b/>
          <w:sz w:val="26"/>
          <w:szCs w:val="26"/>
        </w:rPr>
      </w:pPr>
      <w:r w:rsidRPr="00205E25">
        <w:rPr>
          <w:rFonts w:ascii="Arial" w:hAnsi="Arial" w:cs="Arial"/>
          <w:b/>
          <w:sz w:val="26"/>
        </w:rPr>
        <w:t>RÉPUBLIQUE DU MALI</w:t>
      </w:r>
    </w:p>
    <w:p w14:paraId="29C77F36" w14:textId="77777777" w:rsidR="0060770F" w:rsidRPr="00205E25" w:rsidRDefault="0060770F" w:rsidP="009E2D2E">
      <w:pPr>
        <w:rPr>
          <w:rFonts w:ascii="Arial" w:hAnsi="Arial" w:cs="Arial"/>
          <w:b/>
          <w:sz w:val="26"/>
          <w:szCs w:val="26"/>
        </w:rPr>
      </w:pPr>
    </w:p>
    <w:p w14:paraId="656805B2" w14:textId="77777777" w:rsidR="0060770F" w:rsidRPr="00205E25" w:rsidRDefault="0060770F" w:rsidP="009E2D2E">
      <w:pPr>
        <w:rPr>
          <w:rFonts w:ascii="Arial" w:hAnsi="Arial" w:cs="Arial"/>
          <w:b/>
          <w:bCs/>
          <w:sz w:val="26"/>
          <w:szCs w:val="26"/>
          <w:rtl/>
          <w:lang w:bidi="ar-EG"/>
        </w:rPr>
      </w:pPr>
    </w:p>
    <w:p w14:paraId="62AF57A7" w14:textId="77777777" w:rsidR="0060770F" w:rsidRPr="00205E25" w:rsidRDefault="00E278A9" w:rsidP="009E2D2E">
      <w:pPr>
        <w:rPr>
          <w:rFonts w:ascii="Arial" w:hAnsi="Arial" w:cs="Arial"/>
          <w:b/>
          <w:sz w:val="26"/>
          <w:szCs w:val="26"/>
          <w:rtl/>
        </w:rPr>
      </w:pPr>
      <w:r w:rsidRPr="00205E25">
        <w:rPr>
          <w:rFonts w:ascii="Arial" w:hAnsi="Arial" w:cs="Arial"/>
          <w:b/>
          <w:sz w:val="26"/>
        </w:rPr>
        <w:t>REQUÊTE N° 027/2017</w:t>
      </w:r>
    </w:p>
    <w:p w14:paraId="7BC28146" w14:textId="77777777" w:rsidR="0060770F" w:rsidRPr="00205E25" w:rsidRDefault="0060770F" w:rsidP="009E2D2E">
      <w:pPr>
        <w:rPr>
          <w:rFonts w:ascii="Arial" w:hAnsi="Arial" w:cs="Arial"/>
          <w:b/>
          <w:sz w:val="26"/>
          <w:szCs w:val="26"/>
        </w:rPr>
      </w:pPr>
    </w:p>
    <w:p w14:paraId="6FE651F0" w14:textId="77777777" w:rsidR="0060770F" w:rsidRPr="00205E25" w:rsidRDefault="0060770F" w:rsidP="009E2D2E">
      <w:pPr>
        <w:rPr>
          <w:rFonts w:ascii="Arial" w:hAnsi="Arial" w:cs="Arial"/>
          <w:b/>
          <w:sz w:val="26"/>
          <w:szCs w:val="26"/>
        </w:rPr>
      </w:pPr>
    </w:p>
    <w:p w14:paraId="71E25999" w14:textId="77777777" w:rsidR="0060770F" w:rsidRPr="00205E25" w:rsidRDefault="00E278A9" w:rsidP="009E2D2E">
      <w:pPr>
        <w:rPr>
          <w:rFonts w:ascii="Arial" w:hAnsi="Arial" w:cs="Arial"/>
          <w:b/>
          <w:bCs/>
          <w:sz w:val="26"/>
          <w:szCs w:val="26"/>
          <w:rtl/>
        </w:rPr>
      </w:pPr>
      <w:r w:rsidRPr="00205E25">
        <w:rPr>
          <w:rFonts w:ascii="Arial" w:hAnsi="Arial" w:cs="Arial"/>
          <w:b/>
          <w:sz w:val="26"/>
        </w:rPr>
        <w:t>ARRÊT</w:t>
      </w:r>
    </w:p>
    <w:p w14:paraId="139434B3" w14:textId="77777777" w:rsidR="0060770F" w:rsidRPr="00205E25" w:rsidRDefault="0060770F" w:rsidP="009E2D2E">
      <w:pPr>
        <w:rPr>
          <w:rFonts w:ascii="Arial" w:hAnsi="Arial" w:cs="Arial"/>
          <w:b/>
          <w:bCs/>
          <w:sz w:val="26"/>
          <w:szCs w:val="26"/>
          <w:rtl/>
          <w:lang w:bidi="ar-EG"/>
        </w:rPr>
      </w:pPr>
    </w:p>
    <w:p w14:paraId="37B68315" w14:textId="77777777" w:rsidR="0060770F" w:rsidRPr="00205E25" w:rsidRDefault="00E278A9" w:rsidP="009E2D2E">
      <w:pPr>
        <w:rPr>
          <w:rFonts w:ascii="Arial" w:hAnsi="Arial" w:cs="Arial"/>
          <w:b/>
          <w:bCs/>
          <w:sz w:val="26"/>
          <w:szCs w:val="26"/>
          <w:rtl/>
        </w:rPr>
      </w:pPr>
      <w:r w:rsidRPr="00205E25">
        <w:rPr>
          <w:rFonts w:ascii="Arial" w:hAnsi="Arial" w:cs="Arial"/>
          <w:b/>
          <w:sz w:val="26"/>
        </w:rPr>
        <w:t>1</w:t>
      </w:r>
      <w:r w:rsidRPr="00205E25">
        <w:rPr>
          <w:rFonts w:ascii="Arial" w:hAnsi="Arial" w:cs="Arial"/>
          <w:b/>
          <w:sz w:val="26"/>
          <w:vertAlign w:val="superscript"/>
        </w:rPr>
        <w:t xml:space="preserve">er </w:t>
      </w:r>
      <w:r w:rsidRPr="00205E25">
        <w:rPr>
          <w:rFonts w:ascii="Arial" w:hAnsi="Arial" w:cs="Arial"/>
          <w:b/>
          <w:sz w:val="26"/>
        </w:rPr>
        <w:t>DÉCEMBRE 2022</w:t>
      </w:r>
    </w:p>
    <w:p w14:paraId="6FCF7E1D" w14:textId="77777777" w:rsidR="0060770F" w:rsidRPr="00205E25" w:rsidRDefault="0060770F" w:rsidP="009E2D2E">
      <w:pPr>
        <w:rPr>
          <w:rFonts w:ascii="Arial" w:hAnsi="Arial" w:cs="Arial"/>
          <w:b/>
          <w:bCs/>
          <w:rtl/>
          <w:lang w:bidi="ar-EG"/>
        </w:rPr>
      </w:pPr>
    </w:p>
    <w:p w14:paraId="04AB3B44" w14:textId="77777777" w:rsidR="00B34106" w:rsidRPr="00205E25" w:rsidRDefault="00B34106" w:rsidP="009E2D2E">
      <w:pPr>
        <w:rPr>
          <w:rFonts w:ascii="Arial" w:hAnsi="Arial" w:cs="Arial"/>
          <w:b/>
          <w:bCs/>
          <w:rtl/>
          <w:lang w:bidi="ar-EG"/>
        </w:rPr>
      </w:pPr>
    </w:p>
    <w:p w14:paraId="505AAF62" w14:textId="77777777" w:rsidR="00B34106" w:rsidRPr="00205E25" w:rsidRDefault="00B34106" w:rsidP="009E2D2E">
      <w:pPr>
        <w:rPr>
          <w:rFonts w:ascii="Arial" w:hAnsi="Arial" w:cs="Arial"/>
          <w:b/>
          <w:bCs/>
          <w:rtl/>
          <w:lang w:bidi="ar-EG"/>
        </w:rPr>
        <w:sectPr w:rsidR="00B34106" w:rsidRPr="00205E25" w:rsidSect="00B34106">
          <w:footerReference w:type="default" r:id="rId11"/>
          <w:footerReference w:type="first" r:id="rId12"/>
          <w:pgSz w:w="11906" w:h="16838"/>
          <w:pgMar w:top="1418" w:right="1418" w:bottom="1418" w:left="1418" w:header="708" w:footer="708" w:gutter="0"/>
          <w:pgNumType w:start="0"/>
          <w:cols w:space="708"/>
          <w:titlePg/>
          <w:docGrid w:linePitch="360"/>
        </w:sectPr>
      </w:pPr>
    </w:p>
    <w:p w14:paraId="68ABB698" w14:textId="77777777" w:rsidR="00B34106" w:rsidRPr="00205E25" w:rsidRDefault="00B34106" w:rsidP="009E2D2E">
      <w:pPr>
        <w:rPr>
          <w:rStyle w:val="Heading1Char"/>
        </w:rPr>
      </w:pPr>
      <w:bookmarkStart w:id="1" w:name="_Toc120938737"/>
      <w:r w:rsidRPr="00205E25">
        <w:rPr>
          <w:rStyle w:val="Heading1Char"/>
        </w:rPr>
        <w:lastRenderedPageBreak/>
        <w:t>SOMMAIRE</w:t>
      </w:r>
      <w:bookmarkEnd w:id="1"/>
    </w:p>
    <w:sdt>
      <w:sdtPr>
        <w:rPr>
          <w:rFonts w:cs="Arial"/>
          <w:b/>
        </w:rPr>
        <w:id w:val="615410560"/>
        <w:docPartObj>
          <w:docPartGallery w:val="Table of Contents"/>
          <w:docPartUnique/>
        </w:docPartObj>
      </w:sdtPr>
      <w:sdtEndPr>
        <w:rPr>
          <w:rFonts w:ascii="Arial" w:hAnsi="Arial"/>
          <w:b w:val="0"/>
          <w:bCs/>
        </w:rPr>
      </w:sdtEndPr>
      <w:sdtContent>
        <w:p w14:paraId="7E0BDAB3" w14:textId="1B928DE9" w:rsidR="0060770F" w:rsidRPr="00205E25" w:rsidRDefault="0060770F" w:rsidP="009E2D2E">
          <w:pPr>
            <w:rPr>
              <w:rFonts w:ascii="Arial" w:hAnsi="Arial" w:cs="Arial"/>
              <w:bCs/>
            </w:rPr>
          </w:pPr>
        </w:p>
        <w:p w14:paraId="308E5C7E" w14:textId="59AB97F3" w:rsidR="00D01944" w:rsidRPr="00D01944" w:rsidRDefault="00E278A9" w:rsidP="009E2D2E">
          <w:pPr>
            <w:rPr>
              <w:rFonts w:ascii="Arial" w:eastAsiaTheme="minorEastAsia" w:hAnsi="Arial" w:cs="Arial"/>
              <w:b/>
              <w:bCs/>
              <w:caps/>
              <w:noProof/>
              <w:lang w:eastAsia="fr-FR"/>
            </w:rPr>
          </w:pPr>
          <w:r w:rsidRPr="00D01944">
            <w:rPr>
              <w:rFonts w:ascii="Arial" w:hAnsi="Arial" w:cs="Arial"/>
              <w:b/>
              <w:caps/>
            </w:rPr>
            <w:fldChar w:fldCharType="begin"/>
          </w:r>
          <w:r w:rsidRPr="00D01944">
            <w:rPr>
              <w:rFonts w:ascii="Arial" w:hAnsi="Arial" w:cs="Arial"/>
            </w:rPr>
            <w:instrText xml:space="preserve"> TOC \o "1-3" \h \z \u </w:instrText>
          </w:r>
          <w:r w:rsidRPr="00D01944">
            <w:rPr>
              <w:rFonts w:ascii="Arial" w:hAnsi="Arial" w:cs="Arial"/>
              <w:b/>
              <w:caps/>
            </w:rPr>
            <w:fldChar w:fldCharType="separate"/>
          </w:r>
          <w:hyperlink w:anchor="_Toc120938737" w:history="1">
            <w:r w:rsidR="00D01944" w:rsidRPr="00D01944">
              <w:rPr>
                <w:rStyle w:val="Hyperlink"/>
                <w:rFonts w:ascii="Arial" w:hAnsi="Arial" w:cs="Arial"/>
                <w:noProof/>
              </w:rPr>
              <w:t>SOMMAIRE</w:t>
            </w:r>
            <w:r w:rsidR="00D01944" w:rsidRPr="00D01944">
              <w:rPr>
                <w:rFonts w:ascii="Arial" w:hAnsi="Arial" w:cs="Arial"/>
                <w:noProof/>
                <w:webHidden/>
              </w:rPr>
              <w:tab/>
            </w:r>
            <w:r w:rsidR="00D01944" w:rsidRPr="00D01944">
              <w:rPr>
                <w:rFonts w:ascii="Arial" w:hAnsi="Arial" w:cs="Arial"/>
                <w:b/>
                <w:noProof/>
                <w:webHidden/>
              </w:rPr>
              <w:fldChar w:fldCharType="begin"/>
            </w:r>
            <w:r w:rsidR="00D01944" w:rsidRPr="00D01944">
              <w:rPr>
                <w:rFonts w:ascii="Arial" w:hAnsi="Arial" w:cs="Arial"/>
                <w:noProof/>
                <w:webHidden/>
              </w:rPr>
              <w:instrText xml:space="preserve"> PAGEREF _Toc120938737 \h </w:instrText>
            </w:r>
            <w:r w:rsidR="00D01944" w:rsidRPr="00D01944">
              <w:rPr>
                <w:rFonts w:ascii="Arial" w:hAnsi="Arial" w:cs="Arial"/>
                <w:b/>
                <w:noProof/>
                <w:webHidden/>
              </w:rPr>
            </w:r>
            <w:r w:rsidR="00D01944" w:rsidRPr="00D01944">
              <w:rPr>
                <w:rFonts w:ascii="Arial" w:hAnsi="Arial" w:cs="Arial"/>
                <w:b/>
                <w:noProof/>
                <w:webHidden/>
              </w:rPr>
              <w:fldChar w:fldCharType="separate"/>
            </w:r>
            <w:r w:rsidR="00127593" w:rsidRPr="00D01944">
              <w:rPr>
                <w:rFonts w:ascii="Arial" w:hAnsi="Arial" w:cs="Arial"/>
                <w:noProof/>
                <w:webHidden/>
              </w:rPr>
              <w:t>i</w:t>
            </w:r>
            <w:r w:rsidR="00D01944" w:rsidRPr="00D01944">
              <w:rPr>
                <w:rFonts w:ascii="Arial" w:hAnsi="Arial" w:cs="Arial"/>
                <w:b/>
                <w:noProof/>
                <w:webHidden/>
              </w:rPr>
              <w:fldChar w:fldCharType="end"/>
            </w:r>
          </w:hyperlink>
        </w:p>
        <w:p w14:paraId="607F16E7" w14:textId="77777777" w:rsidR="00D01944" w:rsidRPr="00D01944" w:rsidRDefault="00D01944" w:rsidP="009E2D2E">
          <w:pPr>
            <w:rPr>
              <w:rFonts w:ascii="Arial" w:eastAsiaTheme="minorEastAsia" w:hAnsi="Arial" w:cs="Arial"/>
              <w:b/>
              <w:bCs/>
              <w:caps/>
              <w:noProof/>
              <w:lang w:eastAsia="fr-FR"/>
            </w:rPr>
          </w:pPr>
          <w:hyperlink w:anchor="_Toc120938738" w:history="1">
            <w:r w:rsidRPr="00D01944">
              <w:rPr>
                <w:rStyle w:val="Hyperlink"/>
                <w:rFonts w:ascii="Arial" w:hAnsi="Arial" w:cs="Arial"/>
                <w:noProof/>
              </w:rPr>
              <w:t>I.</w:t>
            </w:r>
            <w:r w:rsidRPr="00D01944">
              <w:rPr>
                <w:rFonts w:ascii="Arial" w:eastAsiaTheme="minorEastAsia" w:hAnsi="Arial" w:cs="Arial"/>
                <w:noProof/>
                <w:lang w:eastAsia="fr-FR"/>
              </w:rPr>
              <w:tab/>
            </w:r>
            <w:r w:rsidRPr="00D01944">
              <w:rPr>
                <w:rStyle w:val="Hyperlink"/>
                <w:rFonts w:ascii="Arial" w:hAnsi="Arial" w:cs="Arial"/>
                <w:noProof/>
              </w:rPr>
              <w:t>LES PARTIES</w:t>
            </w:r>
            <w:r w:rsidRPr="00D01944">
              <w:rPr>
                <w:rFonts w:ascii="Arial" w:hAnsi="Arial" w:cs="Arial"/>
                <w:noProof/>
                <w:webHidden/>
              </w:rPr>
              <w:tab/>
            </w:r>
            <w:r w:rsidRPr="00D01944">
              <w:rPr>
                <w:rFonts w:ascii="Arial" w:hAnsi="Arial" w:cs="Arial"/>
                <w:b/>
                <w:noProof/>
                <w:webHidden/>
              </w:rPr>
              <w:fldChar w:fldCharType="begin"/>
            </w:r>
            <w:r w:rsidRPr="00D01944">
              <w:rPr>
                <w:rFonts w:ascii="Arial" w:hAnsi="Arial" w:cs="Arial"/>
                <w:noProof/>
                <w:webHidden/>
              </w:rPr>
              <w:instrText xml:space="preserve"> PAGEREF _Toc120938738 \h </w:instrText>
            </w:r>
            <w:r w:rsidRPr="00D01944">
              <w:rPr>
                <w:rFonts w:ascii="Arial" w:hAnsi="Arial" w:cs="Arial"/>
                <w:b/>
                <w:noProof/>
                <w:webHidden/>
              </w:rPr>
            </w:r>
            <w:r w:rsidRPr="00D01944">
              <w:rPr>
                <w:rFonts w:ascii="Arial" w:hAnsi="Arial" w:cs="Arial"/>
                <w:b/>
                <w:noProof/>
                <w:webHidden/>
              </w:rPr>
              <w:fldChar w:fldCharType="separate"/>
            </w:r>
            <w:r w:rsidRPr="00D01944">
              <w:rPr>
                <w:rFonts w:ascii="Arial" w:hAnsi="Arial" w:cs="Arial"/>
                <w:noProof/>
                <w:webHidden/>
              </w:rPr>
              <w:t>2</w:t>
            </w:r>
            <w:r w:rsidRPr="00D01944">
              <w:rPr>
                <w:rFonts w:ascii="Arial" w:hAnsi="Arial" w:cs="Arial"/>
                <w:b/>
                <w:noProof/>
                <w:webHidden/>
              </w:rPr>
              <w:fldChar w:fldCharType="end"/>
            </w:r>
          </w:hyperlink>
        </w:p>
        <w:p w14:paraId="069E808D" w14:textId="77777777" w:rsidR="00D01944" w:rsidRPr="00D01944" w:rsidRDefault="00D01944" w:rsidP="009E2D2E">
          <w:pPr>
            <w:rPr>
              <w:rFonts w:ascii="Arial" w:eastAsiaTheme="minorEastAsia" w:hAnsi="Arial" w:cs="Arial"/>
              <w:b/>
              <w:bCs/>
              <w:caps/>
              <w:noProof/>
              <w:lang w:eastAsia="fr-FR"/>
            </w:rPr>
          </w:pPr>
          <w:hyperlink w:anchor="_Toc120938739" w:history="1">
            <w:r w:rsidRPr="00D01944">
              <w:rPr>
                <w:rStyle w:val="Hyperlink"/>
                <w:rFonts w:ascii="Arial" w:hAnsi="Arial" w:cs="Arial"/>
                <w:noProof/>
              </w:rPr>
              <w:t>II.</w:t>
            </w:r>
            <w:r w:rsidRPr="00D01944">
              <w:rPr>
                <w:rFonts w:ascii="Arial" w:eastAsiaTheme="minorEastAsia" w:hAnsi="Arial" w:cs="Arial"/>
                <w:noProof/>
                <w:lang w:eastAsia="fr-FR"/>
              </w:rPr>
              <w:tab/>
            </w:r>
            <w:r w:rsidRPr="00D01944">
              <w:rPr>
                <w:rStyle w:val="Hyperlink"/>
                <w:rFonts w:ascii="Arial" w:hAnsi="Arial" w:cs="Arial"/>
                <w:noProof/>
              </w:rPr>
              <w:t>OBJET DE LA REQUÊTE</w:t>
            </w:r>
            <w:r w:rsidRPr="00D01944">
              <w:rPr>
                <w:rFonts w:ascii="Arial" w:hAnsi="Arial" w:cs="Arial"/>
                <w:noProof/>
                <w:webHidden/>
              </w:rPr>
              <w:tab/>
            </w:r>
            <w:r w:rsidRPr="00D01944">
              <w:rPr>
                <w:rFonts w:ascii="Arial" w:hAnsi="Arial" w:cs="Arial"/>
                <w:b/>
                <w:noProof/>
                <w:webHidden/>
              </w:rPr>
              <w:fldChar w:fldCharType="begin"/>
            </w:r>
            <w:r w:rsidRPr="00D01944">
              <w:rPr>
                <w:rFonts w:ascii="Arial" w:hAnsi="Arial" w:cs="Arial"/>
                <w:noProof/>
                <w:webHidden/>
              </w:rPr>
              <w:instrText xml:space="preserve"> PAGEREF _Toc120938739 \h </w:instrText>
            </w:r>
            <w:r w:rsidRPr="00D01944">
              <w:rPr>
                <w:rFonts w:ascii="Arial" w:hAnsi="Arial" w:cs="Arial"/>
                <w:b/>
                <w:noProof/>
                <w:webHidden/>
              </w:rPr>
            </w:r>
            <w:r w:rsidRPr="00D01944">
              <w:rPr>
                <w:rFonts w:ascii="Arial" w:hAnsi="Arial" w:cs="Arial"/>
                <w:b/>
                <w:noProof/>
                <w:webHidden/>
              </w:rPr>
              <w:fldChar w:fldCharType="separate"/>
            </w:r>
            <w:r w:rsidRPr="00D01944">
              <w:rPr>
                <w:rFonts w:ascii="Arial" w:hAnsi="Arial" w:cs="Arial"/>
                <w:noProof/>
                <w:webHidden/>
              </w:rPr>
              <w:t>2</w:t>
            </w:r>
            <w:r w:rsidRPr="00D01944">
              <w:rPr>
                <w:rFonts w:ascii="Arial" w:hAnsi="Arial" w:cs="Arial"/>
                <w:b/>
                <w:noProof/>
                <w:webHidden/>
              </w:rPr>
              <w:fldChar w:fldCharType="end"/>
            </w:r>
          </w:hyperlink>
        </w:p>
        <w:p w14:paraId="09B65287" w14:textId="77777777" w:rsidR="00D01944" w:rsidRPr="00D01944" w:rsidRDefault="00D01944" w:rsidP="009E2D2E">
          <w:pPr>
            <w:rPr>
              <w:rFonts w:ascii="Arial" w:eastAsiaTheme="minorEastAsia" w:hAnsi="Arial" w:cs="Arial"/>
              <w:b/>
              <w:bCs/>
              <w:noProof/>
              <w:lang w:eastAsia="fr-FR"/>
            </w:rPr>
          </w:pPr>
          <w:hyperlink w:anchor="_Toc120938740" w:history="1">
            <w:r w:rsidRPr="00D01944">
              <w:rPr>
                <w:rStyle w:val="Hyperlink"/>
                <w:rFonts w:ascii="Arial" w:eastAsia="Arial" w:hAnsi="Arial" w:cs="Arial"/>
                <w:noProof/>
                <w:spacing w:val="-6"/>
                <w:w w:val="99"/>
                <w:sz w:val="24"/>
                <w:szCs w:val="24"/>
              </w:rPr>
              <w:t>A.</w:t>
            </w:r>
            <w:r w:rsidRPr="00D01944">
              <w:rPr>
                <w:rFonts w:ascii="Arial" w:eastAsiaTheme="minorEastAsia" w:hAnsi="Arial" w:cs="Arial"/>
                <w:noProof/>
                <w:lang w:eastAsia="fr-FR"/>
              </w:rPr>
              <w:tab/>
            </w:r>
            <w:r w:rsidRPr="00D01944">
              <w:rPr>
                <w:rStyle w:val="Hyperlink"/>
                <w:rFonts w:ascii="Arial" w:hAnsi="Arial" w:cs="Arial"/>
                <w:noProof/>
                <w:sz w:val="24"/>
                <w:szCs w:val="24"/>
              </w:rPr>
              <w:t>Faits de la cause</w:t>
            </w:r>
            <w:r w:rsidRPr="00D01944">
              <w:rPr>
                <w:rFonts w:ascii="Arial" w:hAnsi="Arial" w:cs="Arial"/>
                <w:noProof/>
                <w:webHidden/>
              </w:rPr>
              <w:tab/>
            </w:r>
            <w:r w:rsidRPr="00D01944">
              <w:rPr>
                <w:rFonts w:ascii="Arial" w:hAnsi="Arial" w:cs="Arial"/>
                <w:b/>
                <w:noProof/>
                <w:webHidden/>
              </w:rPr>
              <w:fldChar w:fldCharType="begin"/>
            </w:r>
            <w:r w:rsidRPr="00D01944">
              <w:rPr>
                <w:rFonts w:ascii="Arial" w:hAnsi="Arial" w:cs="Arial"/>
                <w:noProof/>
                <w:webHidden/>
              </w:rPr>
              <w:instrText xml:space="preserve"> PAGEREF _Toc120938740 \h </w:instrText>
            </w:r>
            <w:r w:rsidRPr="00D01944">
              <w:rPr>
                <w:rFonts w:ascii="Arial" w:hAnsi="Arial" w:cs="Arial"/>
                <w:b/>
                <w:noProof/>
                <w:webHidden/>
              </w:rPr>
            </w:r>
            <w:r w:rsidRPr="00D01944">
              <w:rPr>
                <w:rFonts w:ascii="Arial" w:hAnsi="Arial" w:cs="Arial"/>
                <w:b/>
                <w:noProof/>
                <w:webHidden/>
              </w:rPr>
              <w:fldChar w:fldCharType="separate"/>
            </w:r>
            <w:r w:rsidRPr="00D01944">
              <w:rPr>
                <w:rFonts w:ascii="Arial" w:hAnsi="Arial" w:cs="Arial"/>
                <w:noProof/>
                <w:webHidden/>
              </w:rPr>
              <w:t>2</w:t>
            </w:r>
            <w:r w:rsidRPr="00D01944">
              <w:rPr>
                <w:rFonts w:ascii="Arial" w:hAnsi="Arial" w:cs="Arial"/>
                <w:b/>
                <w:noProof/>
                <w:webHidden/>
              </w:rPr>
              <w:fldChar w:fldCharType="end"/>
            </w:r>
          </w:hyperlink>
        </w:p>
        <w:p w14:paraId="3288CC73" w14:textId="77777777" w:rsidR="00D01944" w:rsidRPr="00D01944" w:rsidRDefault="00D01944" w:rsidP="009E2D2E">
          <w:pPr>
            <w:rPr>
              <w:rFonts w:ascii="Arial" w:eastAsiaTheme="minorEastAsia" w:hAnsi="Arial" w:cs="Arial"/>
              <w:b/>
              <w:bCs/>
              <w:noProof/>
              <w:lang w:eastAsia="fr-FR"/>
            </w:rPr>
          </w:pPr>
          <w:hyperlink w:anchor="_Toc120938741" w:history="1">
            <w:r w:rsidRPr="00D01944">
              <w:rPr>
                <w:rStyle w:val="Hyperlink"/>
                <w:rFonts w:ascii="Arial" w:eastAsia="Arial" w:hAnsi="Arial" w:cs="Arial"/>
                <w:noProof/>
                <w:spacing w:val="-6"/>
                <w:w w:val="99"/>
                <w:sz w:val="24"/>
                <w:szCs w:val="24"/>
              </w:rPr>
              <w:t>B.</w:t>
            </w:r>
            <w:r w:rsidRPr="00D01944">
              <w:rPr>
                <w:rFonts w:ascii="Arial" w:eastAsiaTheme="minorEastAsia" w:hAnsi="Arial" w:cs="Arial"/>
                <w:noProof/>
                <w:lang w:eastAsia="fr-FR"/>
              </w:rPr>
              <w:tab/>
            </w:r>
            <w:r w:rsidRPr="00D01944">
              <w:rPr>
                <w:rStyle w:val="Hyperlink"/>
                <w:rFonts w:ascii="Arial" w:hAnsi="Arial" w:cs="Arial"/>
                <w:noProof/>
                <w:sz w:val="24"/>
                <w:szCs w:val="24"/>
              </w:rPr>
              <w:t>Violations alléguées</w:t>
            </w:r>
            <w:r w:rsidRPr="00D01944">
              <w:rPr>
                <w:rFonts w:ascii="Arial" w:hAnsi="Arial" w:cs="Arial"/>
                <w:noProof/>
                <w:webHidden/>
              </w:rPr>
              <w:tab/>
            </w:r>
            <w:r w:rsidRPr="00D01944">
              <w:rPr>
                <w:rFonts w:ascii="Arial" w:hAnsi="Arial" w:cs="Arial"/>
                <w:b/>
                <w:noProof/>
                <w:webHidden/>
              </w:rPr>
              <w:fldChar w:fldCharType="begin"/>
            </w:r>
            <w:r w:rsidRPr="00D01944">
              <w:rPr>
                <w:rFonts w:ascii="Arial" w:hAnsi="Arial" w:cs="Arial"/>
                <w:noProof/>
                <w:webHidden/>
              </w:rPr>
              <w:instrText xml:space="preserve"> PAGEREF _Toc120938741 \h </w:instrText>
            </w:r>
            <w:r w:rsidRPr="00D01944">
              <w:rPr>
                <w:rFonts w:ascii="Arial" w:hAnsi="Arial" w:cs="Arial"/>
                <w:b/>
                <w:noProof/>
                <w:webHidden/>
              </w:rPr>
            </w:r>
            <w:r w:rsidRPr="00D01944">
              <w:rPr>
                <w:rFonts w:ascii="Arial" w:hAnsi="Arial" w:cs="Arial"/>
                <w:b/>
                <w:noProof/>
                <w:webHidden/>
              </w:rPr>
              <w:fldChar w:fldCharType="separate"/>
            </w:r>
            <w:r w:rsidRPr="00D01944">
              <w:rPr>
                <w:rFonts w:ascii="Arial" w:hAnsi="Arial" w:cs="Arial"/>
                <w:noProof/>
                <w:webHidden/>
              </w:rPr>
              <w:t>6</w:t>
            </w:r>
            <w:r w:rsidRPr="00D01944">
              <w:rPr>
                <w:rFonts w:ascii="Arial" w:hAnsi="Arial" w:cs="Arial"/>
                <w:b/>
                <w:noProof/>
                <w:webHidden/>
              </w:rPr>
              <w:fldChar w:fldCharType="end"/>
            </w:r>
          </w:hyperlink>
        </w:p>
        <w:p w14:paraId="45183596" w14:textId="77777777" w:rsidR="00D01944" w:rsidRPr="00D01944" w:rsidRDefault="00D01944" w:rsidP="009E2D2E">
          <w:pPr>
            <w:rPr>
              <w:rFonts w:ascii="Arial" w:eastAsiaTheme="minorEastAsia" w:hAnsi="Arial" w:cs="Arial"/>
              <w:b/>
              <w:bCs/>
              <w:caps/>
              <w:noProof/>
              <w:lang w:eastAsia="fr-FR"/>
            </w:rPr>
          </w:pPr>
          <w:hyperlink w:anchor="_Toc120938742" w:history="1">
            <w:r w:rsidRPr="00D01944">
              <w:rPr>
                <w:rStyle w:val="Hyperlink"/>
                <w:rFonts w:ascii="Arial" w:hAnsi="Arial" w:cs="Arial"/>
                <w:noProof/>
              </w:rPr>
              <w:t>III.</w:t>
            </w:r>
            <w:r w:rsidRPr="00D01944">
              <w:rPr>
                <w:rFonts w:ascii="Arial" w:eastAsiaTheme="minorEastAsia" w:hAnsi="Arial" w:cs="Arial"/>
                <w:noProof/>
                <w:lang w:eastAsia="fr-FR"/>
              </w:rPr>
              <w:tab/>
            </w:r>
            <w:r w:rsidRPr="00D01944">
              <w:rPr>
                <w:rStyle w:val="Hyperlink"/>
                <w:rFonts w:ascii="Arial" w:hAnsi="Arial" w:cs="Arial"/>
                <w:noProof/>
              </w:rPr>
              <w:t>RÉSUMÉ DE LA PROCÉDURE DEVANT LA COUR DE CÉANS</w:t>
            </w:r>
            <w:r w:rsidRPr="00D01944">
              <w:rPr>
                <w:rFonts w:ascii="Arial" w:hAnsi="Arial" w:cs="Arial"/>
                <w:noProof/>
                <w:webHidden/>
              </w:rPr>
              <w:tab/>
            </w:r>
            <w:r w:rsidRPr="00D01944">
              <w:rPr>
                <w:rFonts w:ascii="Arial" w:hAnsi="Arial" w:cs="Arial"/>
                <w:b/>
                <w:noProof/>
                <w:webHidden/>
              </w:rPr>
              <w:fldChar w:fldCharType="begin"/>
            </w:r>
            <w:r w:rsidRPr="00D01944">
              <w:rPr>
                <w:rFonts w:ascii="Arial" w:hAnsi="Arial" w:cs="Arial"/>
                <w:noProof/>
                <w:webHidden/>
              </w:rPr>
              <w:instrText xml:space="preserve"> PAGEREF _Toc120938742 \h </w:instrText>
            </w:r>
            <w:r w:rsidRPr="00D01944">
              <w:rPr>
                <w:rFonts w:ascii="Arial" w:hAnsi="Arial" w:cs="Arial"/>
                <w:b/>
                <w:noProof/>
                <w:webHidden/>
              </w:rPr>
            </w:r>
            <w:r w:rsidRPr="00D01944">
              <w:rPr>
                <w:rFonts w:ascii="Arial" w:hAnsi="Arial" w:cs="Arial"/>
                <w:b/>
                <w:noProof/>
                <w:webHidden/>
              </w:rPr>
              <w:fldChar w:fldCharType="separate"/>
            </w:r>
            <w:r w:rsidRPr="00D01944">
              <w:rPr>
                <w:rFonts w:ascii="Arial" w:hAnsi="Arial" w:cs="Arial"/>
                <w:noProof/>
                <w:webHidden/>
              </w:rPr>
              <w:t>6</w:t>
            </w:r>
            <w:r w:rsidRPr="00D01944">
              <w:rPr>
                <w:rFonts w:ascii="Arial" w:hAnsi="Arial" w:cs="Arial"/>
                <w:b/>
                <w:noProof/>
                <w:webHidden/>
              </w:rPr>
              <w:fldChar w:fldCharType="end"/>
            </w:r>
          </w:hyperlink>
        </w:p>
        <w:p w14:paraId="4CCCA537" w14:textId="767425D5" w:rsidR="00D01944" w:rsidRPr="00D01944" w:rsidRDefault="00D01944" w:rsidP="009E2D2E">
          <w:pPr>
            <w:rPr>
              <w:rFonts w:ascii="Arial" w:eastAsiaTheme="minorEastAsia" w:hAnsi="Arial" w:cs="Arial"/>
              <w:b/>
              <w:bCs/>
              <w:caps/>
              <w:noProof/>
              <w:lang w:eastAsia="fr-FR"/>
            </w:rPr>
          </w:pPr>
          <w:hyperlink w:anchor="_Toc120938743" w:history="1">
            <w:r w:rsidRPr="00D01944">
              <w:rPr>
                <w:rStyle w:val="Hyperlink"/>
                <w:rFonts w:ascii="Arial" w:hAnsi="Arial" w:cs="Arial"/>
                <w:noProof/>
              </w:rPr>
              <w:t>IV.DEMANDES DES PARTIES</w:t>
            </w:r>
            <w:r w:rsidRPr="00D01944">
              <w:rPr>
                <w:rFonts w:ascii="Arial" w:hAnsi="Arial" w:cs="Arial"/>
                <w:noProof/>
                <w:webHidden/>
              </w:rPr>
              <w:tab/>
            </w:r>
            <w:r w:rsidRPr="00D01944">
              <w:rPr>
                <w:rFonts w:ascii="Arial" w:hAnsi="Arial" w:cs="Arial"/>
                <w:b/>
                <w:noProof/>
                <w:webHidden/>
              </w:rPr>
              <w:fldChar w:fldCharType="begin"/>
            </w:r>
            <w:r w:rsidRPr="00D01944">
              <w:rPr>
                <w:rFonts w:ascii="Arial" w:hAnsi="Arial" w:cs="Arial"/>
                <w:noProof/>
                <w:webHidden/>
              </w:rPr>
              <w:instrText xml:space="preserve"> PAGEREF _Toc120938743 \h </w:instrText>
            </w:r>
            <w:r w:rsidRPr="00D01944">
              <w:rPr>
                <w:rFonts w:ascii="Arial" w:hAnsi="Arial" w:cs="Arial"/>
                <w:b/>
                <w:noProof/>
                <w:webHidden/>
              </w:rPr>
            </w:r>
            <w:r w:rsidRPr="00D01944">
              <w:rPr>
                <w:rFonts w:ascii="Arial" w:hAnsi="Arial" w:cs="Arial"/>
                <w:b/>
                <w:noProof/>
                <w:webHidden/>
              </w:rPr>
              <w:fldChar w:fldCharType="separate"/>
            </w:r>
            <w:r w:rsidRPr="00D01944">
              <w:rPr>
                <w:rFonts w:ascii="Arial" w:hAnsi="Arial" w:cs="Arial"/>
                <w:noProof/>
                <w:webHidden/>
              </w:rPr>
              <w:t>7</w:t>
            </w:r>
            <w:r w:rsidRPr="00D01944">
              <w:rPr>
                <w:rFonts w:ascii="Arial" w:hAnsi="Arial" w:cs="Arial"/>
                <w:b/>
                <w:noProof/>
                <w:webHidden/>
              </w:rPr>
              <w:fldChar w:fldCharType="end"/>
            </w:r>
          </w:hyperlink>
        </w:p>
        <w:p w14:paraId="61EB1422" w14:textId="77777777" w:rsidR="00D01944" w:rsidRPr="00D01944" w:rsidRDefault="00D01944" w:rsidP="009E2D2E">
          <w:pPr>
            <w:rPr>
              <w:rFonts w:ascii="Arial" w:eastAsiaTheme="minorEastAsia" w:hAnsi="Arial" w:cs="Arial"/>
              <w:b/>
              <w:bCs/>
              <w:caps/>
              <w:noProof/>
              <w:lang w:eastAsia="fr-FR"/>
            </w:rPr>
          </w:pPr>
          <w:hyperlink w:anchor="_Toc120938744" w:history="1">
            <w:r w:rsidRPr="00D01944">
              <w:rPr>
                <w:rStyle w:val="Hyperlink"/>
                <w:rFonts w:ascii="Arial" w:hAnsi="Arial" w:cs="Arial"/>
                <w:noProof/>
              </w:rPr>
              <w:t>V</w:t>
            </w:r>
            <w:r w:rsidRPr="00D01944">
              <w:rPr>
                <w:rStyle w:val="Hyperlink"/>
                <w:rFonts w:ascii="Arial" w:hAnsi="Arial" w:cs="Arial"/>
                <w:noProof/>
                <w:rtl/>
              </w:rPr>
              <w:t>.</w:t>
            </w:r>
            <w:r w:rsidRPr="00D01944">
              <w:rPr>
                <w:rFonts w:ascii="Arial" w:eastAsiaTheme="minorEastAsia" w:hAnsi="Arial" w:cs="Arial"/>
                <w:noProof/>
                <w:lang w:eastAsia="fr-FR"/>
              </w:rPr>
              <w:tab/>
            </w:r>
            <w:r w:rsidRPr="00D01944">
              <w:rPr>
                <w:rStyle w:val="Hyperlink"/>
                <w:rFonts w:ascii="Arial" w:hAnsi="Arial" w:cs="Arial"/>
                <w:noProof/>
              </w:rPr>
              <w:t>SUR LA COMPÉTENCE</w:t>
            </w:r>
            <w:r w:rsidRPr="00D01944">
              <w:rPr>
                <w:rFonts w:ascii="Arial" w:hAnsi="Arial" w:cs="Arial"/>
                <w:noProof/>
                <w:webHidden/>
              </w:rPr>
              <w:tab/>
            </w:r>
            <w:r w:rsidRPr="00D01944">
              <w:rPr>
                <w:rFonts w:ascii="Arial" w:hAnsi="Arial" w:cs="Arial"/>
                <w:b/>
                <w:noProof/>
                <w:webHidden/>
              </w:rPr>
              <w:fldChar w:fldCharType="begin"/>
            </w:r>
            <w:r w:rsidRPr="00D01944">
              <w:rPr>
                <w:rFonts w:ascii="Arial" w:hAnsi="Arial" w:cs="Arial"/>
                <w:noProof/>
                <w:webHidden/>
              </w:rPr>
              <w:instrText xml:space="preserve"> PAGEREF _Toc120938744 \h </w:instrText>
            </w:r>
            <w:r w:rsidRPr="00D01944">
              <w:rPr>
                <w:rFonts w:ascii="Arial" w:hAnsi="Arial" w:cs="Arial"/>
                <w:b/>
                <w:noProof/>
                <w:webHidden/>
              </w:rPr>
            </w:r>
            <w:r w:rsidRPr="00D01944">
              <w:rPr>
                <w:rFonts w:ascii="Arial" w:hAnsi="Arial" w:cs="Arial"/>
                <w:b/>
                <w:noProof/>
                <w:webHidden/>
              </w:rPr>
              <w:fldChar w:fldCharType="separate"/>
            </w:r>
            <w:r w:rsidRPr="00D01944">
              <w:rPr>
                <w:rFonts w:ascii="Arial" w:hAnsi="Arial" w:cs="Arial"/>
                <w:noProof/>
                <w:webHidden/>
              </w:rPr>
              <w:t>8</w:t>
            </w:r>
            <w:r w:rsidRPr="00D01944">
              <w:rPr>
                <w:rFonts w:ascii="Arial" w:hAnsi="Arial" w:cs="Arial"/>
                <w:b/>
                <w:noProof/>
                <w:webHidden/>
              </w:rPr>
              <w:fldChar w:fldCharType="end"/>
            </w:r>
          </w:hyperlink>
        </w:p>
        <w:p w14:paraId="12703E70" w14:textId="4D12F7FC" w:rsidR="00D01944" w:rsidRPr="00D01944" w:rsidRDefault="00D01944" w:rsidP="009E2D2E">
          <w:pPr>
            <w:rPr>
              <w:rFonts w:ascii="Arial" w:eastAsiaTheme="minorEastAsia" w:hAnsi="Arial" w:cs="Arial"/>
              <w:b/>
              <w:bCs/>
              <w:caps/>
              <w:noProof/>
              <w:lang w:eastAsia="fr-FR"/>
            </w:rPr>
          </w:pPr>
          <w:hyperlink w:anchor="_Toc120938745" w:history="1">
            <w:r w:rsidRPr="00D01944">
              <w:rPr>
                <w:rStyle w:val="Hyperlink"/>
                <w:rFonts w:ascii="Arial" w:hAnsi="Arial" w:cs="Arial"/>
                <w:noProof/>
              </w:rPr>
              <w:t>VI.SUR LA RECEVABILITÉ</w:t>
            </w:r>
            <w:r w:rsidRPr="00D01944">
              <w:rPr>
                <w:rFonts w:ascii="Arial" w:hAnsi="Arial" w:cs="Arial"/>
                <w:noProof/>
                <w:webHidden/>
              </w:rPr>
              <w:tab/>
            </w:r>
            <w:r w:rsidRPr="00D01944">
              <w:rPr>
                <w:rFonts w:ascii="Arial" w:hAnsi="Arial" w:cs="Arial"/>
                <w:b/>
                <w:noProof/>
                <w:webHidden/>
              </w:rPr>
              <w:fldChar w:fldCharType="begin"/>
            </w:r>
            <w:r w:rsidRPr="00D01944">
              <w:rPr>
                <w:rFonts w:ascii="Arial" w:hAnsi="Arial" w:cs="Arial"/>
                <w:noProof/>
                <w:webHidden/>
              </w:rPr>
              <w:instrText xml:space="preserve"> PAGEREF _Toc120938745 \h </w:instrText>
            </w:r>
            <w:r w:rsidRPr="00D01944">
              <w:rPr>
                <w:rFonts w:ascii="Arial" w:hAnsi="Arial" w:cs="Arial"/>
                <w:b/>
                <w:noProof/>
                <w:webHidden/>
              </w:rPr>
            </w:r>
            <w:r w:rsidRPr="00D01944">
              <w:rPr>
                <w:rFonts w:ascii="Arial" w:hAnsi="Arial" w:cs="Arial"/>
                <w:b/>
                <w:noProof/>
                <w:webHidden/>
              </w:rPr>
              <w:fldChar w:fldCharType="separate"/>
            </w:r>
            <w:r w:rsidRPr="00D01944">
              <w:rPr>
                <w:rFonts w:ascii="Arial" w:hAnsi="Arial" w:cs="Arial"/>
                <w:noProof/>
                <w:webHidden/>
              </w:rPr>
              <w:t>9</w:t>
            </w:r>
            <w:r w:rsidRPr="00D01944">
              <w:rPr>
                <w:rFonts w:ascii="Arial" w:hAnsi="Arial" w:cs="Arial"/>
                <w:b/>
                <w:noProof/>
                <w:webHidden/>
              </w:rPr>
              <w:fldChar w:fldCharType="end"/>
            </w:r>
          </w:hyperlink>
        </w:p>
        <w:p w14:paraId="7717F93E" w14:textId="77777777" w:rsidR="00D01944" w:rsidRPr="00D01944" w:rsidRDefault="00D01944" w:rsidP="009E2D2E">
          <w:pPr>
            <w:rPr>
              <w:rFonts w:ascii="Arial" w:eastAsiaTheme="minorEastAsia" w:hAnsi="Arial" w:cs="Arial"/>
              <w:b/>
              <w:bCs/>
              <w:noProof/>
              <w:lang w:eastAsia="fr-FR"/>
            </w:rPr>
          </w:pPr>
          <w:hyperlink w:anchor="_Toc120938746" w:history="1">
            <w:r w:rsidRPr="00D01944">
              <w:rPr>
                <w:rStyle w:val="Hyperlink"/>
                <w:rFonts w:ascii="Arial" w:eastAsia="Arial" w:hAnsi="Arial" w:cs="Arial"/>
                <w:noProof/>
                <w:spacing w:val="-6"/>
                <w:w w:val="99"/>
                <w:sz w:val="24"/>
                <w:szCs w:val="24"/>
              </w:rPr>
              <w:t>A</w:t>
            </w:r>
            <w:r w:rsidRPr="00D01944">
              <w:rPr>
                <w:rStyle w:val="Hyperlink"/>
                <w:rFonts w:ascii="Arial" w:eastAsia="Arial" w:hAnsi="Arial" w:cs="Arial"/>
                <w:noProof/>
                <w:spacing w:val="-6"/>
                <w:w w:val="99"/>
                <w:sz w:val="24"/>
                <w:szCs w:val="24"/>
                <w:rtl/>
              </w:rPr>
              <w:t>.</w:t>
            </w:r>
            <w:r w:rsidRPr="00D01944">
              <w:rPr>
                <w:rFonts w:ascii="Arial" w:eastAsiaTheme="minorEastAsia" w:hAnsi="Arial" w:cs="Arial"/>
                <w:noProof/>
                <w:lang w:eastAsia="fr-FR"/>
              </w:rPr>
              <w:tab/>
            </w:r>
            <w:r w:rsidRPr="00D01944">
              <w:rPr>
                <w:rStyle w:val="Hyperlink"/>
                <w:rFonts w:ascii="Arial" w:hAnsi="Arial" w:cs="Arial"/>
                <w:noProof/>
                <w:sz w:val="24"/>
                <w:szCs w:val="24"/>
              </w:rPr>
              <w:t>Exception tirée du non-épuisement des recours internes</w:t>
            </w:r>
            <w:r w:rsidRPr="00D01944">
              <w:rPr>
                <w:rFonts w:ascii="Arial" w:hAnsi="Arial" w:cs="Arial"/>
                <w:noProof/>
                <w:webHidden/>
              </w:rPr>
              <w:tab/>
            </w:r>
            <w:r w:rsidRPr="00D01944">
              <w:rPr>
                <w:rFonts w:ascii="Arial" w:hAnsi="Arial" w:cs="Arial"/>
                <w:b/>
                <w:noProof/>
                <w:webHidden/>
              </w:rPr>
              <w:fldChar w:fldCharType="begin"/>
            </w:r>
            <w:r w:rsidRPr="00D01944">
              <w:rPr>
                <w:rFonts w:ascii="Arial" w:hAnsi="Arial" w:cs="Arial"/>
                <w:noProof/>
                <w:webHidden/>
              </w:rPr>
              <w:instrText xml:space="preserve"> PAGEREF _Toc120938746 \h </w:instrText>
            </w:r>
            <w:r w:rsidRPr="00D01944">
              <w:rPr>
                <w:rFonts w:ascii="Arial" w:hAnsi="Arial" w:cs="Arial"/>
                <w:b/>
                <w:noProof/>
                <w:webHidden/>
              </w:rPr>
            </w:r>
            <w:r w:rsidRPr="00D01944">
              <w:rPr>
                <w:rFonts w:ascii="Arial" w:hAnsi="Arial" w:cs="Arial"/>
                <w:b/>
                <w:noProof/>
                <w:webHidden/>
              </w:rPr>
              <w:fldChar w:fldCharType="separate"/>
            </w:r>
            <w:r w:rsidRPr="00D01944">
              <w:rPr>
                <w:rFonts w:ascii="Arial" w:hAnsi="Arial" w:cs="Arial"/>
                <w:noProof/>
                <w:webHidden/>
              </w:rPr>
              <w:t>11</w:t>
            </w:r>
            <w:r w:rsidRPr="00D01944">
              <w:rPr>
                <w:rFonts w:ascii="Arial" w:hAnsi="Arial" w:cs="Arial"/>
                <w:b/>
                <w:noProof/>
                <w:webHidden/>
              </w:rPr>
              <w:fldChar w:fldCharType="end"/>
            </w:r>
          </w:hyperlink>
        </w:p>
        <w:p w14:paraId="6DC1C651" w14:textId="77777777" w:rsidR="00D01944" w:rsidRPr="00D01944" w:rsidRDefault="00D01944" w:rsidP="009E2D2E">
          <w:pPr>
            <w:rPr>
              <w:rFonts w:ascii="Arial" w:eastAsiaTheme="minorEastAsia" w:hAnsi="Arial" w:cs="Arial"/>
              <w:b/>
              <w:bCs/>
              <w:noProof/>
              <w:lang w:eastAsia="fr-FR"/>
            </w:rPr>
          </w:pPr>
          <w:hyperlink w:anchor="_Toc120938747" w:history="1">
            <w:r w:rsidRPr="00D01944">
              <w:rPr>
                <w:rStyle w:val="Hyperlink"/>
                <w:rFonts w:ascii="Arial" w:eastAsia="Arial" w:hAnsi="Arial" w:cs="Arial"/>
                <w:noProof/>
                <w:spacing w:val="-6"/>
                <w:w w:val="99"/>
                <w:sz w:val="24"/>
                <w:szCs w:val="24"/>
              </w:rPr>
              <w:t>B</w:t>
            </w:r>
            <w:r w:rsidRPr="00D01944">
              <w:rPr>
                <w:rStyle w:val="Hyperlink"/>
                <w:rFonts w:ascii="Arial" w:eastAsia="Arial" w:hAnsi="Arial" w:cs="Arial"/>
                <w:noProof/>
                <w:spacing w:val="-6"/>
                <w:w w:val="99"/>
                <w:sz w:val="24"/>
                <w:szCs w:val="24"/>
                <w:rtl/>
              </w:rPr>
              <w:t>.</w:t>
            </w:r>
            <w:r w:rsidRPr="00D01944">
              <w:rPr>
                <w:rFonts w:ascii="Arial" w:eastAsiaTheme="minorEastAsia" w:hAnsi="Arial" w:cs="Arial"/>
                <w:noProof/>
                <w:lang w:eastAsia="fr-FR"/>
              </w:rPr>
              <w:tab/>
            </w:r>
            <w:r w:rsidRPr="00D01944">
              <w:rPr>
                <w:rStyle w:val="Hyperlink"/>
                <w:rFonts w:ascii="Arial" w:hAnsi="Arial" w:cs="Arial"/>
                <w:noProof/>
                <w:sz w:val="24"/>
                <w:szCs w:val="24"/>
              </w:rPr>
              <w:t>Autres conditions de recevabilité</w:t>
            </w:r>
            <w:r w:rsidRPr="00D01944">
              <w:rPr>
                <w:rFonts w:ascii="Arial" w:hAnsi="Arial" w:cs="Arial"/>
                <w:noProof/>
                <w:webHidden/>
              </w:rPr>
              <w:tab/>
            </w:r>
            <w:r w:rsidRPr="00D01944">
              <w:rPr>
                <w:rFonts w:ascii="Arial" w:hAnsi="Arial" w:cs="Arial"/>
                <w:b/>
                <w:noProof/>
                <w:webHidden/>
              </w:rPr>
              <w:fldChar w:fldCharType="begin"/>
            </w:r>
            <w:r w:rsidRPr="00D01944">
              <w:rPr>
                <w:rFonts w:ascii="Arial" w:hAnsi="Arial" w:cs="Arial"/>
                <w:noProof/>
                <w:webHidden/>
              </w:rPr>
              <w:instrText xml:space="preserve"> PAGEREF _Toc120938747 \h </w:instrText>
            </w:r>
            <w:r w:rsidRPr="00D01944">
              <w:rPr>
                <w:rFonts w:ascii="Arial" w:hAnsi="Arial" w:cs="Arial"/>
                <w:b/>
                <w:noProof/>
                <w:webHidden/>
              </w:rPr>
            </w:r>
            <w:r w:rsidRPr="00D01944">
              <w:rPr>
                <w:rFonts w:ascii="Arial" w:hAnsi="Arial" w:cs="Arial"/>
                <w:b/>
                <w:noProof/>
                <w:webHidden/>
              </w:rPr>
              <w:fldChar w:fldCharType="separate"/>
            </w:r>
            <w:r w:rsidRPr="00D01944">
              <w:rPr>
                <w:rFonts w:ascii="Arial" w:hAnsi="Arial" w:cs="Arial"/>
                <w:noProof/>
                <w:webHidden/>
              </w:rPr>
              <w:t>17</w:t>
            </w:r>
            <w:r w:rsidRPr="00D01944">
              <w:rPr>
                <w:rFonts w:ascii="Arial" w:hAnsi="Arial" w:cs="Arial"/>
                <w:b/>
                <w:noProof/>
                <w:webHidden/>
              </w:rPr>
              <w:fldChar w:fldCharType="end"/>
            </w:r>
          </w:hyperlink>
        </w:p>
        <w:p w14:paraId="3DE208F0" w14:textId="77777777" w:rsidR="00D01944" w:rsidRPr="00D01944" w:rsidRDefault="00D01944" w:rsidP="009E2D2E">
          <w:pPr>
            <w:rPr>
              <w:rFonts w:ascii="Arial" w:eastAsiaTheme="minorEastAsia" w:hAnsi="Arial" w:cs="Arial"/>
              <w:b/>
              <w:bCs/>
              <w:caps/>
              <w:noProof/>
              <w:lang w:eastAsia="fr-FR"/>
            </w:rPr>
          </w:pPr>
          <w:hyperlink w:anchor="_Toc120938748" w:history="1">
            <w:r w:rsidRPr="00D01944">
              <w:rPr>
                <w:rStyle w:val="Hyperlink"/>
                <w:rFonts w:ascii="Arial" w:hAnsi="Arial" w:cs="Arial"/>
                <w:noProof/>
              </w:rPr>
              <w:t>VII</w:t>
            </w:r>
            <w:r w:rsidRPr="00D01944">
              <w:rPr>
                <w:rStyle w:val="Hyperlink"/>
                <w:rFonts w:ascii="Arial" w:hAnsi="Arial" w:cs="Arial"/>
                <w:noProof/>
                <w:rtl/>
              </w:rPr>
              <w:t>.</w:t>
            </w:r>
            <w:r w:rsidRPr="00D01944">
              <w:rPr>
                <w:rFonts w:ascii="Arial" w:eastAsiaTheme="minorEastAsia" w:hAnsi="Arial" w:cs="Arial"/>
                <w:noProof/>
                <w:lang w:eastAsia="fr-FR"/>
              </w:rPr>
              <w:tab/>
            </w:r>
            <w:r w:rsidRPr="00D01944">
              <w:rPr>
                <w:rStyle w:val="Hyperlink"/>
                <w:rFonts w:ascii="Arial" w:hAnsi="Arial" w:cs="Arial"/>
                <w:noProof/>
              </w:rPr>
              <w:t>SUR LES FRAIS DE PROCÉDURE</w:t>
            </w:r>
            <w:r w:rsidRPr="00D01944">
              <w:rPr>
                <w:rFonts w:ascii="Arial" w:hAnsi="Arial" w:cs="Arial"/>
                <w:noProof/>
                <w:webHidden/>
              </w:rPr>
              <w:tab/>
            </w:r>
            <w:r w:rsidRPr="00D01944">
              <w:rPr>
                <w:rFonts w:ascii="Arial" w:hAnsi="Arial" w:cs="Arial"/>
                <w:b/>
                <w:noProof/>
                <w:webHidden/>
              </w:rPr>
              <w:fldChar w:fldCharType="begin"/>
            </w:r>
            <w:r w:rsidRPr="00D01944">
              <w:rPr>
                <w:rFonts w:ascii="Arial" w:hAnsi="Arial" w:cs="Arial"/>
                <w:noProof/>
                <w:webHidden/>
              </w:rPr>
              <w:instrText xml:space="preserve"> PAGEREF _Toc120938748 \h </w:instrText>
            </w:r>
            <w:r w:rsidRPr="00D01944">
              <w:rPr>
                <w:rFonts w:ascii="Arial" w:hAnsi="Arial" w:cs="Arial"/>
                <w:b/>
                <w:noProof/>
                <w:webHidden/>
              </w:rPr>
            </w:r>
            <w:r w:rsidRPr="00D01944">
              <w:rPr>
                <w:rFonts w:ascii="Arial" w:hAnsi="Arial" w:cs="Arial"/>
                <w:b/>
                <w:noProof/>
                <w:webHidden/>
              </w:rPr>
              <w:fldChar w:fldCharType="separate"/>
            </w:r>
            <w:r w:rsidRPr="00D01944">
              <w:rPr>
                <w:rFonts w:ascii="Arial" w:hAnsi="Arial" w:cs="Arial"/>
                <w:noProof/>
                <w:webHidden/>
              </w:rPr>
              <w:t>17</w:t>
            </w:r>
            <w:r w:rsidRPr="00D01944">
              <w:rPr>
                <w:rFonts w:ascii="Arial" w:hAnsi="Arial" w:cs="Arial"/>
                <w:b/>
                <w:noProof/>
                <w:webHidden/>
              </w:rPr>
              <w:fldChar w:fldCharType="end"/>
            </w:r>
          </w:hyperlink>
        </w:p>
        <w:p w14:paraId="237DAE3D" w14:textId="77777777" w:rsidR="00D01944" w:rsidRPr="00D01944" w:rsidRDefault="00D01944" w:rsidP="009E2D2E">
          <w:pPr>
            <w:rPr>
              <w:rFonts w:ascii="Arial" w:eastAsiaTheme="minorEastAsia" w:hAnsi="Arial" w:cs="Arial"/>
              <w:b/>
              <w:bCs/>
              <w:caps/>
              <w:noProof/>
              <w:lang w:eastAsia="fr-FR"/>
            </w:rPr>
          </w:pPr>
          <w:hyperlink w:anchor="_Toc120938749" w:history="1">
            <w:r w:rsidRPr="00D01944">
              <w:rPr>
                <w:rStyle w:val="Hyperlink"/>
                <w:rFonts w:ascii="Arial" w:hAnsi="Arial" w:cs="Arial"/>
                <w:noProof/>
              </w:rPr>
              <w:t>VIII</w:t>
            </w:r>
            <w:r w:rsidRPr="00D01944">
              <w:rPr>
                <w:rStyle w:val="Hyperlink"/>
                <w:rFonts w:ascii="Arial" w:hAnsi="Arial" w:cs="Arial"/>
                <w:noProof/>
                <w:rtl/>
              </w:rPr>
              <w:t>.</w:t>
            </w:r>
            <w:r w:rsidRPr="00D01944">
              <w:rPr>
                <w:rFonts w:ascii="Arial" w:eastAsiaTheme="minorEastAsia" w:hAnsi="Arial" w:cs="Arial"/>
                <w:noProof/>
                <w:lang w:eastAsia="fr-FR"/>
              </w:rPr>
              <w:tab/>
            </w:r>
            <w:r w:rsidRPr="00D01944">
              <w:rPr>
                <w:rStyle w:val="Hyperlink"/>
                <w:rFonts w:ascii="Arial" w:hAnsi="Arial" w:cs="Arial"/>
                <w:noProof/>
              </w:rPr>
              <w:t>DISPOSITIF</w:t>
            </w:r>
            <w:r w:rsidRPr="00D01944">
              <w:rPr>
                <w:rFonts w:ascii="Arial" w:hAnsi="Arial" w:cs="Arial"/>
                <w:noProof/>
                <w:webHidden/>
              </w:rPr>
              <w:tab/>
            </w:r>
            <w:r w:rsidRPr="00D01944">
              <w:rPr>
                <w:rFonts w:ascii="Arial" w:hAnsi="Arial" w:cs="Arial"/>
                <w:b/>
                <w:noProof/>
                <w:webHidden/>
              </w:rPr>
              <w:fldChar w:fldCharType="begin"/>
            </w:r>
            <w:r w:rsidRPr="00D01944">
              <w:rPr>
                <w:rFonts w:ascii="Arial" w:hAnsi="Arial" w:cs="Arial"/>
                <w:noProof/>
                <w:webHidden/>
              </w:rPr>
              <w:instrText xml:space="preserve"> PAGEREF _Toc120938749 \h </w:instrText>
            </w:r>
            <w:r w:rsidRPr="00D01944">
              <w:rPr>
                <w:rFonts w:ascii="Arial" w:hAnsi="Arial" w:cs="Arial"/>
                <w:b/>
                <w:noProof/>
                <w:webHidden/>
              </w:rPr>
            </w:r>
            <w:r w:rsidRPr="00D01944">
              <w:rPr>
                <w:rFonts w:ascii="Arial" w:hAnsi="Arial" w:cs="Arial"/>
                <w:b/>
                <w:noProof/>
                <w:webHidden/>
              </w:rPr>
              <w:fldChar w:fldCharType="separate"/>
            </w:r>
            <w:r w:rsidRPr="00D01944">
              <w:rPr>
                <w:rFonts w:ascii="Arial" w:hAnsi="Arial" w:cs="Arial"/>
                <w:noProof/>
                <w:webHidden/>
              </w:rPr>
              <w:t>17</w:t>
            </w:r>
            <w:r w:rsidRPr="00D01944">
              <w:rPr>
                <w:rFonts w:ascii="Arial" w:hAnsi="Arial" w:cs="Arial"/>
                <w:b/>
                <w:noProof/>
                <w:webHidden/>
              </w:rPr>
              <w:fldChar w:fldCharType="end"/>
            </w:r>
          </w:hyperlink>
        </w:p>
        <w:p w14:paraId="02916AD6" w14:textId="77777777" w:rsidR="0060770F" w:rsidRPr="00205E25" w:rsidRDefault="00E278A9" w:rsidP="009E2D2E">
          <w:pPr>
            <w:rPr>
              <w:rFonts w:ascii="Arial" w:hAnsi="Arial" w:cs="Arial"/>
            </w:rPr>
          </w:pPr>
          <w:r w:rsidRPr="00D01944">
            <w:rPr>
              <w:rFonts w:ascii="Arial" w:hAnsi="Arial" w:cs="Arial"/>
              <w:bCs/>
            </w:rPr>
            <w:fldChar w:fldCharType="end"/>
          </w:r>
        </w:p>
      </w:sdtContent>
    </w:sdt>
    <w:p w14:paraId="1FBC4DAA" w14:textId="77777777" w:rsidR="0060770F" w:rsidRPr="00205E25" w:rsidRDefault="0060770F" w:rsidP="009E2D2E">
      <w:pPr>
        <w:rPr>
          <w:rFonts w:ascii="Arial" w:eastAsia="Times New Roman" w:hAnsi="Arial" w:cs="Arial"/>
          <w:b/>
          <w:color w:val="000000"/>
          <w:lang w:bidi="ar-EG"/>
        </w:rPr>
      </w:pPr>
    </w:p>
    <w:p w14:paraId="78616B4B" w14:textId="77777777" w:rsidR="0060770F" w:rsidRPr="00205E25" w:rsidRDefault="0060770F" w:rsidP="009E2D2E">
      <w:pPr>
        <w:rPr>
          <w:rFonts w:ascii="Arial" w:eastAsia="Times New Roman" w:hAnsi="Arial" w:cs="Arial"/>
          <w:b/>
          <w:color w:val="000000"/>
          <w:lang w:bidi="ar-EG"/>
        </w:rPr>
        <w:sectPr w:rsidR="0060770F" w:rsidRPr="00205E25" w:rsidSect="00F414DC">
          <w:pgSz w:w="11906" w:h="16838"/>
          <w:pgMar w:top="1418" w:right="1418" w:bottom="1418" w:left="1418" w:header="708" w:footer="708" w:gutter="0"/>
          <w:pgNumType w:fmt="lowerRoman" w:start="1"/>
          <w:cols w:space="708"/>
          <w:titlePg/>
          <w:docGrid w:linePitch="360"/>
        </w:sectPr>
      </w:pPr>
    </w:p>
    <w:p w14:paraId="4C5E2344" w14:textId="77777777" w:rsidR="0060770F" w:rsidRPr="00205E25" w:rsidRDefault="00E278A9" w:rsidP="009E2D2E">
      <w:pPr>
        <w:rPr>
          <w:rFonts w:ascii="Arial" w:hAnsi="Arial" w:cs="Arial"/>
        </w:rPr>
      </w:pPr>
      <w:r w:rsidRPr="00205E25">
        <w:rPr>
          <w:rFonts w:ascii="Arial" w:hAnsi="Arial" w:cs="Arial"/>
          <w:b/>
        </w:rPr>
        <w:t>La Cour, composée de :</w:t>
      </w:r>
      <w:r w:rsidRPr="00205E25">
        <w:rPr>
          <w:rFonts w:ascii="Arial" w:hAnsi="Arial" w:cs="Arial"/>
        </w:rPr>
        <w:t xml:space="preserve"> Im</w:t>
      </w:r>
      <w:r w:rsidRPr="00205E25">
        <w:rPr>
          <w:rFonts w:ascii="Arial" w:hAnsi="Arial" w:cs="Arial"/>
          <w:color w:val="000000"/>
        </w:rPr>
        <w:t>ani D. ABOUD, Présidente,</w:t>
      </w:r>
      <w:r w:rsidRPr="00205E25">
        <w:rPr>
          <w:rFonts w:ascii="Arial" w:hAnsi="Arial" w:cs="Arial"/>
        </w:rPr>
        <w:t xml:space="preserve"> Blaise TCHIKAYA, Vice-président ; Ben KIOKO, Rafaâ BEN ACHOUR, Suzanne MENGUE, Tujilane R. CHIZUMILA, Chafika BENSAOULA, Stella I. ANUKAM, Dumisa B. NTSEBEZA et Dennis D. ADJEI – Juges, et de Robert ENO, Greffier.</w:t>
      </w:r>
    </w:p>
    <w:p w14:paraId="527BCDD4" w14:textId="77777777" w:rsidR="0060770F" w:rsidRPr="00205E25" w:rsidRDefault="0060770F" w:rsidP="009E2D2E">
      <w:pPr>
        <w:rPr>
          <w:rFonts w:ascii="Arial" w:hAnsi="Arial" w:cs="Arial"/>
        </w:rPr>
      </w:pPr>
    </w:p>
    <w:p w14:paraId="72942DF5" w14:textId="3E5F6116" w:rsidR="0060770F" w:rsidRPr="00205E25" w:rsidRDefault="00E278A9" w:rsidP="009E2D2E">
      <w:pPr>
        <w:rPr>
          <w:rFonts w:ascii="Arial" w:hAnsi="Arial" w:cs="Arial"/>
        </w:rPr>
      </w:pPr>
      <w:r w:rsidRPr="00205E25">
        <w:rPr>
          <w:rFonts w:ascii="Arial" w:hAnsi="Arial" w:cs="Arial"/>
        </w:rPr>
        <w:t>Conformément à l</w:t>
      </w:r>
      <w:r w:rsidR="0009028A">
        <w:rPr>
          <w:rFonts w:ascii="Arial" w:hAnsi="Arial" w:cs="Arial"/>
        </w:rPr>
        <w:t>’</w:t>
      </w:r>
      <w:r w:rsidRPr="00205E25">
        <w:rPr>
          <w:rFonts w:ascii="Arial" w:hAnsi="Arial" w:cs="Arial"/>
        </w:rPr>
        <w:t>article 22 du Protocole relatif à la Charte africaine des droits de l</w:t>
      </w:r>
      <w:r w:rsidR="0009028A">
        <w:rPr>
          <w:rFonts w:ascii="Arial" w:hAnsi="Arial" w:cs="Arial"/>
        </w:rPr>
        <w:t>’</w:t>
      </w:r>
      <w:r w:rsidRPr="00205E25">
        <w:rPr>
          <w:rFonts w:ascii="Arial" w:hAnsi="Arial" w:cs="Arial"/>
        </w:rPr>
        <w:t>homme et des peuples portant création d</w:t>
      </w:r>
      <w:r w:rsidR="0009028A">
        <w:rPr>
          <w:rFonts w:ascii="Arial" w:hAnsi="Arial" w:cs="Arial"/>
        </w:rPr>
        <w:t>’</w:t>
      </w:r>
      <w:r w:rsidRPr="00205E25">
        <w:rPr>
          <w:rFonts w:ascii="Arial" w:hAnsi="Arial" w:cs="Arial"/>
        </w:rPr>
        <w:t>une Cour africaine des droits de l</w:t>
      </w:r>
      <w:r w:rsidR="0009028A">
        <w:rPr>
          <w:rFonts w:ascii="Arial" w:hAnsi="Arial" w:cs="Arial"/>
        </w:rPr>
        <w:t>’</w:t>
      </w:r>
      <w:r w:rsidRPr="00205E25">
        <w:rPr>
          <w:rFonts w:ascii="Arial" w:hAnsi="Arial" w:cs="Arial"/>
        </w:rPr>
        <w:t>homme et des peuples (ci-après désigné le « Protocole ») et à la règle 9 (2) du Règlement intérieur de la Cour</w:t>
      </w:r>
      <w:r w:rsidRPr="00205E25">
        <w:rPr>
          <w:rStyle w:val="FootnoteReference"/>
          <w:rFonts w:ascii="Arial" w:hAnsi="Arial" w:cs="Arial"/>
          <w:sz w:val="24"/>
          <w:szCs w:val="24"/>
        </w:rPr>
        <w:footnoteReference w:id="1"/>
      </w:r>
      <w:r w:rsidRPr="00205E25">
        <w:rPr>
          <w:rFonts w:ascii="Arial" w:hAnsi="Arial" w:cs="Arial"/>
        </w:rPr>
        <w:t xml:space="preserve"> (ci-après désigné « le Règlement »), le Juge Modibo SACKO, de nationalité malienne, s</w:t>
      </w:r>
      <w:r w:rsidR="0009028A">
        <w:rPr>
          <w:rFonts w:ascii="Arial" w:hAnsi="Arial" w:cs="Arial"/>
        </w:rPr>
        <w:t>’</w:t>
      </w:r>
      <w:r w:rsidRPr="00205E25">
        <w:rPr>
          <w:rFonts w:ascii="Arial" w:hAnsi="Arial" w:cs="Arial"/>
        </w:rPr>
        <w:t>est récusé.</w:t>
      </w:r>
    </w:p>
    <w:p w14:paraId="00291692" w14:textId="77777777" w:rsidR="0060770F" w:rsidRPr="00205E25" w:rsidRDefault="0060770F" w:rsidP="009E2D2E">
      <w:pPr>
        <w:rPr>
          <w:rFonts w:ascii="Arial" w:hAnsi="Arial" w:cs="Arial"/>
        </w:rPr>
      </w:pPr>
    </w:p>
    <w:p w14:paraId="43537D3C" w14:textId="1927CA1F" w:rsidR="0060770F" w:rsidRPr="00205E25" w:rsidRDefault="00E278A9" w:rsidP="009E2D2E">
      <w:pPr>
        <w:rPr>
          <w:rFonts w:ascii="Arial" w:hAnsi="Arial" w:cs="Arial"/>
        </w:rPr>
      </w:pPr>
      <w:r w:rsidRPr="00205E25">
        <w:rPr>
          <w:rFonts w:ascii="Arial" w:hAnsi="Arial" w:cs="Arial"/>
        </w:rPr>
        <w:t>En l</w:t>
      </w:r>
      <w:r w:rsidR="0009028A">
        <w:rPr>
          <w:rFonts w:ascii="Arial" w:hAnsi="Arial" w:cs="Arial"/>
        </w:rPr>
        <w:t>’</w:t>
      </w:r>
      <w:r w:rsidRPr="00205E25">
        <w:rPr>
          <w:rFonts w:ascii="Arial" w:hAnsi="Arial" w:cs="Arial"/>
        </w:rPr>
        <w:t>affaire :</w:t>
      </w:r>
    </w:p>
    <w:p w14:paraId="74F8485A" w14:textId="77777777" w:rsidR="0060770F" w:rsidRPr="00205E25" w:rsidRDefault="0060770F" w:rsidP="009E2D2E">
      <w:pPr>
        <w:rPr>
          <w:rFonts w:ascii="Arial" w:hAnsi="Arial" w:cs="Arial"/>
          <w:b/>
          <w:bCs/>
          <w:rtl/>
          <w:lang w:bidi="ar-EG"/>
        </w:rPr>
      </w:pPr>
    </w:p>
    <w:p w14:paraId="73FC9FF3" w14:textId="77777777" w:rsidR="0060770F" w:rsidRPr="00205E25" w:rsidRDefault="00E278A9" w:rsidP="009E2D2E">
      <w:pPr>
        <w:rPr>
          <w:rFonts w:ascii="Arial" w:hAnsi="Arial" w:cs="Arial"/>
          <w:rtl/>
        </w:rPr>
      </w:pPr>
      <w:r w:rsidRPr="00205E25">
        <w:rPr>
          <w:rFonts w:ascii="Arial" w:hAnsi="Arial" w:cs="Arial"/>
        </w:rPr>
        <w:t>Mamadou DABO et 55 autres</w:t>
      </w:r>
    </w:p>
    <w:p w14:paraId="3D9125D6" w14:textId="77777777" w:rsidR="0060770F" w:rsidRPr="00205E25" w:rsidRDefault="0060770F" w:rsidP="009E2D2E">
      <w:pPr>
        <w:rPr>
          <w:rFonts w:ascii="Arial" w:hAnsi="Arial" w:cs="Arial"/>
        </w:rPr>
      </w:pPr>
    </w:p>
    <w:p w14:paraId="046566A0" w14:textId="1578F954" w:rsidR="0060770F" w:rsidRPr="00205E25" w:rsidRDefault="009C3A58" w:rsidP="009E2D2E">
      <w:pPr>
        <w:rPr>
          <w:rFonts w:ascii="Arial" w:hAnsi="Arial" w:cs="Arial"/>
          <w:i/>
          <w:iCs/>
        </w:rPr>
      </w:pPr>
      <w:r w:rsidRPr="00205E25">
        <w:rPr>
          <w:rFonts w:ascii="Arial" w:hAnsi="Arial" w:cs="Arial"/>
          <w:i/>
        </w:rPr>
        <w:t xml:space="preserve">représentés </w:t>
      </w:r>
      <w:r w:rsidR="00E278A9" w:rsidRPr="00205E25">
        <w:rPr>
          <w:rFonts w:ascii="Arial" w:hAnsi="Arial" w:cs="Arial"/>
          <w:i/>
        </w:rPr>
        <w:t>par :</w:t>
      </w:r>
    </w:p>
    <w:p w14:paraId="411EC079" w14:textId="77777777" w:rsidR="0060770F" w:rsidRPr="00205E25" w:rsidRDefault="0060770F" w:rsidP="009E2D2E">
      <w:pPr>
        <w:rPr>
          <w:rFonts w:ascii="Arial" w:hAnsi="Arial" w:cs="Arial"/>
          <w:i/>
          <w:iCs/>
          <w:rtl/>
        </w:rPr>
      </w:pPr>
    </w:p>
    <w:p w14:paraId="53CAAC36" w14:textId="691AB00A" w:rsidR="0060770F" w:rsidRPr="00205E25" w:rsidRDefault="00E278A9" w:rsidP="009E2D2E">
      <w:pPr>
        <w:rPr>
          <w:rFonts w:ascii="Arial" w:hAnsi="Arial" w:cs="Arial"/>
          <w:rtl/>
        </w:rPr>
      </w:pPr>
      <w:r w:rsidRPr="00205E25">
        <w:rPr>
          <w:rFonts w:ascii="Arial" w:hAnsi="Arial" w:cs="Arial"/>
        </w:rPr>
        <w:t>M. Yacouba TRAORÉ, Secrétaire général de la fédération nationale des mines et de l</w:t>
      </w:r>
      <w:r w:rsidR="0009028A">
        <w:rPr>
          <w:rFonts w:ascii="Arial" w:hAnsi="Arial" w:cs="Arial"/>
        </w:rPr>
        <w:t>’</w:t>
      </w:r>
      <w:r w:rsidRPr="00205E25">
        <w:rPr>
          <w:rFonts w:ascii="Arial" w:hAnsi="Arial" w:cs="Arial"/>
        </w:rPr>
        <w:t>énergie (FENAME)</w:t>
      </w:r>
      <w:r w:rsidR="005A237D">
        <w:rPr>
          <w:rFonts w:ascii="Arial" w:hAnsi="Arial" w:cs="Arial"/>
        </w:rPr>
        <w:t> ; et</w:t>
      </w:r>
    </w:p>
    <w:p w14:paraId="213D6DAF" w14:textId="07DD75E4" w:rsidR="0060770F" w:rsidRPr="00205E25" w:rsidRDefault="00E278A9" w:rsidP="009E2D2E">
      <w:pPr>
        <w:rPr>
          <w:rFonts w:ascii="Arial" w:hAnsi="Arial" w:cs="Arial"/>
          <w:rtl/>
        </w:rPr>
      </w:pPr>
      <w:r w:rsidRPr="00205E25">
        <w:rPr>
          <w:rFonts w:ascii="Arial" w:hAnsi="Arial" w:cs="Arial"/>
        </w:rPr>
        <w:t>Maître Mamadou DIARRA, Avocat au Barreau du Mali</w:t>
      </w:r>
      <w:r w:rsidR="005A237D">
        <w:rPr>
          <w:rFonts w:ascii="Arial" w:hAnsi="Arial" w:cs="Arial"/>
        </w:rPr>
        <w:t>.</w:t>
      </w:r>
    </w:p>
    <w:p w14:paraId="4CA592CA" w14:textId="77777777" w:rsidR="0060770F" w:rsidRPr="00205E25" w:rsidRDefault="0060770F" w:rsidP="009E2D2E">
      <w:pPr>
        <w:rPr>
          <w:rFonts w:ascii="Arial" w:hAnsi="Arial" w:cs="Arial"/>
        </w:rPr>
      </w:pPr>
    </w:p>
    <w:p w14:paraId="06FD1C6A" w14:textId="77777777" w:rsidR="0060770F" w:rsidRPr="00205E25" w:rsidRDefault="00E278A9" w:rsidP="009E2D2E">
      <w:pPr>
        <w:rPr>
          <w:rFonts w:ascii="Arial" w:hAnsi="Arial" w:cs="Arial"/>
        </w:rPr>
      </w:pPr>
      <w:r w:rsidRPr="00205E25">
        <w:rPr>
          <w:rFonts w:ascii="Arial" w:hAnsi="Arial" w:cs="Arial"/>
        </w:rPr>
        <w:t>contre</w:t>
      </w:r>
    </w:p>
    <w:p w14:paraId="3737B77F" w14:textId="77777777" w:rsidR="0060770F" w:rsidRPr="00205E25" w:rsidRDefault="0060770F" w:rsidP="009E2D2E">
      <w:pPr>
        <w:rPr>
          <w:rFonts w:ascii="Arial" w:hAnsi="Arial" w:cs="Arial"/>
        </w:rPr>
      </w:pPr>
    </w:p>
    <w:p w14:paraId="6F874452" w14:textId="77777777" w:rsidR="0060770F" w:rsidRPr="00205E25" w:rsidRDefault="00E278A9" w:rsidP="009E2D2E">
      <w:pPr>
        <w:rPr>
          <w:rFonts w:ascii="Arial" w:hAnsi="Arial" w:cs="Arial"/>
          <w:rtl/>
        </w:rPr>
      </w:pPr>
      <w:r w:rsidRPr="00205E25">
        <w:rPr>
          <w:rFonts w:ascii="Arial" w:hAnsi="Arial" w:cs="Arial"/>
        </w:rPr>
        <w:t>RÉPUBLIQUE DU MALI</w:t>
      </w:r>
    </w:p>
    <w:p w14:paraId="3354FF0B" w14:textId="77777777" w:rsidR="0060770F" w:rsidRPr="00205E25" w:rsidRDefault="0060770F" w:rsidP="009E2D2E">
      <w:pPr>
        <w:rPr>
          <w:rFonts w:ascii="Arial" w:hAnsi="Arial" w:cs="Arial"/>
        </w:rPr>
      </w:pPr>
    </w:p>
    <w:p w14:paraId="5EC90935" w14:textId="54EF159A" w:rsidR="0060770F" w:rsidRPr="00205E25" w:rsidRDefault="009C3A58" w:rsidP="009E2D2E">
      <w:pPr>
        <w:rPr>
          <w:rFonts w:ascii="Arial" w:hAnsi="Arial" w:cs="Arial"/>
          <w:i/>
          <w:iCs/>
        </w:rPr>
      </w:pPr>
      <w:r w:rsidRPr="00205E25">
        <w:rPr>
          <w:rFonts w:ascii="Arial" w:hAnsi="Arial" w:cs="Arial"/>
          <w:i/>
        </w:rPr>
        <w:t xml:space="preserve">représentée </w:t>
      </w:r>
      <w:r w:rsidR="00E278A9" w:rsidRPr="00205E25">
        <w:rPr>
          <w:rFonts w:ascii="Arial" w:hAnsi="Arial" w:cs="Arial"/>
          <w:i/>
        </w:rPr>
        <w:t>par :</w:t>
      </w:r>
    </w:p>
    <w:p w14:paraId="617329A4" w14:textId="77777777" w:rsidR="0060770F" w:rsidRPr="00205E25" w:rsidRDefault="0060770F" w:rsidP="009E2D2E">
      <w:pPr>
        <w:rPr>
          <w:rFonts w:ascii="Arial" w:hAnsi="Arial" w:cs="Arial"/>
          <w:rtl/>
          <w:lang w:bidi="ar-EG"/>
        </w:rPr>
      </w:pPr>
    </w:p>
    <w:p w14:paraId="1A116E4B" w14:textId="4575BE13" w:rsidR="0060770F" w:rsidRPr="00205E25" w:rsidRDefault="00E278A9" w:rsidP="009E2D2E">
      <w:pPr>
        <w:rPr>
          <w:rFonts w:ascii="Arial" w:hAnsi="Arial" w:cs="Arial"/>
        </w:rPr>
      </w:pPr>
      <w:r w:rsidRPr="00205E25">
        <w:rPr>
          <w:rFonts w:ascii="Arial" w:hAnsi="Arial" w:cs="Arial"/>
        </w:rPr>
        <w:t>M. Youssouf DIARRA, Directeur général, chargé du contentieux de l</w:t>
      </w:r>
      <w:r w:rsidR="0009028A">
        <w:rPr>
          <w:rFonts w:ascii="Arial" w:hAnsi="Arial" w:cs="Arial"/>
        </w:rPr>
        <w:t>’</w:t>
      </w:r>
      <w:r w:rsidRPr="00205E25">
        <w:rPr>
          <w:rFonts w:ascii="Arial" w:hAnsi="Arial" w:cs="Arial"/>
        </w:rPr>
        <w:t>État ;</w:t>
      </w:r>
      <w:r w:rsidR="005A237D">
        <w:rPr>
          <w:rFonts w:ascii="Arial" w:hAnsi="Arial" w:cs="Arial"/>
        </w:rPr>
        <w:t xml:space="preserve"> et</w:t>
      </w:r>
    </w:p>
    <w:p w14:paraId="29C0F46F" w14:textId="77777777" w:rsidR="0060770F" w:rsidRPr="00205E25" w:rsidRDefault="00E278A9" w:rsidP="009E2D2E">
      <w:pPr>
        <w:rPr>
          <w:rFonts w:ascii="Arial" w:hAnsi="Arial" w:cs="Arial"/>
          <w:rtl/>
        </w:rPr>
      </w:pPr>
      <w:r w:rsidRPr="00205E25">
        <w:rPr>
          <w:rFonts w:ascii="Arial" w:hAnsi="Arial" w:cs="Arial"/>
        </w:rPr>
        <w:t>M. Ibrahima TOUNKARA, Directeur adjoint, Affaires civiles, commerciales et sociales.</w:t>
      </w:r>
    </w:p>
    <w:p w14:paraId="6A6E2136" w14:textId="5109AC9A" w:rsidR="0060770F" w:rsidRDefault="0060770F" w:rsidP="009E2D2E">
      <w:pPr>
        <w:rPr>
          <w:rFonts w:ascii="Arial" w:hAnsi="Arial" w:cs="Arial"/>
        </w:rPr>
      </w:pPr>
    </w:p>
    <w:p w14:paraId="7B2F77A5" w14:textId="77777777" w:rsidR="005A237D" w:rsidRPr="00205E25" w:rsidRDefault="005A237D" w:rsidP="009E2D2E">
      <w:pPr>
        <w:rPr>
          <w:rFonts w:ascii="Arial" w:hAnsi="Arial" w:cs="Arial"/>
        </w:rPr>
      </w:pPr>
    </w:p>
    <w:p w14:paraId="1DFCFB1F" w14:textId="77777777" w:rsidR="0060770F" w:rsidRPr="00205E25" w:rsidRDefault="00E278A9" w:rsidP="009E2D2E">
      <w:pPr>
        <w:rPr>
          <w:rFonts w:ascii="Arial" w:hAnsi="Arial" w:cs="Arial"/>
        </w:rPr>
      </w:pPr>
      <w:r w:rsidRPr="00205E25">
        <w:rPr>
          <w:rFonts w:ascii="Arial" w:hAnsi="Arial" w:cs="Arial"/>
        </w:rPr>
        <w:lastRenderedPageBreak/>
        <w:t>Après en avoir délibéré,</w:t>
      </w:r>
    </w:p>
    <w:p w14:paraId="0D3A9A53" w14:textId="77777777" w:rsidR="0060770F" w:rsidRPr="00205E25" w:rsidRDefault="00E278A9" w:rsidP="009E2D2E">
      <w:pPr>
        <w:rPr>
          <w:rFonts w:ascii="Arial" w:hAnsi="Arial" w:cs="Arial"/>
        </w:rPr>
      </w:pPr>
      <w:r w:rsidRPr="00205E25">
        <w:rPr>
          <w:rFonts w:ascii="Arial" w:hAnsi="Arial" w:cs="Arial"/>
          <w:i/>
        </w:rPr>
        <w:t>rend le présent Arrêt</w:t>
      </w:r>
      <w:r w:rsidRPr="00205E25">
        <w:rPr>
          <w:rFonts w:ascii="Arial" w:hAnsi="Arial" w:cs="Arial"/>
        </w:rPr>
        <w:t xml:space="preserve"> :</w:t>
      </w:r>
    </w:p>
    <w:p w14:paraId="1C3F0F43" w14:textId="77777777" w:rsidR="0060770F" w:rsidRPr="00205E25" w:rsidRDefault="0060770F" w:rsidP="009E2D2E">
      <w:pPr>
        <w:rPr>
          <w:rFonts w:ascii="Arial" w:hAnsi="Arial" w:cs="Arial"/>
          <w:b/>
          <w:bCs/>
          <w:rtl/>
          <w:lang w:bidi="ar-EG"/>
        </w:rPr>
      </w:pPr>
    </w:p>
    <w:p w14:paraId="3A393E27" w14:textId="77777777" w:rsidR="0060770F" w:rsidRPr="00205E25" w:rsidRDefault="0060770F" w:rsidP="009E2D2E">
      <w:pPr>
        <w:rPr>
          <w:rFonts w:ascii="Arial" w:hAnsi="Arial" w:cs="Arial"/>
          <w:b/>
          <w:color w:val="000000" w:themeColor="text1"/>
        </w:rPr>
      </w:pPr>
    </w:p>
    <w:p w14:paraId="41123C94" w14:textId="77777777" w:rsidR="0060770F" w:rsidRPr="00205E25" w:rsidRDefault="00E278A9" w:rsidP="009E2D2E">
      <w:pPr>
        <w:rPr>
          <w:rFonts w:cs="Arial"/>
        </w:rPr>
      </w:pPr>
      <w:bookmarkStart w:id="2" w:name="_Toc118471351"/>
      <w:bookmarkStart w:id="3" w:name="_Toc97647851"/>
      <w:bookmarkStart w:id="4" w:name="_Toc118954334"/>
      <w:bookmarkStart w:id="5" w:name="_Toc118470340"/>
      <w:bookmarkStart w:id="6" w:name="_Toc120938738"/>
      <w:r w:rsidRPr="00205E25">
        <w:rPr>
          <w:rFonts w:cs="Arial"/>
        </w:rPr>
        <w:t>LES PARTIES</w:t>
      </w:r>
      <w:bookmarkEnd w:id="2"/>
      <w:bookmarkEnd w:id="3"/>
      <w:bookmarkEnd w:id="4"/>
      <w:bookmarkEnd w:id="5"/>
      <w:bookmarkEnd w:id="6"/>
    </w:p>
    <w:p w14:paraId="73AACE82" w14:textId="77777777" w:rsidR="0060770F" w:rsidRPr="00205E25" w:rsidRDefault="0060770F" w:rsidP="009E2D2E">
      <w:pPr>
        <w:rPr>
          <w:rFonts w:ascii="Arial" w:hAnsi="Arial" w:cs="Arial"/>
        </w:rPr>
      </w:pPr>
    </w:p>
    <w:p w14:paraId="7AC13BC5" w14:textId="368B5388" w:rsidR="0060770F" w:rsidRPr="00205E25" w:rsidRDefault="00E278A9" w:rsidP="009E2D2E">
      <w:pPr>
        <w:rPr>
          <w:rFonts w:ascii="Arial" w:hAnsi="Arial" w:cs="Arial"/>
        </w:rPr>
      </w:pPr>
      <w:r w:rsidRPr="00205E25">
        <w:rPr>
          <w:rFonts w:ascii="Arial" w:hAnsi="Arial" w:cs="Arial"/>
        </w:rPr>
        <w:t>Le sieur Mamadou DABO et 55 autres,</w:t>
      </w:r>
      <w:r w:rsidRPr="00205E25">
        <w:t xml:space="preserve"> </w:t>
      </w:r>
      <w:r w:rsidRPr="00205E25">
        <w:rPr>
          <w:rFonts w:ascii="Arial" w:hAnsi="Arial" w:cs="Arial"/>
        </w:rPr>
        <w:t>(ci-après dénommés « les Requérants »), sont des ressortissants maliens, travailleurs</w:t>
      </w:r>
      <w:r w:rsidRPr="00205E25">
        <w:rPr>
          <w:rStyle w:val="FootnoteReference"/>
          <w:rFonts w:ascii="Arial" w:hAnsi="Arial" w:cs="Arial"/>
          <w:sz w:val="24"/>
          <w:szCs w:val="24"/>
        </w:rPr>
        <w:footnoteReference w:id="2"/>
      </w:r>
      <w:r w:rsidRPr="00205E25">
        <w:rPr>
          <w:rFonts w:ascii="Arial" w:hAnsi="Arial" w:cs="Arial"/>
        </w:rPr>
        <w:t xml:space="preserve"> de la société Louis Thomson Armstrong Mali SA, (ci-après dénommée « LTA Mali SA »), </w:t>
      </w:r>
      <w:r w:rsidRPr="00205E25">
        <w:rPr>
          <w:rFonts w:ascii="Arial" w:hAnsi="Arial" w:cs="Arial"/>
          <w:bCs/>
        </w:rPr>
        <w:t>dont vingt-six (26) syndicalistes</w:t>
      </w:r>
      <w:r w:rsidRPr="00205E25">
        <w:rPr>
          <w:rFonts w:ascii="Arial" w:hAnsi="Arial" w:cs="Arial"/>
        </w:rPr>
        <w:t xml:space="preserve"> </w:t>
      </w:r>
      <w:r w:rsidRPr="00205E25">
        <w:rPr>
          <w:rFonts w:ascii="Arial" w:hAnsi="Arial" w:cs="Arial"/>
          <w:bCs/>
        </w:rPr>
        <w:t>sont</w:t>
      </w:r>
      <w:r w:rsidRPr="00205E25">
        <w:rPr>
          <w:rFonts w:ascii="Arial" w:hAnsi="Arial" w:cs="Arial"/>
        </w:rPr>
        <w:t xml:space="preserve"> membres de </w:t>
      </w:r>
      <w:bookmarkStart w:id="7" w:name="_Hlk118452868"/>
      <w:r w:rsidRPr="00205E25">
        <w:rPr>
          <w:rFonts w:ascii="Arial" w:hAnsi="Arial" w:cs="Arial"/>
        </w:rPr>
        <w:t>la Fédération nationale des mines et de l</w:t>
      </w:r>
      <w:r w:rsidR="0009028A">
        <w:rPr>
          <w:rFonts w:ascii="Arial" w:hAnsi="Arial" w:cs="Arial"/>
        </w:rPr>
        <w:t>’</w:t>
      </w:r>
      <w:r w:rsidRPr="00205E25">
        <w:rPr>
          <w:rFonts w:ascii="Arial" w:hAnsi="Arial" w:cs="Arial"/>
        </w:rPr>
        <w:t>énergie (FENAME)</w:t>
      </w:r>
      <w:bookmarkEnd w:id="7"/>
      <w:r w:rsidRPr="00205E25">
        <w:rPr>
          <w:rFonts w:ascii="Arial" w:hAnsi="Arial" w:cs="Arial"/>
        </w:rPr>
        <w:t xml:space="preserve"> un syndicat affilié à la Confédération des syndicats des travailleurs du Mali (CSTM). Les Requérants allèguent la violation de droits fondamentaux liés à leur droit d</w:t>
      </w:r>
      <w:r w:rsidR="0009028A">
        <w:rPr>
          <w:rFonts w:ascii="Arial" w:hAnsi="Arial" w:cs="Arial"/>
        </w:rPr>
        <w:t>’</w:t>
      </w:r>
      <w:r w:rsidRPr="00205E25">
        <w:rPr>
          <w:rFonts w:ascii="Arial" w:hAnsi="Arial" w:cs="Arial"/>
        </w:rPr>
        <w:t>ester en justice.</w:t>
      </w:r>
    </w:p>
    <w:p w14:paraId="5A55E7A8" w14:textId="77777777" w:rsidR="0060770F" w:rsidRPr="00205E25" w:rsidRDefault="0060770F" w:rsidP="009E2D2E">
      <w:pPr>
        <w:rPr>
          <w:rFonts w:ascii="Arial" w:hAnsi="Arial" w:cs="Arial"/>
          <w:b/>
          <w:bCs/>
        </w:rPr>
      </w:pPr>
    </w:p>
    <w:p w14:paraId="2CA4EBCD" w14:textId="7EFF148C" w:rsidR="0060770F" w:rsidRPr="00205E25" w:rsidRDefault="00E278A9" w:rsidP="009E2D2E">
      <w:pPr>
        <w:rPr>
          <w:rFonts w:ascii="Arial" w:hAnsi="Arial" w:cs="Arial"/>
        </w:rPr>
      </w:pPr>
      <w:r w:rsidRPr="00205E25">
        <w:rPr>
          <w:rFonts w:ascii="Arial" w:hAnsi="Arial" w:cs="Arial"/>
        </w:rPr>
        <w:t>La Requête est dirigée contre la République du Mali (ci-après dénommée « l</w:t>
      </w:r>
      <w:r w:rsidR="0009028A">
        <w:rPr>
          <w:rFonts w:ascii="Arial" w:hAnsi="Arial" w:cs="Arial"/>
        </w:rPr>
        <w:t>’</w:t>
      </w:r>
      <w:r w:rsidRPr="00205E25">
        <w:rPr>
          <w:rFonts w:ascii="Arial" w:hAnsi="Arial" w:cs="Arial"/>
        </w:rPr>
        <w:t>État défendeur »), qui est devenue partie à la Charte africaine des droits de l</w:t>
      </w:r>
      <w:r w:rsidR="0009028A">
        <w:rPr>
          <w:rFonts w:ascii="Arial" w:hAnsi="Arial" w:cs="Arial"/>
        </w:rPr>
        <w:t>’</w:t>
      </w:r>
      <w:r w:rsidRPr="00205E25">
        <w:rPr>
          <w:rFonts w:ascii="Arial" w:hAnsi="Arial" w:cs="Arial"/>
        </w:rPr>
        <w:t>homme et des peuples (ci-après désignée la « Charte ») le 21 octobre 1986 et au Protocole le 20 juin 2000. Elle a également, le 19 février 2010, déposé auprès du Président de la Commission africaine, la Déclaration prévue à l</w:t>
      </w:r>
      <w:r w:rsidR="0009028A">
        <w:rPr>
          <w:rFonts w:ascii="Arial" w:hAnsi="Arial" w:cs="Arial"/>
        </w:rPr>
        <w:t>’</w:t>
      </w:r>
      <w:r w:rsidRPr="00205E25">
        <w:rPr>
          <w:rFonts w:ascii="Arial" w:hAnsi="Arial" w:cs="Arial"/>
        </w:rPr>
        <w:t>article 34 (6) du Protocole (ci-après désignée « la Déclaration »), par laquelle elle accepte la compétence de la Cour pour recevoir des requêtes émanant d</w:t>
      </w:r>
      <w:r w:rsidR="0009028A">
        <w:rPr>
          <w:rFonts w:ascii="Arial" w:hAnsi="Arial" w:cs="Arial"/>
        </w:rPr>
        <w:t>’</w:t>
      </w:r>
      <w:r w:rsidRPr="00205E25">
        <w:rPr>
          <w:rFonts w:ascii="Arial" w:hAnsi="Arial" w:cs="Arial"/>
        </w:rPr>
        <w:t>individus et d</w:t>
      </w:r>
      <w:r w:rsidR="0009028A">
        <w:rPr>
          <w:rFonts w:ascii="Arial" w:hAnsi="Arial" w:cs="Arial"/>
        </w:rPr>
        <w:t>’</w:t>
      </w:r>
      <w:r w:rsidRPr="00205E25">
        <w:rPr>
          <w:rFonts w:ascii="Arial" w:hAnsi="Arial" w:cs="Arial"/>
        </w:rPr>
        <w:t>organisations non gouvernementales.</w:t>
      </w:r>
    </w:p>
    <w:p w14:paraId="5603CC88" w14:textId="77777777" w:rsidR="0060770F" w:rsidRPr="00205E25" w:rsidRDefault="0060770F" w:rsidP="009E2D2E">
      <w:pPr>
        <w:rPr>
          <w:rFonts w:ascii="Arial" w:hAnsi="Arial" w:cs="Arial"/>
        </w:rPr>
      </w:pPr>
    </w:p>
    <w:p w14:paraId="6ACA59DE" w14:textId="77777777" w:rsidR="0060770F" w:rsidRPr="00205E25" w:rsidRDefault="0060770F" w:rsidP="009E2D2E">
      <w:pPr>
        <w:rPr>
          <w:rFonts w:ascii="Arial" w:hAnsi="Arial" w:cs="Arial"/>
        </w:rPr>
      </w:pPr>
    </w:p>
    <w:p w14:paraId="6FE67908" w14:textId="77777777" w:rsidR="0060770F" w:rsidRPr="00205E25" w:rsidRDefault="00E278A9" w:rsidP="009E2D2E">
      <w:pPr>
        <w:rPr>
          <w:rFonts w:cs="Arial"/>
        </w:rPr>
      </w:pPr>
      <w:bookmarkStart w:id="8" w:name="_Toc118471352"/>
      <w:bookmarkStart w:id="9" w:name="_Toc118470341"/>
      <w:bookmarkStart w:id="10" w:name="_Toc118954335"/>
      <w:bookmarkStart w:id="11" w:name="_Toc97647852"/>
      <w:bookmarkStart w:id="12" w:name="_Toc120938739"/>
      <w:r w:rsidRPr="00205E25">
        <w:rPr>
          <w:rFonts w:cs="Arial"/>
        </w:rPr>
        <w:t>OBJET DE LA REQUÊTE</w:t>
      </w:r>
      <w:bookmarkEnd w:id="8"/>
      <w:bookmarkEnd w:id="9"/>
      <w:bookmarkEnd w:id="10"/>
      <w:bookmarkEnd w:id="11"/>
      <w:bookmarkEnd w:id="12"/>
    </w:p>
    <w:p w14:paraId="77BE0A95" w14:textId="77777777" w:rsidR="0060770F" w:rsidRPr="00205E25" w:rsidRDefault="0060770F" w:rsidP="009E2D2E">
      <w:pPr>
        <w:rPr>
          <w:rFonts w:ascii="Arial" w:hAnsi="Arial" w:cs="Arial"/>
          <w:b/>
          <w:bCs/>
        </w:rPr>
      </w:pPr>
    </w:p>
    <w:p w14:paraId="50A8FEDF" w14:textId="77777777" w:rsidR="0060770F" w:rsidRPr="00205E25" w:rsidRDefault="00E278A9" w:rsidP="009E2D2E">
      <w:pPr>
        <w:rPr>
          <w:rFonts w:ascii="Arial" w:hAnsi="Arial" w:cs="Arial"/>
          <w:b/>
          <w:bCs/>
        </w:rPr>
      </w:pPr>
      <w:bookmarkStart w:id="13" w:name="_Toc118471353"/>
      <w:bookmarkStart w:id="14" w:name="_Toc118470342"/>
      <w:bookmarkStart w:id="15" w:name="_Toc118954336"/>
      <w:bookmarkStart w:id="16" w:name="_Toc97647853"/>
      <w:bookmarkStart w:id="17" w:name="_Toc120938740"/>
      <w:r w:rsidRPr="00205E25">
        <w:rPr>
          <w:rFonts w:ascii="Arial" w:hAnsi="Arial" w:cs="Arial"/>
          <w:b/>
        </w:rPr>
        <w:t>Faits de la cause</w:t>
      </w:r>
      <w:bookmarkEnd w:id="13"/>
      <w:bookmarkEnd w:id="14"/>
      <w:bookmarkEnd w:id="15"/>
      <w:bookmarkEnd w:id="16"/>
      <w:bookmarkEnd w:id="17"/>
    </w:p>
    <w:p w14:paraId="7E469DE1" w14:textId="77777777" w:rsidR="0060770F" w:rsidRPr="00205E25" w:rsidRDefault="0060770F" w:rsidP="009E2D2E">
      <w:pPr>
        <w:rPr>
          <w:rFonts w:ascii="Arial" w:hAnsi="Arial" w:cs="Arial"/>
          <w:lang w:bidi="ar-EG"/>
        </w:rPr>
      </w:pPr>
    </w:p>
    <w:p w14:paraId="7623BE04" w14:textId="76945078" w:rsidR="0060770F" w:rsidRPr="00205E25" w:rsidRDefault="00E278A9" w:rsidP="009E2D2E">
      <w:pPr>
        <w:rPr>
          <w:rFonts w:ascii="Arial" w:hAnsi="Arial" w:cs="Arial"/>
        </w:rPr>
      </w:pPr>
      <w:r w:rsidRPr="00205E25">
        <w:rPr>
          <w:rFonts w:ascii="Arial" w:hAnsi="Arial" w:cs="Arial"/>
        </w:rPr>
        <w:t xml:space="preserve">Il ressort du dossier que le 11 juin 2012, le Comité syndical des travailleurs de LTA Mali SA a déposé un préavis de grève auprès de leur employeur. Dans ledit préavis, ils demandaient la cessation immédiate des procédures de suspension et de licenciement de cinquante-six (56) travailleurs, </w:t>
      </w:r>
      <w:bookmarkStart w:id="18" w:name="_Hlk119587712"/>
      <w:r w:rsidRPr="00205E25">
        <w:rPr>
          <w:rFonts w:ascii="Arial" w:hAnsi="Arial" w:cs="Arial"/>
        </w:rPr>
        <w:t xml:space="preserve">parmi </w:t>
      </w:r>
      <w:r w:rsidRPr="00205E25">
        <w:rPr>
          <w:rFonts w:ascii="Arial" w:hAnsi="Arial" w:cs="Arial"/>
        </w:rPr>
        <w:lastRenderedPageBreak/>
        <w:t>lesquels vingt-six (26) syndicalistes</w:t>
      </w:r>
      <w:bookmarkEnd w:id="18"/>
      <w:r w:rsidRPr="00205E25">
        <w:rPr>
          <w:rFonts w:ascii="Arial" w:hAnsi="Arial" w:cs="Arial"/>
        </w:rPr>
        <w:t>, le paiement de la majoration salariale de sept pour cent (7 %) pour une période de trente-deux (32) mois et d</w:t>
      </w:r>
      <w:r w:rsidR="0009028A">
        <w:rPr>
          <w:rFonts w:ascii="Arial" w:hAnsi="Arial" w:cs="Arial"/>
        </w:rPr>
        <w:t>’</w:t>
      </w:r>
      <w:r w:rsidRPr="00205E25">
        <w:rPr>
          <w:rFonts w:ascii="Arial" w:hAnsi="Arial" w:cs="Arial"/>
        </w:rPr>
        <w:t>une prime de rendement depuis 2011.</w:t>
      </w:r>
    </w:p>
    <w:p w14:paraId="543D9444" w14:textId="77777777" w:rsidR="0060770F" w:rsidRPr="00205E25" w:rsidRDefault="0060770F" w:rsidP="009E2D2E">
      <w:pPr>
        <w:rPr>
          <w:rFonts w:ascii="Arial" w:hAnsi="Arial" w:cs="Arial"/>
          <w:lang w:bidi="ar-EG"/>
        </w:rPr>
      </w:pPr>
    </w:p>
    <w:p w14:paraId="596DD56F" w14:textId="56FDD09E" w:rsidR="0060770F" w:rsidRPr="00205E25" w:rsidRDefault="00E81C16" w:rsidP="009E2D2E">
      <w:pPr>
        <w:rPr>
          <w:rFonts w:ascii="Arial" w:hAnsi="Arial" w:cs="Arial"/>
        </w:rPr>
      </w:pPr>
      <w:r>
        <w:rPr>
          <w:rFonts w:ascii="Arial" w:hAnsi="Arial" w:cs="Arial"/>
        </w:rPr>
        <w:t>L</w:t>
      </w:r>
      <w:r w:rsidR="00E278A9" w:rsidRPr="00205E25">
        <w:rPr>
          <w:rFonts w:ascii="Arial" w:hAnsi="Arial" w:cs="Arial"/>
        </w:rPr>
        <w:t>es négociations</w:t>
      </w:r>
      <w:r>
        <w:rPr>
          <w:rFonts w:ascii="Arial" w:hAnsi="Arial" w:cs="Arial"/>
        </w:rPr>
        <w:t xml:space="preserve"> n</w:t>
      </w:r>
      <w:r w:rsidR="0009028A">
        <w:rPr>
          <w:rFonts w:ascii="Arial" w:hAnsi="Arial" w:cs="Arial"/>
        </w:rPr>
        <w:t>’</w:t>
      </w:r>
      <w:r>
        <w:rPr>
          <w:rFonts w:ascii="Arial" w:hAnsi="Arial" w:cs="Arial"/>
        </w:rPr>
        <w:t>ayant pas abouti,</w:t>
      </w:r>
      <w:r w:rsidR="00E278A9" w:rsidRPr="00205E25">
        <w:rPr>
          <w:rFonts w:ascii="Arial" w:hAnsi="Arial" w:cs="Arial"/>
        </w:rPr>
        <w:t xml:space="preserve"> les travailleurs ont</w:t>
      </w:r>
      <w:r>
        <w:rPr>
          <w:rFonts w:ascii="Arial" w:hAnsi="Arial" w:cs="Arial"/>
        </w:rPr>
        <w:t>,</w:t>
      </w:r>
      <w:r w:rsidR="00E278A9" w:rsidRPr="00205E25">
        <w:rPr>
          <w:rFonts w:ascii="Arial" w:hAnsi="Arial" w:cs="Arial"/>
        </w:rPr>
        <w:t xml:space="preserve"> </w:t>
      </w:r>
      <w:r w:rsidRPr="00205E25">
        <w:rPr>
          <w:rFonts w:ascii="Arial" w:hAnsi="Arial" w:cs="Arial"/>
        </w:rPr>
        <w:t xml:space="preserve">le 19 juin 2012, </w:t>
      </w:r>
      <w:r w:rsidR="00E278A9" w:rsidRPr="00205E25">
        <w:rPr>
          <w:rFonts w:ascii="Arial" w:hAnsi="Arial" w:cs="Arial"/>
        </w:rPr>
        <w:t>appelé à une grève du 28 au 29 juin 2012.</w:t>
      </w:r>
    </w:p>
    <w:p w14:paraId="65A1F045" w14:textId="77777777" w:rsidR="0060770F" w:rsidRPr="00205E25" w:rsidRDefault="0060770F" w:rsidP="009E2D2E">
      <w:pPr>
        <w:rPr>
          <w:rFonts w:ascii="Arial" w:hAnsi="Arial" w:cs="Arial"/>
          <w:lang w:bidi="ar-EG"/>
        </w:rPr>
      </w:pPr>
    </w:p>
    <w:p w14:paraId="108B64F4" w14:textId="5C67D25E" w:rsidR="0060770F" w:rsidRPr="00205E25" w:rsidRDefault="00E278A9" w:rsidP="009E2D2E">
      <w:pPr>
        <w:rPr>
          <w:rFonts w:ascii="Arial" w:hAnsi="Arial" w:cs="Arial"/>
        </w:rPr>
      </w:pPr>
      <w:r w:rsidRPr="00205E25">
        <w:rPr>
          <w:rFonts w:ascii="Arial" w:hAnsi="Arial" w:cs="Arial"/>
        </w:rPr>
        <w:t>À la suite de la grève, le Directeur de LTA Mali SA, par correspondance n°</w:t>
      </w:r>
      <w:r w:rsidR="00E81C16">
        <w:rPr>
          <w:rFonts w:ascii="Arial" w:hAnsi="Arial" w:cs="Arial"/>
        </w:rPr>
        <w:t> </w:t>
      </w:r>
      <w:r w:rsidRPr="00205E25">
        <w:rPr>
          <w:rFonts w:ascii="Arial" w:hAnsi="Arial" w:cs="Arial"/>
        </w:rPr>
        <w:t>AMS/09/07/2012/HR du 13 juillet 2012, a sollicité l</w:t>
      </w:r>
      <w:r w:rsidR="0009028A">
        <w:rPr>
          <w:rFonts w:ascii="Arial" w:hAnsi="Arial" w:cs="Arial"/>
        </w:rPr>
        <w:t>’</w:t>
      </w:r>
      <w:r w:rsidRPr="00205E25">
        <w:rPr>
          <w:rFonts w:ascii="Arial" w:hAnsi="Arial" w:cs="Arial"/>
        </w:rPr>
        <w:t>autorisation de l</w:t>
      </w:r>
      <w:r w:rsidR="0009028A">
        <w:rPr>
          <w:rFonts w:ascii="Arial" w:hAnsi="Arial" w:cs="Arial"/>
        </w:rPr>
        <w:t>’</w:t>
      </w:r>
      <w:r w:rsidRPr="00205E25">
        <w:rPr>
          <w:rFonts w:ascii="Arial" w:hAnsi="Arial" w:cs="Arial"/>
        </w:rPr>
        <w:t>Inspection régionale du travail à Kayes (Première Région Administrative du Mali) à l</w:t>
      </w:r>
      <w:r w:rsidR="0009028A">
        <w:rPr>
          <w:rFonts w:ascii="Arial" w:hAnsi="Arial" w:cs="Arial"/>
        </w:rPr>
        <w:t>’</w:t>
      </w:r>
      <w:r w:rsidRPr="00205E25">
        <w:rPr>
          <w:rFonts w:ascii="Arial" w:hAnsi="Arial" w:cs="Arial"/>
        </w:rPr>
        <w:t xml:space="preserve">effet de licencier vingt-six (26) travailleurs dont le Requérant, M. Mamadou Dabo, et tous les membres du Comité Syndical. </w:t>
      </w:r>
    </w:p>
    <w:p w14:paraId="4EACAEF8" w14:textId="77777777" w:rsidR="0060770F" w:rsidRPr="00205E25" w:rsidRDefault="0060770F" w:rsidP="009E2D2E">
      <w:pPr>
        <w:rPr>
          <w:rFonts w:ascii="Arial" w:hAnsi="Arial" w:cs="Arial"/>
        </w:rPr>
      </w:pPr>
    </w:p>
    <w:p w14:paraId="51C14120" w14:textId="566DA049" w:rsidR="0060770F" w:rsidRPr="00205E25" w:rsidRDefault="00E278A9" w:rsidP="009E2D2E">
      <w:pPr>
        <w:rPr>
          <w:rFonts w:ascii="Arial" w:hAnsi="Arial" w:cs="Arial"/>
          <w:rtl/>
        </w:rPr>
      </w:pPr>
      <w:r w:rsidRPr="00205E25">
        <w:rPr>
          <w:rFonts w:ascii="Arial" w:hAnsi="Arial" w:cs="Arial"/>
        </w:rPr>
        <w:t>En réponse, l</w:t>
      </w:r>
      <w:r w:rsidR="0009028A">
        <w:rPr>
          <w:rFonts w:ascii="Arial" w:hAnsi="Arial" w:cs="Arial"/>
        </w:rPr>
        <w:t>’</w:t>
      </w:r>
      <w:r w:rsidRPr="00205E25">
        <w:rPr>
          <w:rFonts w:ascii="Arial" w:hAnsi="Arial" w:cs="Arial"/>
        </w:rPr>
        <w:t>inspecteur régional du travail de Kayes, par courrier n°</w:t>
      </w:r>
      <w:r w:rsidR="00E81C16">
        <w:rPr>
          <w:rFonts w:ascii="Arial" w:hAnsi="Arial" w:cs="Arial"/>
        </w:rPr>
        <w:t> </w:t>
      </w:r>
      <w:r w:rsidRPr="00205E25">
        <w:rPr>
          <w:rFonts w:ascii="Arial" w:hAnsi="Arial" w:cs="Arial"/>
        </w:rPr>
        <w:t>0263/DRT-K du 13 juillet 2012, a autorisé le licenciement des vingt-six (26) travailleurs et approuvé la suspension de trente (30) autres.</w:t>
      </w:r>
    </w:p>
    <w:p w14:paraId="7DEC4B14" w14:textId="77777777" w:rsidR="0060770F" w:rsidRPr="00205E25" w:rsidRDefault="0060770F" w:rsidP="009E2D2E">
      <w:pPr>
        <w:rPr>
          <w:rFonts w:ascii="Arial" w:hAnsi="Arial" w:cs="Arial"/>
        </w:rPr>
      </w:pPr>
    </w:p>
    <w:p w14:paraId="6D093207" w14:textId="547C811D" w:rsidR="0060770F" w:rsidRPr="00205E25" w:rsidRDefault="00E278A9" w:rsidP="009E2D2E">
      <w:pPr>
        <w:rPr>
          <w:rFonts w:ascii="Arial" w:hAnsi="Arial" w:cs="Arial"/>
        </w:rPr>
      </w:pPr>
      <w:r w:rsidRPr="00205E25">
        <w:rPr>
          <w:rFonts w:ascii="Arial" w:hAnsi="Arial" w:cs="Arial"/>
        </w:rPr>
        <w:t>La FENAME, en réponse à ces mesures, a déposé un préavis de grève de trois (3) jours</w:t>
      </w:r>
      <w:r w:rsidR="00E81C16">
        <w:rPr>
          <w:rFonts w:ascii="Arial" w:hAnsi="Arial" w:cs="Arial"/>
        </w:rPr>
        <w:t>,</w:t>
      </w:r>
      <w:r w:rsidRPr="00205E25">
        <w:rPr>
          <w:rFonts w:ascii="Arial" w:hAnsi="Arial" w:cs="Arial"/>
        </w:rPr>
        <w:t xml:space="preserve"> du 18 au 20 juillet 2012, au nom des comités syndicaux de LTA Mali S.A. et </w:t>
      </w:r>
      <w:bookmarkStart w:id="19" w:name="_Hlk106360254"/>
      <w:r w:rsidRPr="00205E25">
        <w:rPr>
          <w:rFonts w:ascii="Arial" w:hAnsi="Arial" w:cs="Arial"/>
        </w:rPr>
        <w:t>de la Société d</w:t>
      </w:r>
      <w:r w:rsidR="0009028A">
        <w:rPr>
          <w:rFonts w:ascii="Arial" w:hAnsi="Arial" w:cs="Arial"/>
        </w:rPr>
        <w:t>’</w:t>
      </w:r>
      <w:r w:rsidRPr="00205E25">
        <w:rPr>
          <w:rFonts w:ascii="Arial" w:hAnsi="Arial" w:cs="Arial"/>
        </w:rPr>
        <w:t>exploitation des mines d</w:t>
      </w:r>
      <w:r w:rsidR="0009028A">
        <w:rPr>
          <w:rFonts w:ascii="Arial" w:hAnsi="Arial" w:cs="Arial"/>
        </w:rPr>
        <w:t>’</w:t>
      </w:r>
      <w:r w:rsidRPr="00205E25">
        <w:rPr>
          <w:rFonts w:ascii="Arial" w:hAnsi="Arial" w:cs="Arial"/>
        </w:rPr>
        <w:t>or de Sadiola (SEMOS) S.A. Le ministre du Travail, de l</w:t>
      </w:r>
      <w:r w:rsidR="0009028A">
        <w:rPr>
          <w:rFonts w:ascii="Arial" w:hAnsi="Arial" w:cs="Arial"/>
        </w:rPr>
        <w:t>’</w:t>
      </w:r>
      <w:r w:rsidRPr="00205E25">
        <w:rPr>
          <w:rFonts w:ascii="Arial" w:hAnsi="Arial" w:cs="Arial"/>
        </w:rPr>
        <w:t>Emploi et de la Formation professionnelle de l</w:t>
      </w:r>
      <w:r w:rsidR="0009028A">
        <w:rPr>
          <w:rFonts w:ascii="Arial" w:hAnsi="Arial" w:cs="Arial"/>
        </w:rPr>
        <w:t>’</w:t>
      </w:r>
      <w:r w:rsidRPr="00205E25">
        <w:rPr>
          <w:rFonts w:ascii="Arial" w:hAnsi="Arial" w:cs="Arial"/>
        </w:rPr>
        <w:t>État défendeur a été dûment informé de la question par les canaux appropriés.</w:t>
      </w:r>
      <w:bookmarkEnd w:id="19"/>
    </w:p>
    <w:p w14:paraId="14D128D0" w14:textId="77777777" w:rsidR="0060770F" w:rsidRPr="00205E25" w:rsidRDefault="0060770F" w:rsidP="009E2D2E">
      <w:pPr>
        <w:rPr>
          <w:rFonts w:ascii="Arial" w:hAnsi="Arial" w:cs="Arial"/>
          <w:color w:val="4472C4" w:themeColor="accent1"/>
        </w:rPr>
      </w:pPr>
    </w:p>
    <w:p w14:paraId="37176730" w14:textId="2D04A8A5" w:rsidR="0060770F" w:rsidRPr="00205E25" w:rsidRDefault="00E278A9" w:rsidP="009E2D2E">
      <w:pPr>
        <w:rPr>
          <w:rFonts w:ascii="Arial" w:hAnsi="Arial" w:cs="Arial"/>
        </w:rPr>
      </w:pPr>
      <w:r w:rsidRPr="00205E25">
        <w:rPr>
          <w:rFonts w:ascii="Arial" w:hAnsi="Arial" w:cs="Arial"/>
        </w:rPr>
        <w:t>Afin d</w:t>
      </w:r>
      <w:r w:rsidR="0009028A">
        <w:rPr>
          <w:rFonts w:ascii="Arial" w:hAnsi="Arial" w:cs="Arial"/>
        </w:rPr>
        <w:t>’</w:t>
      </w:r>
      <w:r w:rsidRPr="00205E25">
        <w:rPr>
          <w:rFonts w:ascii="Arial" w:hAnsi="Arial" w:cs="Arial"/>
        </w:rPr>
        <w:t>éviter le risque de propagation de la grève à d</w:t>
      </w:r>
      <w:r w:rsidR="0009028A">
        <w:rPr>
          <w:rFonts w:ascii="Arial" w:hAnsi="Arial" w:cs="Arial"/>
        </w:rPr>
        <w:t>’</w:t>
      </w:r>
      <w:r w:rsidRPr="00205E25">
        <w:rPr>
          <w:rFonts w:ascii="Arial" w:hAnsi="Arial" w:cs="Arial"/>
        </w:rPr>
        <w:t>autres régions du Mali, le ministère du Travail, de l</w:t>
      </w:r>
      <w:r w:rsidR="0009028A">
        <w:rPr>
          <w:rFonts w:ascii="Arial" w:hAnsi="Arial" w:cs="Arial"/>
        </w:rPr>
        <w:t>’</w:t>
      </w:r>
      <w:r w:rsidRPr="00205E25">
        <w:rPr>
          <w:rFonts w:ascii="Arial" w:hAnsi="Arial" w:cs="Arial"/>
        </w:rPr>
        <w:t>Emploi et de la Formation professionnelle, par décision n° 2012-0192 MTEFP-SG du 28 septembre 2012, a constitué un Conseil d</w:t>
      </w:r>
      <w:r w:rsidR="0009028A">
        <w:rPr>
          <w:rFonts w:ascii="Arial" w:hAnsi="Arial" w:cs="Arial"/>
        </w:rPr>
        <w:t>’</w:t>
      </w:r>
      <w:r w:rsidRPr="00205E25">
        <w:rPr>
          <w:rFonts w:ascii="Arial" w:hAnsi="Arial" w:cs="Arial"/>
        </w:rPr>
        <w:t>arbitrage pour résoudre le différend entre LTA Mali S.A. et SEMOS S.A. d</w:t>
      </w:r>
      <w:r w:rsidR="0009028A">
        <w:rPr>
          <w:rFonts w:ascii="Arial" w:hAnsi="Arial" w:cs="Arial"/>
        </w:rPr>
        <w:t>’</w:t>
      </w:r>
      <w:r w:rsidRPr="00205E25">
        <w:rPr>
          <w:rFonts w:ascii="Arial" w:hAnsi="Arial" w:cs="Arial"/>
        </w:rPr>
        <w:t>une part et leurs employés affiliés à la FENAME d</w:t>
      </w:r>
      <w:r w:rsidR="0009028A">
        <w:rPr>
          <w:rFonts w:ascii="Arial" w:hAnsi="Arial" w:cs="Arial"/>
        </w:rPr>
        <w:t>’</w:t>
      </w:r>
      <w:r w:rsidRPr="00205E25">
        <w:rPr>
          <w:rFonts w:ascii="Arial" w:hAnsi="Arial" w:cs="Arial"/>
        </w:rPr>
        <w:t xml:space="preserve">autre part, </w:t>
      </w:r>
      <w:bookmarkStart w:id="20" w:name="_Hlk112839690"/>
      <w:r w:rsidRPr="00205E25">
        <w:rPr>
          <w:rFonts w:ascii="Arial" w:hAnsi="Arial" w:cs="Arial"/>
        </w:rPr>
        <w:t>conformément aux articles L.225</w:t>
      </w:r>
      <w:bookmarkEnd w:id="20"/>
      <w:r w:rsidRPr="00205E25">
        <w:rPr>
          <w:rFonts w:ascii="Arial" w:hAnsi="Arial" w:cs="Arial"/>
        </w:rPr>
        <w:t xml:space="preserve"> </w:t>
      </w:r>
      <w:r w:rsidRPr="00205E25">
        <w:rPr>
          <w:rFonts w:ascii="Arial" w:hAnsi="Arial" w:cs="Arial"/>
          <w:i/>
          <w:iCs/>
        </w:rPr>
        <w:t xml:space="preserve">et </w:t>
      </w:r>
      <w:r w:rsidRPr="00205E25">
        <w:rPr>
          <w:rFonts w:ascii="Arial" w:hAnsi="Arial" w:cs="Arial"/>
        </w:rPr>
        <w:t>suivants du Code du travail du Mali.</w:t>
      </w:r>
    </w:p>
    <w:p w14:paraId="17DE7C0C" w14:textId="77777777" w:rsidR="0060770F" w:rsidRPr="00205E25" w:rsidRDefault="0060770F" w:rsidP="009E2D2E">
      <w:pPr>
        <w:rPr>
          <w:rFonts w:ascii="Arial" w:hAnsi="Arial" w:cs="Arial"/>
          <w:color w:val="4472C4" w:themeColor="accent1"/>
        </w:rPr>
      </w:pPr>
    </w:p>
    <w:p w14:paraId="4D49A982" w14:textId="28A7239F" w:rsidR="0060770F" w:rsidRPr="00205E25" w:rsidRDefault="00E278A9" w:rsidP="009E2D2E">
      <w:pPr>
        <w:rPr>
          <w:rFonts w:ascii="Arial" w:hAnsi="Arial" w:cs="Arial"/>
        </w:rPr>
      </w:pPr>
      <w:bookmarkStart w:id="21" w:name="_Hlk113201120"/>
      <w:r w:rsidRPr="00205E25">
        <w:rPr>
          <w:rFonts w:ascii="Arial" w:hAnsi="Arial" w:cs="Arial"/>
        </w:rPr>
        <w:t>Le 7 janvier 2013, le Conseil d</w:t>
      </w:r>
      <w:r w:rsidR="0009028A">
        <w:rPr>
          <w:rFonts w:ascii="Arial" w:hAnsi="Arial" w:cs="Arial"/>
        </w:rPr>
        <w:t>’</w:t>
      </w:r>
      <w:r w:rsidRPr="00205E25">
        <w:rPr>
          <w:rFonts w:ascii="Arial" w:hAnsi="Arial" w:cs="Arial"/>
        </w:rPr>
        <w:t>arbitrage a rendu la sentence n° 001/C.A contenant les conclusions de son arbitrage, et par lesquelles il :</w:t>
      </w:r>
      <w:bookmarkEnd w:id="21"/>
    </w:p>
    <w:p w14:paraId="1DF8AF34" w14:textId="77777777" w:rsidR="0060770F" w:rsidRPr="00205E25" w:rsidRDefault="0060770F" w:rsidP="009E2D2E">
      <w:pPr>
        <w:rPr>
          <w:rFonts w:ascii="Arial" w:hAnsi="Arial" w:cs="Arial"/>
          <w:color w:val="4472C4" w:themeColor="accent1"/>
          <w:lang w:bidi="ar-DZ"/>
        </w:rPr>
      </w:pPr>
    </w:p>
    <w:p w14:paraId="68662299" w14:textId="77777777" w:rsidR="0060770F" w:rsidRPr="00205E25" w:rsidRDefault="00E278A9" w:rsidP="009E2D2E">
      <w:pPr>
        <w:rPr>
          <w:rFonts w:ascii="Arial" w:hAnsi="Arial" w:cs="Arial"/>
        </w:rPr>
      </w:pPr>
      <w:r w:rsidRPr="00205E25">
        <w:rPr>
          <w:rFonts w:ascii="Arial" w:hAnsi="Arial" w:cs="Arial"/>
          <w:szCs w:val="20"/>
        </w:rPr>
        <w:t xml:space="preserve">Ordonne à LTA-Mali S.A. de payer aux travailleurs le solde des </w:t>
      </w:r>
      <w:r w:rsidRPr="00205E25">
        <w:rPr>
          <w:rFonts w:ascii="Arial" w:hAnsi="Arial" w:cs="Arial"/>
          <w:szCs w:val="20"/>
        </w:rPr>
        <w:lastRenderedPageBreak/>
        <w:t>arriérés de la majoration salariale de 7 % pour une période de trente-deux (32) mois ;</w:t>
      </w:r>
    </w:p>
    <w:p w14:paraId="314A3714" w14:textId="4CF196C1" w:rsidR="0060770F" w:rsidRPr="00205E25" w:rsidRDefault="00E278A9" w:rsidP="009E2D2E">
      <w:pPr>
        <w:rPr>
          <w:rFonts w:ascii="Arial" w:hAnsi="Arial" w:cs="Arial"/>
        </w:rPr>
      </w:pPr>
      <w:r w:rsidRPr="00205E25">
        <w:rPr>
          <w:rFonts w:ascii="Arial" w:hAnsi="Arial" w:cs="Arial"/>
          <w:szCs w:val="20"/>
        </w:rPr>
        <w:t>Ordonne à LTA-Mali S.A. de payer aux travailleurs une prime de rendement au titre de l</w:t>
      </w:r>
      <w:r w:rsidR="0009028A">
        <w:rPr>
          <w:rFonts w:ascii="Arial" w:hAnsi="Arial" w:cs="Arial"/>
          <w:szCs w:val="20"/>
        </w:rPr>
        <w:t>’</w:t>
      </w:r>
      <w:r w:rsidRPr="00205E25">
        <w:rPr>
          <w:rFonts w:ascii="Arial" w:hAnsi="Arial" w:cs="Arial"/>
          <w:szCs w:val="20"/>
        </w:rPr>
        <w:t>année 2011, conformément aux dispositions de l</w:t>
      </w:r>
      <w:r w:rsidR="0009028A">
        <w:rPr>
          <w:rFonts w:ascii="Arial" w:hAnsi="Arial" w:cs="Arial"/>
          <w:szCs w:val="20"/>
        </w:rPr>
        <w:t>’</w:t>
      </w:r>
      <w:r w:rsidRPr="00205E25">
        <w:rPr>
          <w:rFonts w:ascii="Arial" w:hAnsi="Arial" w:cs="Arial"/>
          <w:szCs w:val="20"/>
        </w:rPr>
        <w:t>article 8 de la Convention collective des industries géologiques et aquatiques.</w:t>
      </w:r>
    </w:p>
    <w:p w14:paraId="072FB889" w14:textId="77777777" w:rsidR="0060770F" w:rsidRPr="00205E25" w:rsidRDefault="0060770F" w:rsidP="009E2D2E">
      <w:pPr>
        <w:rPr>
          <w:rFonts w:ascii="Arial" w:hAnsi="Arial" w:cs="Arial"/>
          <w:color w:val="4472C4" w:themeColor="accent1"/>
        </w:rPr>
      </w:pPr>
    </w:p>
    <w:p w14:paraId="4CC71112" w14:textId="4B6FD5BE" w:rsidR="0060770F" w:rsidRPr="00205E25" w:rsidRDefault="00E278A9" w:rsidP="009E2D2E">
      <w:pPr>
        <w:rPr>
          <w:rFonts w:ascii="Arial" w:hAnsi="Arial" w:cs="Arial"/>
        </w:rPr>
      </w:pPr>
      <w:r w:rsidRPr="00205E25">
        <w:rPr>
          <w:rFonts w:ascii="Arial" w:hAnsi="Arial" w:cs="Arial"/>
        </w:rPr>
        <w:t>Le Conseil d</w:t>
      </w:r>
      <w:r w:rsidR="0009028A">
        <w:rPr>
          <w:rFonts w:ascii="Arial" w:hAnsi="Arial" w:cs="Arial"/>
        </w:rPr>
        <w:t>’</w:t>
      </w:r>
      <w:r w:rsidRPr="00205E25">
        <w:rPr>
          <w:rFonts w:ascii="Arial" w:hAnsi="Arial" w:cs="Arial"/>
        </w:rPr>
        <w:t>arbitrage a également ordonné la suspension du mandat d</w:t>
      </w:r>
      <w:r w:rsidR="0009028A">
        <w:rPr>
          <w:rFonts w:ascii="Arial" w:hAnsi="Arial" w:cs="Arial"/>
        </w:rPr>
        <w:t>’</w:t>
      </w:r>
      <w:r w:rsidRPr="00205E25">
        <w:rPr>
          <w:rFonts w:ascii="Arial" w:hAnsi="Arial" w:cs="Arial"/>
        </w:rPr>
        <w:t>arrêt émis par la justice malienne contre les quatorze (14) leaders syndicaux.</w:t>
      </w:r>
    </w:p>
    <w:p w14:paraId="0BE6CD50" w14:textId="77777777" w:rsidR="0060770F" w:rsidRPr="00205E25" w:rsidRDefault="0060770F" w:rsidP="009E2D2E">
      <w:pPr>
        <w:rPr>
          <w:rFonts w:ascii="Arial" w:hAnsi="Arial" w:cs="Arial"/>
        </w:rPr>
      </w:pPr>
    </w:p>
    <w:p w14:paraId="305F2D83" w14:textId="535EB882" w:rsidR="0060770F" w:rsidRPr="00205E25" w:rsidRDefault="00E278A9" w:rsidP="009E2D2E">
      <w:pPr>
        <w:rPr>
          <w:rFonts w:ascii="Arial" w:hAnsi="Arial" w:cs="Arial"/>
        </w:rPr>
      </w:pPr>
      <w:bookmarkStart w:id="22" w:name="_Hlk113201374"/>
      <w:r w:rsidRPr="00205E25">
        <w:rPr>
          <w:rFonts w:ascii="Arial" w:hAnsi="Arial" w:cs="Arial"/>
        </w:rPr>
        <w:t>Dans une correspondance reçue au secrétariat du Conseil d</w:t>
      </w:r>
      <w:r w:rsidR="0009028A">
        <w:rPr>
          <w:rFonts w:ascii="Arial" w:hAnsi="Arial" w:cs="Arial"/>
        </w:rPr>
        <w:t>’</w:t>
      </w:r>
      <w:r w:rsidRPr="00205E25">
        <w:rPr>
          <w:rFonts w:ascii="Arial" w:hAnsi="Arial" w:cs="Arial"/>
        </w:rPr>
        <w:t>arbitrage le 1</w:t>
      </w:r>
      <w:r w:rsidRPr="00205E25">
        <w:rPr>
          <w:rFonts w:ascii="Arial" w:hAnsi="Arial" w:cs="Arial"/>
          <w:vertAlign w:val="superscript"/>
        </w:rPr>
        <w:t>er</w:t>
      </w:r>
      <w:r w:rsidRPr="00205E25">
        <w:rPr>
          <w:rFonts w:ascii="Arial" w:hAnsi="Arial" w:cs="Arial"/>
        </w:rPr>
        <w:t xml:space="preserve"> février 2013, </w:t>
      </w:r>
      <w:bookmarkStart w:id="23" w:name="_Hlk112839733"/>
      <w:bookmarkStart w:id="24" w:name="_Hlk113111755"/>
      <w:r w:rsidRPr="00205E25">
        <w:rPr>
          <w:rFonts w:ascii="Arial" w:hAnsi="Arial" w:cs="Arial"/>
        </w:rPr>
        <w:t>LTA-Mali S.A. a fait opposition à l</w:t>
      </w:r>
      <w:r w:rsidR="0009028A">
        <w:rPr>
          <w:rFonts w:ascii="Arial" w:hAnsi="Arial" w:cs="Arial"/>
        </w:rPr>
        <w:t>’</w:t>
      </w:r>
      <w:r w:rsidRPr="00205E25">
        <w:rPr>
          <w:rFonts w:ascii="Arial" w:hAnsi="Arial" w:cs="Arial"/>
        </w:rPr>
        <w:t xml:space="preserve">exécution </w:t>
      </w:r>
      <w:bookmarkStart w:id="25" w:name="_Hlk119429567"/>
      <w:r w:rsidRPr="00205E25">
        <w:rPr>
          <w:rFonts w:ascii="Arial" w:hAnsi="Arial" w:cs="Arial"/>
        </w:rPr>
        <w:t xml:space="preserve">de la </w:t>
      </w:r>
      <w:bookmarkEnd w:id="25"/>
      <w:r w:rsidRPr="00205E25">
        <w:rPr>
          <w:rFonts w:ascii="Arial" w:hAnsi="Arial" w:cs="Arial"/>
        </w:rPr>
        <w:t xml:space="preserve">sentence n° 001/C.A du 7 janvier 2013 du </w:t>
      </w:r>
      <w:bookmarkStart w:id="26" w:name="_Hlk119429633"/>
      <w:r w:rsidRPr="00205E25">
        <w:rPr>
          <w:rFonts w:ascii="Arial" w:hAnsi="Arial" w:cs="Arial"/>
        </w:rPr>
        <w:t>Conseil d</w:t>
      </w:r>
      <w:r w:rsidR="0009028A">
        <w:rPr>
          <w:rFonts w:ascii="Arial" w:hAnsi="Arial" w:cs="Arial"/>
        </w:rPr>
        <w:t>’</w:t>
      </w:r>
      <w:r w:rsidRPr="00205E25">
        <w:rPr>
          <w:rFonts w:ascii="Arial" w:hAnsi="Arial" w:cs="Arial"/>
        </w:rPr>
        <w:t>arbitrage</w:t>
      </w:r>
      <w:bookmarkEnd w:id="26"/>
      <w:r w:rsidRPr="00205E25">
        <w:rPr>
          <w:rFonts w:ascii="Arial" w:hAnsi="Arial" w:cs="Arial"/>
        </w:rPr>
        <w:t>.</w:t>
      </w:r>
      <w:bookmarkEnd w:id="23"/>
      <w:bookmarkEnd w:id="24"/>
    </w:p>
    <w:p w14:paraId="4E61BDF3" w14:textId="77777777" w:rsidR="0060770F" w:rsidRPr="00205E25" w:rsidRDefault="0060770F" w:rsidP="009E2D2E">
      <w:pPr>
        <w:rPr>
          <w:rFonts w:ascii="Arial" w:hAnsi="Arial" w:cs="Arial"/>
        </w:rPr>
      </w:pPr>
    </w:p>
    <w:p w14:paraId="16C0F86F" w14:textId="629504D0" w:rsidR="0060770F" w:rsidRPr="00205E25" w:rsidRDefault="00E278A9" w:rsidP="009E2D2E">
      <w:pPr>
        <w:rPr>
          <w:rFonts w:ascii="Arial" w:hAnsi="Arial" w:cs="Arial"/>
        </w:rPr>
      </w:pPr>
      <w:r w:rsidRPr="00205E25">
        <w:rPr>
          <w:rFonts w:ascii="Arial" w:hAnsi="Arial" w:cs="Arial"/>
        </w:rPr>
        <w:t>Par la suite un collectif de travailleurs composé d</w:t>
      </w:r>
      <w:r w:rsidR="0009028A">
        <w:rPr>
          <w:rFonts w:ascii="Arial" w:hAnsi="Arial" w:cs="Arial"/>
        </w:rPr>
        <w:t>’</w:t>
      </w:r>
      <w:r w:rsidRPr="00205E25">
        <w:rPr>
          <w:rFonts w:ascii="Arial" w:hAnsi="Arial" w:cs="Arial"/>
        </w:rPr>
        <w:t>Ismaila TRAORÉ et de douze (12) autres, ont saisi le Tribunal du travail de Kayes d</w:t>
      </w:r>
      <w:r w:rsidR="0009028A">
        <w:rPr>
          <w:rFonts w:ascii="Arial" w:hAnsi="Arial" w:cs="Arial"/>
        </w:rPr>
        <w:t>’</w:t>
      </w:r>
      <w:r w:rsidRPr="00205E25">
        <w:rPr>
          <w:rFonts w:ascii="Arial" w:hAnsi="Arial" w:cs="Arial"/>
        </w:rPr>
        <w:t>une action contre LTA-Mali S.A.</w:t>
      </w:r>
      <w:r w:rsidRPr="00205E25">
        <w:rPr>
          <w:rFonts w:ascii="Arial" w:hAnsi="Arial" w:cs="Arial" w:hint="cs"/>
          <w:rtl/>
        </w:rPr>
        <w:t xml:space="preserve"> </w:t>
      </w:r>
      <w:r w:rsidRPr="00205E25">
        <w:rPr>
          <w:rFonts w:ascii="Arial" w:hAnsi="Arial" w:cs="Arial"/>
        </w:rPr>
        <w:t>ayant pour objet d</w:t>
      </w:r>
      <w:r w:rsidR="0009028A">
        <w:rPr>
          <w:rFonts w:ascii="Arial" w:hAnsi="Arial" w:cs="Arial"/>
        </w:rPr>
        <w:t>’</w:t>
      </w:r>
      <w:r w:rsidRPr="00205E25">
        <w:rPr>
          <w:rFonts w:ascii="Arial" w:hAnsi="Arial" w:cs="Arial"/>
        </w:rPr>
        <w:t>ordonner l</w:t>
      </w:r>
      <w:r w:rsidR="0009028A">
        <w:rPr>
          <w:rFonts w:ascii="Arial" w:hAnsi="Arial" w:cs="Arial"/>
        </w:rPr>
        <w:t>’</w:t>
      </w:r>
      <w:r w:rsidRPr="00205E25">
        <w:rPr>
          <w:rFonts w:ascii="Arial" w:hAnsi="Arial" w:cs="Arial"/>
        </w:rPr>
        <w:t>exécution</w:t>
      </w:r>
      <w:r w:rsidRPr="00205E25">
        <w:t xml:space="preserve"> </w:t>
      </w:r>
      <w:r w:rsidRPr="00205E25">
        <w:rPr>
          <w:rFonts w:ascii="Arial" w:hAnsi="Arial" w:cs="Arial"/>
        </w:rPr>
        <w:t>de la décision du Conseil d</w:t>
      </w:r>
      <w:r w:rsidR="0009028A">
        <w:rPr>
          <w:rFonts w:ascii="Arial" w:hAnsi="Arial" w:cs="Arial"/>
        </w:rPr>
        <w:t>’</w:t>
      </w:r>
      <w:r w:rsidRPr="00205E25">
        <w:rPr>
          <w:rFonts w:ascii="Arial" w:hAnsi="Arial" w:cs="Arial"/>
        </w:rPr>
        <w:t>arbitrage. Ladite juridiction, dans sa décision n° 015 du 24 juin 2013, s</w:t>
      </w:r>
      <w:r w:rsidR="0009028A">
        <w:rPr>
          <w:rFonts w:ascii="Arial" w:hAnsi="Arial" w:cs="Arial"/>
        </w:rPr>
        <w:t>’</w:t>
      </w:r>
      <w:r w:rsidRPr="00205E25">
        <w:rPr>
          <w:rFonts w:ascii="Arial" w:hAnsi="Arial" w:cs="Arial"/>
        </w:rPr>
        <w:t>est déclarée incompétente pour connaître des demandes de droits et de dommages et intérêts formulées par les plaignants.</w:t>
      </w:r>
    </w:p>
    <w:p w14:paraId="0407760C" w14:textId="77777777" w:rsidR="0060770F" w:rsidRPr="00205E25" w:rsidRDefault="0060770F" w:rsidP="009E2D2E">
      <w:pPr>
        <w:rPr>
          <w:rFonts w:ascii="Arial" w:hAnsi="Arial" w:cs="Arial"/>
        </w:rPr>
      </w:pPr>
    </w:p>
    <w:p w14:paraId="2D4854EC" w14:textId="4787EEA5" w:rsidR="0060770F" w:rsidRPr="00205E25" w:rsidRDefault="00E278A9" w:rsidP="009E2D2E">
      <w:pPr>
        <w:rPr>
          <w:rFonts w:ascii="Arial" w:hAnsi="Arial" w:cs="Arial"/>
        </w:rPr>
      </w:pPr>
      <w:r w:rsidRPr="00205E25">
        <w:rPr>
          <w:rFonts w:ascii="Arial" w:hAnsi="Arial" w:cs="Arial"/>
        </w:rPr>
        <w:t>Par courrier n° 0039/MTASH/CAB en date du 28 janvier 2014, le ministre du Travail et des Affaires sociales et humanitaires de l</w:t>
      </w:r>
      <w:r w:rsidR="0009028A">
        <w:rPr>
          <w:rFonts w:ascii="Arial" w:hAnsi="Arial" w:cs="Arial"/>
        </w:rPr>
        <w:t>’</w:t>
      </w:r>
      <w:r w:rsidRPr="00205E25">
        <w:rPr>
          <w:rFonts w:ascii="Arial" w:hAnsi="Arial" w:cs="Arial"/>
        </w:rPr>
        <w:t xml:space="preserve">État défendeur a enjoint, sans grand succès, </w:t>
      </w:r>
      <w:r w:rsidR="00EB2AC8">
        <w:rPr>
          <w:rFonts w:ascii="Arial" w:hAnsi="Arial" w:cs="Arial"/>
        </w:rPr>
        <w:t xml:space="preserve">à </w:t>
      </w:r>
      <w:r w:rsidRPr="00205E25">
        <w:rPr>
          <w:rFonts w:ascii="Arial" w:hAnsi="Arial" w:cs="Arial"/>
        </w:rPr>
        <w:t>LTA-Mali SA d</w:t>
      </w:r>
      <w:r w:rsidR="0009028A">
        <w:rPr>
          <w:rFonts w:ascii="Arial" w:hAnsi="Arial" w:cs="Arial"/>
        </w:rPr>
        <w:t>’</w:t>
      </w:r>
      <w:r w:rsidRPr="00205E25">
        <w:rPr>
          <w:rFonts w:ascii="Arial" w:hAnsi="Arial" w:cs="Arial"/>
        </w:rPr>
        <w:t>exécuter en bonne et due forme la sentence n° 001 du Conseil d</w:t>
      </w:r>
      <w:r w:rsidR="0009028A">
        <w:rPr>
          <w:rFonts w:ascii="Arial" w:hAnsi="Arial" w:cs="Arial"/>
        </w:rPr>
        <w:t>’</w:t>
      </w:r>
      <w:r w:rsidRPr="00205E25">
        <w:rPr>
          <w:rFonts w:ascii="Arial" w:hAnsi="Arial" w:cs="Arial"/>
        </w:rPr>
        <w:t>arbitrage.</w:t>
      </w:r>
    </w:p>
    <w:p w14:paraId="4AEE9BCE" w14:textId="77777777" w:rsidR="0060770F" w:rsidRPr="00205E25" w:rsidRDefault="0060770F" w:rsidP="009E2D2E">
      <w:pPr>
        <w:rPr>
          <w:rFonts w:ascii="Arial" w:hAnsi="Arial" w:cs="Arial"/>
        </w:rPr>
      </w:pPr>
    </w:p>
    <w:p w14:paraId="3EDBFEE9" w14:textId="01FB4DA3" w:rsidR="0060770F" w:rsidRPr="00205E25" w:rsidRDefault="00E278A9" w:rsidP="009E2D2E">
      <w:pPr>
        <w:rPr>
          <w:rFonts w:ascii="Arial" w:hAnsi="Arial" w:cs="Arial"/>
        </w:rPr>
      </w:pPr>
      <w:bookmarkStart w:id="27" w:name="_Hlk112858266"/>
      <w:bookmarkEnd w:id="22"/>
      <w:r w:rsidRPr="00205E25">
        <w:rPr>
          <w:rFonts w:ascii="Arial" w:hAnsi="Arial" w:cs="Arial"/>
        </w:rPr>
        <w:t>Le 25 mars 2014, la FENAME a attrait LTA-Mali S.A.</w:t>
      </w:r>
      <w:bookmarkStart w:id="28" w:name="_Hlk112840200"/>
      <w:r w:rsidRPr="00205E25">
        <w:rPr>
          <w:rFonts w:ascii="Arial" w:hAnsi="Arial" w:cs="Arial"/>
        </w:rPr>
        <w:t xml:space="preserve"> en justice à l</w:t>
      </w:r>
      <w:r w:rsidR="0009028A">
        <w:rPr>
          <w:rFonts w:ascii="Arial" w:hAnsi="Arial" w:cs="Arial"/>
        </w:rPr>
        <w:t>’</w:t>
      </w:r>
      <w:r w:rsidRPr="00205E25">
        <w:rPr>
          <w:rFonts w:ascii="Arial" w:hAnsi="Arial" w:cs="Arial"/>
        </w:rPr>
        <w:t>effet d</w:t>
      </w:r>
      <w:r w:rsidR="0009028A">
        <w:rPr>
          <w:rFonts w:ascii="Arial" w:hAnsi="Arial" w:cs="Arial"/>
        </w:rPr>
        <w:t>’</w:t>
      </w:r>
      <w:r w:rsidRPr="00205E25">
        <w:rPr>
          <w:rFonts w:ascii="Arial" w:hAnsi="Arial" w:cs="Arial"/>
        </w:rPr>
        <w:t>obtenir l</w:t>
      </w:r>
      <w:r w:rsidR="0009028A">
        <w:rPr>
          <w:rFonts w:ascii="Arial" w:hAnsi="Arial" w:cs="Arial"/>
        </w:rPr>
        <w:t>’</w:t>
      </w:r>
      <w:r w:rsidRPr="00205E25">
        <w:rPr>
          <w:rFonts w:ascii="Arial" w:hAnsi="Arial" w:cs="Arial"/>
        </w:rPr>
        <w:t>exécution de la sentence du Conseil d</w:t>
      </w:r>
      <w:r w:rsidR="0009028A">
        <w:rPr>
          <w:rFonts w:ascii="Arial" w:hAnsi="Arial" w:cs="Arial"/>
        </w:rPr>
        <w:t>’</w:t>
      </w:r>
      <w:r w:rsidRPr="00205E25">
        <w:rPr>
          <w:rFonts w:ascii="Arial" w:hAnsi="Arial" w:cs="Arial"/>
        </w:rPr>
        <w:t>arbitrage, et le 2 juin 2014, le tribunal a rendu un jugement dans lequel il s</w:t>
      </w:r>
      <w:r w:rsidR="0009028A">
        <w:rPr>
          <w:rFonts w:ascii="Arial" w:hAnsi="Arial" w:cs="Arial"/>
        </w:rPr>
        <w:t>’</w:t>
      </w:r>
      <w:r w:rsidRPr="00205E25">
        <w:rPr>
          <w:rFonts w:ascii="Arial" w:hAnsi="Arial" w:cs="Arial"/>
        </w:rPr>
        <w:t>est déclaré incompétent en raison de la nature collective du conflit d</w:t>
      </w:r>
      <w:r w:rsidR="0009028A">
        <w:rPr>
          <w:rFonts w:ascii="Arial" w:hAnsi="Arial" w:cs="Arial"/>
        </w:rPr>
        <w:t>’</w:t>
      </w:r>
      <w:r w:rsidRPr="00205E25">
        <w:rPr>
          <w:rFonts w:ascii="Arial" w:hAnsi="Arial" w:cs="Arial"/>
        </w:rPr>
        <w:t xml:space="preserve">une part, et </w:t>
      </w:r>
      <w:r w:rsidR="00907C9E" w:rsidRPr="00205E25">
        <w:rPr>
          <w:rFonts w:ascii="Arial" w:hAnsi="Arial" w:cs="Arial"/>
          <w:bCs/>
        </w:rPr>
        <w:t>a</w:t>
      </w:r>
      <w:r w:rsidR="00EB2AC8">
        <w:rPr>
          <w:rFonts w:ascii="Arial" w:hAnsi="Arial" w:cs="Arial"/>
          <w:bCs/>
        </w:rPr>
        <w:t>,</w:t>
      </w:r>
      <w:r w:rsidRPr="00205E25">
        <w:rPr>
          <w:rFonts w:ascii="Arial" w:hAnsi="Arial" w:cs="Arial"/>
          <w:bCs/>
        </w:rPr>
        <w:t xml:space="preserve"> </w:t>
      </w:r>
      <w:r w:rsidR="00EB2AC8" w:rsidRPr="00205E25">
        <w:rPr>
          <w:rFonts w:ascii="Arial" w:hAnsi="Arial" w:cs="Arial"/>
        </w:rPr>
        <w:t>d</w:t>
      </w:r>
      <w:r w:rsidR="0009028A">
        <w:rPr>
          <w:rFonts w:ascii="Arial" w:hAnsi="Arial" w:cs="Arial"/>
        </w:rPr>
        <w:t>’</w:t>
      </w:r>
      <w:r w:rsidR="00EB2AC8" w:rsidRPr="00205E25">
        <w:rPr>
          <w:rFonts w:ascii="Arial" w:hAnsi="Arial" w:cs="Arial"/>
        </w:rPr>
        <w:t>autre part</w:t>
      </w:r>
      <w:r w:rsidR="00EB2AC8">
        <w:rPr>
          <w:rFonts w:ascii="Arial" w:hAnsi="Arial" w:cs="Arial"/>
        </w:rPr>
        <w:t>,</w:t>
      </w:r>
      <w:r w:rsidR="00EB2AC8" w:rsidRPr="00205E25">
        <w:rPr>
          <w:rFonts w:ascii="Arial" w:hAnsi="Arial" w:cs="Arial"/>
          <w:bCs/>
        </w:rPr>
        <w:t xml:space="preserve"> </w:t>
      </w:r>
      <w:r w:rsidRPr="00205E25">
        <w:rPr>
          <w:rFonts w:ascii="Arial" w:hAnsi="Arial" w:cs="Arial"/>
          <w:bCs/>
        </w:rPr>
        <w:t>jugé</w:t>
      </w:r>
      <w:r w:rsidRPr="00205E25">
        <w:rPr>
          <w:rFonts w:ascii="Arial" w:hAnsi="Arial" w:cs="Arial"/>
        </w:rPr>
        <w:t xml:space="preserve"> que l</w:t>
      </w:r>
      <w:r w:rsidR="0009028A">
        <w:rPr>
          <w:rFonts w:ascii="Arial" w:hAnsi="Arial" w:cs="Arial"/>
        </w:rPr>
        <w:t>’</w:t>
      </w:r>
      <w:r w:rsidRPr="00205E25">
        <w:rPr>
          <w:rFonts w:ascii="Arial" w:hAnsi="Arial" w:cs="Arial"/>
        </w:rPr>
        <w:t>action en opposition à exécution de la sentence intentée le 1</w:t>
      </w:r>
      <w:r w:rsidRPr="00205E25">
        <w:rPr>
          <w:rFonts w:ascii="Arial" w:hAnsi="Arial" w:cs="Arial"/>
          <w:vertAlign w:val="superscript"/>
        </w:rPr>
        <w:t>er</w:t>
      </w:r>
      <w:r w:rsidRPr="00205E25">
        <w:rPr>
          <w:rFonts w:ascii="Arial" w:hAnsi="Arial" w:cs="Arial"/>
        </w:rPr>
        <w:t xml:space="preserve"> février 2013 </w:t>
      </w:r>
      <w:bookmarkEnd w:id="28"/>
      <w:r w:rsidRPr="00205E25">
        <w:rPr>
          <w:rFonts w:ascii="Arial" w:hAnsi="Arial" w:cs="Arial"/>
        </w:rPr>
        <w:t>par LTA-Mali S.A. a rendu celle-ci nulle et de nul effet.</w:t>
      </w:r>
    </w:p>
    <w:bookmarkEnd w:id="27"/>
    <w:p w14:paraId="18CEF8A7" w14:textId="77777777" w:rsidR="0060770F" w:rsidRPr="00205E25" w:rsidRDefault="0060770F" w:rsidP="009E2D2E">
      <w:pPr>
        <w:rPr>
          <w:rFonts w:ascii="Arial" w:hAnsi="Arial" w:cs="Arial"/>
        </w:rPr>
      </w:pPr>
    </w:p>
    <w:p w14:paraId="5725E77F" w14:textId="77777777" w:rsidR="0060770F" w:rsidRPr="00205E25" w:rsidRDefault="0060770F" w:rsidP="009E2D2E">
      <w:pPr>
        <w:rPr>
          <w:rFonts w:ascii="Arial" w:hAnsi="Arial" w:cs="Arial"/>
        </w:rPr>
      </w:pPr>
    </w:p>
    <w:p w14:paraId="642EE241" w14:textId="77777777" w:rsidR="0060770F" w:rsidRPr="00205E25" w:rsidRDefault="0060770F" w:rsidP="009E2D2E">
      <w:pPr>
        <w:rPr>
          <w:rFonts w:ascii="Arial" w:hAnsi="Arial" w:cs="Arial"/>
        </w:rPr>
      </w:pPr>
    </w:p>
    <w:p w14:paraId="75AABFC3" w14:textId="1E2DA896" w:rsidR="0060770F" w:rsidRPr="00205E25" w:rsidRDefault="00E278A9" w:rsidP="009E2D2E">
      <w:pPr>
        <w:rPr>
          <w:rFonts w:ascii="Arial" w:hAnsi="Arial" w:cs="Arial"/>
        </w:rPr>
      </w:pPr>
      <w:bookmarkStart w:id="29" w:name="_Hlk113535238"/>
      <w:r w:rsidRPr="00205E25">
        <w:rPr>
          <w:rFonts w:ascii="Arial" w:hAnsi="Arial" w:cs="Arial"/>
        </w:rPr>
        <w:t>Le 30 juin 2014, les travailleurs bénéficiaires de la sentence, par l</w:t>
      </w:r>
      <w:r w:rsidR="0009028A">
        <w:rPr>
          <w:rFonts w:ascii="Arial" w:hAnsi="Arial" w:cs="Arial"/>
        </w:rPr>
        <w:t>’</w:t>
      </w:r>
      <w:r w:rsidRPr="00205E25">
        <w:rPr>
          <w:rFonts w:ascii="Arial" w:hAnsi="Arial" w:cs="Arial"/>
        </w:rPr>
        <w:t xml:space="preserve">entremise de leur confédération syndicale </w:t>
      </w:r>
      <w:r w:rsidR="00EB2AC8">
        <w:rPr>
          <w:rFonts w:ascii="Arial" w:hAnsi="Arial" w:cs="Arial"/>
        </w:rPr>
        <w:t>(</w:t>
      </w:r>
      <w:r w:rsidRPr="00205E25">
        <w:rPr>
          <w:rFonts w:ascii="Arial" w:hAnsi="Arial" w:cs="Arial"/>
        </w:rPr>
        <w:t>la CSTM</w:t>
      </w:r>
      <w:r w:rsidR="00EB2AC8">
        <w:rPr>
          <w:rFonts w:ascii="Arial" w:hAnsi="Arial" w:cs="Arial"/>
        </w:rPr>
        <w:t>)</w:t>
      </w:r>
      <w:r w:rsidRPr="00205E25">
        <w:rPr>
          <w:rFonts w:ascii="Arial" w:hAnsi="Arial" w:cs="Arial"/>
        </w:rPr>
        <w:t xml:space="preserve"> ont</w:t>
      </w:r>
      <w:r w:rsidR="000F2906">
        <w:rPr>
          <w:rFonts w:ascii="Arial" w:hAnsi="Arial" w:cs="Arial"/>
        </w:rPr>
        <w:t>,</w:t>
      </w:r>
      <w:r w:rsidRPr="00205E25">
        <w:rPr>
          <w:rFonts w:ascii="Arial" w:hAnsi="Arial" w:cs="Arial"/>
        </w:rPr>
        <w:t xml:space="preserve"> par courrier n° 14/00108/CEN-CSTM, demandé au ministre malien du Travail, de la Fonction publique et des Relations avec les institutions, d</w:t>
      </w:r>
      <w:r w:rsidR="0009028A">
        <w:rPr>
          <w:rFonts w:ascii="Arial" w:hAnsi="Arial" w:cs="Arial"/>
        </w:rPr>
        <w:t>’</w:t>
      </w:r>
      <w:r w:rsidRPr="00205E25">
        <w:rPr>
          <w:rFonts w:ascii="Arial" w:hAnsi="Arial" w:cs="Arial"/>
        </w:rPr>
        <w:t xml:space="preserve">intercéder auprès du Conseil des ministres aux fins </w:t>
      </w:r>
      <w:bookmarkStart w:id="30" w:name="_Hlk119430194"/>
      <w:r w:rsidRPr="00205E25">
        <w:rPr>
          <w:rFonts w:ascii="Arial" w:hAnsi="Arial" w:cs="Arial"/>
        </w:rPr>
        <w:t>de l</w:t>
      </w:r>
      <w:r w:rsidR="0009028A">
        <w:rPr>
          <w:rFonts w:ascii="Arial" w:hAnsi="Arial" w:cs="Arial"/>
        </w:rPr>
        <w:t>’</w:t>
      </w:r>
      <w:r w:rsidRPr="00205E25">
        <w:rPr>
          <w:rFonts w:ascii="Arial" w:hAnsi="Arial" w:cs="Arial"/>
        </w:rPr>
        <w:t>exécution de la sentence du Conseil d</w:t>
      </w:r>
      <w:r w:rsidR="0009028A">
        <w:rPr>
          <w:rFonts w:ascii="Arial" w:hAnsi="Arial" w:cs="Arial"/>
        </w:rPr>
        <w:t>’</w:t>
      </w:r>
      <w:r w:rsidRPr="00205E25">
        <w:rPr>
          <w:rFonts w:ascii="Arial" w:hAnsi="Arial" w:cs="Arial"/>
        </w:rPr>
        <w:t>arbitrage</w:t>
      </w:r>
      <w:bookmarkEnd w:id="30"/>
      <w:r w:rsidRPr="00205E25">
        <w:rPr>
          <w:rFonts w:ascii="Arial" w:hAnsi="Arial" w:cs="Arial"/>
        </w:rPr>
        <w:t xml:space="preserve"> rendue le 7 janvier 2013.</w:t>
      </w:r>
    </w:p>
    <w:p w14:paraId="328B881D" w14:textId="77777777" w:rsidR="0060770F" w:rsidRPr="00205E25" w:rsidRDefault="0060770F" w:rsidP="009E2D2E">
      <w:pPr>
        <w:rPr>
          <w:rFonts w:ascii="Arial" w:hAnsi="Arial" w:cs="Arial"/>
        </w:rPr>
      </w:pPr>
    </w:p>
    <w:p w14:paraId="2DF18625" w14:textId="47755051" w:rsidR="0060770F" w:rsidRPr="00205E25" w:rsidRDefault="00E278A9" w:rsidP="009E2D2E">
      <w:pPr>
        <w:rPr>
          <w:rFonts w:ascii="Arial" w:hAnsi="Arial" w:cs="Arial"/>
        </w:rPr>
      </w:pPr>
      <w:r w:rsidRPr="00205E25">
        <w:rPr>
          <w:rFonts w:ascii="Arial" w:hAnsi="Arial" w:cs="Arial"/>
        </w:rPr>
        <w:t>Le 28 octobre 2015, le ministre du Travail, responsable du dossier a présenté une communication écrite qu</w:t>
      </w:r>
      <w:r w:rsidR="0009028A">
        <w:rPr>
          <w:rFonts w:ascii="Arial" w:hAnsi="Arial" w:cs="Arial"/>
        </w:rPr>
        <w:t>’</w:t>
      </w:r>
      <w:r w:rsidRPr="00205E25">
        <w:rPr>
          <w:rFonts w:ascii="Arial" w:hAnsi="Arial" w:cs="Arial"/>
        </w:rPr>
        <w:t xml:space="preserve">il a soumise au Conseil </w:t>
      </w:r>
      <w:bookmarkStart w:id="31" w:name="_Hlk119430320"/>
      <w:r w:rsidRPr="00205E25">
        <w:rPr>
          <w:rFonts w:ascii="Arial" w:hAnsi="Arial" w:cs="Arial"/>
        </w:rPr>
        <w:t xml:space="preserve">des ministres </w:t>
      </w:r>
      <w:bookmarkEnd w:id="31"/>
      <w:r w:rsidRPr="00205E25">
        <w:rPr>
          <w:rFonts w:ascii="Arial" w:hAnsi="Arial" w:cs="Arial"/>
        </w:rPr>
        <w:t>aux fins</w:t>
      </w:r>
      <w:r w:rsidRPr="00205E25">
        <w:t xml:space="preserve"> </w:t>
      </w:r>
      <w:r w:rsidRPr="00205E25">
        <w:rPr>
          <w:rFonts w:ascii="Arial" w:hAnsi="Arial" w:cs="Arial"/>
        </w:rPr>
        <w:t>de l</w:t>
      </w:r>
      <w:r w:rsidR="0009028A">
        <w:rPr>
          <w:rFonts w:ascii="Arial" w:hAnsi="Arial" w:cs="Arial"/>
        </w:rPr>
        <w:t>’</w:t>
      </w:r>
      <w:r w:rsidRPr="00205E25">
        <w:rPr>
          <w:rFonts w:ascii="Arial" w:hAnsi="Arial" w:cs="Arial"/>
        </w:rPr>
        <w:t>exécution de la sentence du Conseil d</w:t>
      </w:r>
      <w:r w:rsidR="0009028A">
        <w:rPr>
          <w:rFonts w:ascii="Arial" w:hAnsi="Arial" w:cs="Arial"/>
        </w:rPr>
        <w:t>’</w:t>
      </w:r>
      <w:r w:rsidRPr="00205E25">
        <w:rPr>
          <w:rFonts w:ascii="Arial" w:hAnsi="Arial" w:cs="Arial"/>
        </w:rPr>
        <w:t>arbitrage. Le Conseil des ministres a décidé de ne pas valider ladite communication au motif que les mines ne sont pas un secteur essentiel au sens des normes de l</w:t>
      </w:r>
      <w:r w:rsidR="0009028A">
        <w:rPr>
          <w:rFonts w:ascii="Arial" w:hAnsi="Arial" w:cs="Arial"/>
        </w:rPr>
        <w:t>’</w:t>
      </w:r>
      <w:r w:rsidRPr="00205E25">
        <w:rPr>
          <w:rFonts w:ascii="Arial" w:hAnsi="Arial" w:cs="Arial"/>
        </w:rPr>
        <w:t>OIT.</w:t>
      </w:r>
    </w:p>
    <w:p w14:paraId="25B40977" w14:textId="77777777" w:rsidR="0060770F" w:rsidRPr="00205E25" w:rsidRDefault="0060770F" w:rsidP="009E2D2E">
      <w:pPr>
        <w:rPr>
          <w:rFonts w:ascii="Arial" w:hAnsi="Arial" w:cs="Arial"/>
        </w:rPr>
      </w:pPr>
    </w:p>
    <w:bookmarkEnd w:id="29"/>
    <w:p w14:paraId="06DBF3C6" w14:textId="0F076556" w:rsidR="0060770F" w:rsidRPr="00205E25" w:rsidRDefault="00E278A9" w:rsidP="009E2D2E">
      <w:pPr>
        <w:rPr>
          <w:rFonts w:ascii="Arial" w:hAnsi="Arial" w:cs="Arial"/>
        </w:rPr>
      </w:pPr>
      <w:r w:rsidRPr="00205E25">
        <w:rPr>
          <w:rFonts w:ascii="Arial" w:hAnsi="Arial" w:cs="Arial"/>
        </w:rPr>
        <w:t>Le 7 janvier 2016, le ministre du Travail, a notifié par courrier n°</w:t>
      </w:r>
      <w:r w:rsidR="000F2906">
        <w:rPr>
          <w:rFonts w:ascii="Arial" w:hAnsi="Arial" w:cs="Arial"/>
        </w:rPr>
        <w:t> </w:t>
      </w:r>
      <w:r w:rsidRPr="00205E25">
        <w:rPr>
          <w:rFonts w:ascii="Arial" w:hAnsi="Arial" w:cs="Arial"/>
        </w:rPr>
        <w:t xml:space="preserve">000010/MTFP-SG, la décision du Conseil </w:t>
      </w:r>
      <w:r w:rsidRPr="00205E25">
        <w:rPr>
          <w:rFonts w:ascii="Arial" w:hAnsi="Arial" w:cs="Arial"/>
          <w:bCs/>
        </w:rPr>
        <w:t>des ministres</w:t>
      </w:r>
      <w:r w:rsidRPr="00205E25">
        <w:rPr>
          <w:rFonts w:ascii="Arial" w:hAnsi="Arial" w:cs="Arial"/>
        </w:rPr>
        <w:t xml:space="preserve"> au Secrétaire général de la Confédération des syndicats des travailleurs du Mali qui l</w:t>
      </w:r>
      <w:r w:rsidR="0009028A">
        <w:rPr>
          <w:rFonts w:ascii="Arial" w:hAnsi="Arial" w:cs="Arial"/>
        </w:rPr>
        <w:t>’</w:t>
      </w:r>
      <w:r w:rsidRPr="00205E25">
        <w:rPr>
          <w:rFonts w:ascii="Arial" w:hAnsi="Arial" w:cs="Arial"/>
        </w:rPr>
        <w:t xml:space="preserve">a transmise à ses syndiqués au nombre desquels figurent les Requérants, Mamadou </w:t>
      </w:r>
      <w:r w:rsidR="000F2906" w:rsidRPr="00205E25">
        <w:rPr>
          <w:rFonts w:ascii="Arial" w:hAnsi="Arial" w:cs="Arial"/>
        </w:rPr>
        <w:t xml:space="preserve">DABO </w:t>
      </w:r>
      <w:r w:rsidRPr="00205E25">
        <w:rPr>
          <w:rFonts w:ascii="Arial" w:hAnsi="Arial" w:cs="Arial"/>
        </w:rPr>
        <w:t>et autres.</w:t>
      </w:r>
    </w:p>
    <w:p w14:paraId="3F23A8BB" w14:textId="77777777" w:rsidR="0060770F" w:rsidRPr="00205E25" w:rsidRDefault="0060770F" w:rsidP="009E2D2E">
      <w:pPr>
        <w:rPr>
          <w:rFonts w:ascii="Arial" w:hAnsi="Arial" w:cs="Arial"/>
        </w:rPr>
      </w:pPr>
    </w:p>
    <w:p w14:paraId="560CD171" w14:textId="4DB35D5D" w:rsidR="0060770F" w:rsidRPr="00205E25" w:rsidRDefault="00E278A9" w:rsidP="009E2D2E">
      <w:pPr>
        <w:rPr>
          <w:rFonts w:ascii="Arial" w:hAnsi="Arial" w:cs="Arial"/>
        </w:rPr>
      </w:pPr>
      <w:bookmarkStart w:id="32" w:name="_Hlk112858513"/>
      <w:r w:rsidRPr="00205E25">
        <w:rPr>
          <w:rFonts w:ascii="Arial" w:hAnsi="Arial" w:cs="Arial"/>
        </w:rPr>
        <w:t>Le 1</w:t>
      </w:r>
      <w:r w:rsidRPr="00205E25">
        <w:rPr>
          <w:rFonts w:ascii="Arial" w:hAnsi="Arial" w:cs="Arial"/>
          <w:vertAlign w:val="superscript"/>
        </w:rPr>
        <w:t>er</w:t>
      </w:r>
      <w:r w:rsidRPr="00205E25">
        <w:rPr>
          <w:rFonts w:ascii="Arial" w:hAnsi="Arial" w:cs="Arial"/>
        </w:rPr>
        <w:t xml:space="preserve"> novembre 2016, un autre collectif composé de Mamadou DABO et vingt-cinq (25) autres travailleurs, a saisi le Tribunal de la Commune II de Bamako pour réclamer le paiement des montants adjugés par le Conseil d</w:t>
      </w:r>
      <w:r w:rsidR="0009028A">
        <w:rPr>
          <w:rFonts w:ascii="Arial" w:hAnsi="Arial" w:cs="Arial"/>
        </w:rPr>
        <w:t>’</w:t>
      </w:r>
      <w:r w:rsidRPr="00205E25">
        <w:rPr>
          <w:rFonts w:ascii="Arial" w:hAnsi="Arial" w:cs="Arial"/>
        </w:rPr>
        <w:t>arbitrage. Dans sa décision n° 145 du 5 avril 2017, cette juridiction s</w:t>
      </w:r>
      <w:r w:rsidR="0009028A">
        <w:rPr>
          <w:rFonts w:ascii="Arial" w:hAnsi="Arial" w:cs="Arial"/>
        </w:rPr>
        <w:t>’</w:t>
      </w:r>
      <w:r w:rsidRPr="00205E25">
        <w:rPr>
          <w:rFonts w:ascii="Arial" w:hAnsi="Arial" w:cs="Arial"/>
        </w:rPr>
        <w:t xml:space="preserve">est déclarée </w:t>
      </w:r>
      <w:r w:rsidR="00817B99" w:rsidRPr="00205E25">
        <w:rPr>
          <w:rFonts w:ascii="Arial" w:hAnsi="Arial" w:cs="Arial"/>
          <w:bCs/>
        </w:rPr>
        <w:t>incompétente</w:t>
      </w:r>
      <w:r w:rsidRPr="00205E25">
        <w:rPr>
          <w:rFonts w:ascii="Arial" w:hAnsi="Arial" w:cs="Arial"/>
          <w:bCs/>
        </w:rPr>
        <w:t>.</w:t>
      </w:r>
    </w:p>
    <w:p w14:paraId="44CBCF24" w14:textId="77777777" w:rsidR="0060770F" w:rsidRPr="00205E25" w:rsidRDefault="0060770F" w:rsidP="009E2D2E">
      <w:pPr>
        <w:rPr>
          <w:rFonts w:ascii="Arial" w:hAnsi="Arial" w:cs="Arial"/>
        </w:rPr>
      </w:pPr>
    </w:p>
    <w:p w14:paraId="59D671EA" w14:textId="02FC60F8" w:rsidR="0060770F" w:rsidRPr="00205E25" w:rsidRDefault="00E278A9" w:rsidP="009E2D2E">
      <w:pPr>
        <w:rPr>
          <w:rFonts w:ascii="Arial" w:hAnsi="Arial" w:cs="Arial"/>
          <w:bCs/>
        </w:rPr>
      </w:pPr>
      <w:r w:rsidRPr="00205E25">
        <w:rPr>
          <w:rFonts w:ascii="Arial" w:hAnsi="Arial" w:cs="Arial"/>
        </w:rPr>
        <w:t>Le 10 janvier 2018, le même collectif de travailleurs a saisi le Tribunal du travail de Bamako d</w:t>
      </w:r>
      <w:r w:rsidR="0009028A">
        <w:rPr>
          <w:rFonts w:ascii="Arial" w:hAnsi="Arial" w:cs="Arial"/>
        </w:rPr>
        <w:t>’</w:t>
      </w:r>
      <w:r w:rsidRPr="00205E25">
        <w:rPr>
          <w:rFonts w:ascii="Arial" w:hAnsi="Arial" w:cs="Arial"/>
        </w:rPr>
        <w:t>une autre requête visant à rendre exécutoire la sentence du Conseil d</w:t>
      </w:r>
      <w:r w:rsidR="0009028A">
        <w:rPr>
          <w:rFonts w:ascii="Arial" w:hAnsi="Arial" w:cs="Arial"/>
        </w:rPr>
        <w:t>’</w:t>
      </w:r>
      <w:r w:rsidRPr="00205E25">
        <w:rPr>
          <w:rFonts w:ascii="Arial" w:hAnsi="Arial" w:cs="Arial"/>
        </w:rPr>
        <w:t>arbitrage. Le Président dudit tribunal a rendu l</w:t>
      </w:r>
      <w:r w:rsidR="0009028A">
        <w:rPr>
          <w:rFonts w:ascii="Arial" w:hAnsi="Arial" w:cs="Arial"/>
        </w:rPr>
        <w:t>’</w:t>
      </w:r>
      <w:r w:rsidRPr="00205E25">
        <w:rPr>
          <w:rFonts w:ascii="Arial" w:hAnsi="Arial" w:cs="Arial"/>
        </w:rPr>
        <w:t xml:space="preserve">Ordonnance n° 09 du 22 janvier 2018 portant rejet de </w:t>
      </w:r>
      <w:r w:rsidR="00DA1405" w:rsidRPr="00205E25">
        <w:rPr>
          <w:rFonts w:ascii="Arial" w:hAnsi="Arial" w:cs="Arial"/>
          <w:bCs/>
        </w:rPr>
        <w:t>ladite requête</w:t>
      </w:r>
      <w:r w:rsidRPr="00205E25">
        <w:rPr>
          <w:rFonts w:ascii="Arial" w:hAnsi="Arial" w:cs="Arial"/>
          <w:bCs/>
        </w:rPr>
        <w:t xml:space="preserve">. </w:t>
      </w:r>
    </w:p>
    <w:p w14:paraId="12DD160C" w14:textId="77777777" w:rsidR="0060770F" w:rsidRPr="00205E25" w:rsidRDefault="0060770F" w:rsidP="009E2D2E">
      <w:pPr>
        <w:rPr>
          <w:rFonts w:ascii="Arial" w:hAnsi="Arial" w:cs="Arial"/>
        </w:rPr>
      </w:pPr>
    </w:p>
    <w:p w14:paraId="46A37D63" w14:textId="0FD6B3BC" w:rsidR="0060770F" w:rsidRPr="00205E25" w:rsidRDefault="00E278A9" w:rsidP="009E2D2E">
      <w:pPr>
        <w:rPr>
          <w:rFonts w:ascii="Arial" w:hAnsi="Arial" w:cs="Arial"/>
        </w:rPr>
      </w:pPr>
      <w:r w:rsidRPr="00205E25">
        <w:rPr>
          <w:rFonts w:ascii="Arial" w:hAnsi="Arial" w:cs="Arial"/>
        </w:rPr>
        <w:t>Le 9 février 2018, le collectif a interjeté appel de cette ordonnance devant la Cour d</w:t>
      </w:r>
      <w:r w:rsidR="0009028A">
        <w:rPr>
          <w:rFonts w:ascii="Arial" w:hAnsi="Arial" w:cs="Arial"/>
        </w:rPr>
        <w:t>’</w:t>
      </w:r>
      <w:r w:rsidRPr="00205E25">
        <w:rPr>
          <w:rFonts w:ascii="Arial" w:hAnsi="Arial" w:cs="Arial"/>
        </w:rPr>
        <w:t>appel de Bamako. Au moment de la saisine de la Cour de céans, le recours en appel n</w:t>
      </w:r>
      <w:r w:rsidR="0009028A">
        <w:rPr>
          <w:rFonts w:ascii="Arial" w:hAnsi="Arial" w:cs="Arial"/>
        </w:rPr>
        <w:t>’</w:t>
      </w:r>
      <w:r w:rsidRPr="00205E25">
        <w:rPr>
          <w:rFonts w:ascii="Arial" w:hAnsi="Arial" w:cs="Arial"/>
        </w:rPr>
        <w:t xml:space="preserve">avait pas encore été </w:t>
      </w:r>
      <w:bookmarkEnd w:id="32"/>
      <w:r w:rsidRPr="00205E25">
        <w:rPr>
          <w:rFonts w:ascii="Arial" w:hAnsi="Arial" w:cs="Arial"/>
        </w:rPr>
        <w:t>tranché.</w:t>
      </w:r>
    </w:p>
    <w:p w14:paraId="090E0D32" w14:textId="77777777" w:rsidR="0060770F" w:rsidRPr="00205E25" w:rsidRDefault="0060770F" w:rsidP="009E2D2E">
      <w:pPr>
        <w:rPr>
          <w:rFonts w:ascii="Arial" w:hAnsi="Arial" w:cs="Arial"/>
          <w:b/>
          <w:color w:val="000000" w:themeColor="text1"/>
        </w:rPr>
      </w:pPr>
      <w:bookmarkStart w:id="33" w:name="_Toc114320391"/>
    </w:p>
    <w:p w14:paraId="7B1CDC8D" w14:textId="77777777" w:rsidR="0060770F" w:rsidRPr="00205E25" w:rsidRDefault="00E278A9" w:rsidP="009E2D2E">
      <w:pPr>
        <w:rPr>
          <w:rFonts w:ascii="Arial" w:hAnsi="Arial" w:cs="Arial"/>
          <w:b/>
          <w:bCs/>
        </w:rPr>
      </w:pPr>
      <w:bookmarkStart w:id="34" w:name="_Toc118471354"/>
      <w:bookmarkStart w:id="35" w:name="_Toc97647854"/>
      <w:bookmarkStart w:id="36" w:name="_Toc118470343"/>
      <w:bookmarkStart w:id="37" w:name="_Toc118954337"/>
      <w:bookmarkStart w:id="38" w:name="_Toc120938741"/>
      <w:bookmarkEnd w:id="33"/>
      <w:r w:rsidRPr="00205E25">
        <w:rPr>
          <w:rFonts w:ascii="Arial" w:hAnsi="Arial" w:cs="Arial"/>
          <w:b/>
        </w:rPr>
        <w:lastRenderedPageBreak/>
        <w:t>Violations alléguées</w:t>
      </w:r>
      <w:bookmarkEnd w:id="34"/>
      <w:bookmarkEnd w:id="35"/>
      <w:bookmarkEnd w:id="36"/>
      <w:bookmarkEnd w:id="37"/>
      <w:bookmarkEnd w:id="38"/>
    </w:p>
    <w:p w14:paraId="1D45FF91" w14:textId="77777777" w:rsidR="0060770F" w:rsidRPr="00205E25" w:rsidRDefault="0060770F" w:rsidP="009E2D2E">
      <w:pPr>
        <w:rPr>
          <w:rFonts w:ascii="Arial" w:hAnsi="Arial" w:cs="Arial"/>
        </w:rPr>
      </w:pPr>
    </w:p>
    <w:p w14:paraId="216A1859" w14:textId="08C5CC62" w:rsidR="0060770F" w:rsidRPr="00205E25" w:rsidRDefault="00E278A9" w:rsidP="009E2D2E">
      <w:pPr>
        <w:rPr>
          <w:rFonts w:ascii="Arial" w:hAnsi="Arial" w:cs="Arial"/>
        </w:rPr>
      </w:pPr>
      <w:r w:rsidRPr="00205E25">
        <w:rPr>
          <w:rFonts w:ascii="Arial" w:hAnsi="Arial" w:cs="Arial"/>
        </w:rPr>
        <w:t>Les Requérants allèguent la violation, par l</w:t>
      </w:r>
      <w:r w:rsidR="0009028A">
        <w:rPr>
          <w:rFonts w:ascii="Arial" w:hAnsi="Arial" w:cs="Arial"/>
        </w:rPr>
        <w:t>’</w:t>
      </w:r>
      <w:r w:rsidRPr="00205E25">
        <w:rPr>
          <w:rFonts w:ascii="Arial" w:hAnsi="Arial" w:cs="Arial"/>
        </w:rPr>
        <w:t>État défendeur, de leurs droits suivants :</w:t>
      </w:r>
    </w:p>
    <w:p w14:paraId="7E34CA6C" w14:textId="77777777" w:rsidR="0060770F" w:rsidRPr="00205E25" w:rsidRDefault="0060770F" w:rsidP="009E2D2E">
      <w:pPr>
        <w:rPr>
          <w:rFonts w:ascii="Arial" w:hAnsi="Arial" w:cs="Arial"/>
        </w:rPr>
      </w:pPr>
    </w:p>
    <w:p w14:paraId="4A468500" w14:textId="60093F1C" w:rsidR="0060770F" w:rsidRPr="00205E25" w:rsidRDefault="00E278A9" w:rsidP="009E2D2E">
      <w:pPr>
        <w:rPr>
          <w:rFonts w:ascii="Arial" w:hAnsi="Arial" w:cs="Arial"/>
        </w:rPr>
      </w:pPr>
      <w:bookmarkStart w:id="39" w:name="_Hlk113206528"/>
      <w:r w:rsidRPr="00205E25">
        <w:rPr>
          <w:rFonts w:ascii="Arial" w:hAnsi="Arial" w:cs="Arial"/>
        </w:rPr>
        <w:t>Le droit à ce que leur cause soit entendue, inscrite à l</w:t>
      </w:r>
      <w:r w:rsidR="0009028A">
        <w:rPr>
          <w:rFonts w:ascii="Arial" w:hAnsi="Arial" w:cs="Arial"/>
        </w:rPr>
        <w:t>’</w:t>
      </w:r>
      <w:r w:rsidRPr="00205E25">
        <w:rPr>
          <w:rFonts w:ascii="Arial" w:hAnsi="Arial" w:cs="Arial"/>
        </w:rPr>
        <w:t>article 7(1) de la Charte et à l</w:t>
      </w:r>
      <w:r w:rsidR="0009028A">
        <w:rPr>
          <w:rFonts w:ascii="Arial" w:hAnsi="Arial" w:cs="Arial"/>
        </w:rPr>
        <w:t>’</w:t>
      </w:r>
      <w:r w:rsidRPr="00205E25">
        <w:rPr>
          <w:rFonts w:ascii="Arial" w:hAnsi="Arial" w:cs="Arial"/>
        </w:rPr>
        <w:t>article 8 de la Déclaration universelle des droits de l</w:t>
      </w:r>
      <w:r w:rsidR="0009028A">
        <w:rPr>
          <w:rFonts w:ascii="Arial" w:hAnsi="Arial" w:cs="Arial"/>
        </w:rPr>
        <w:t>’</w:t>
      </w:r>
      <w:r w:rsidRPr="00205E25">
        <w:rPr>
          <w:rFonts w:ascii="Arial" w:hAnsi="Arial" w:cs="Arial"/>
        </w:rPr>
        <w:t xml:space="preserve">homme de 1948 </w:t>
      </w:r>
      <w:r w:rsidRPr="00205E25">
        <w:rPr>
          <w:rFonts w:ascii="Arial" w:hAnsi="Arial" w:cs="Arial"/>
          <w:bCs/>
        </w:rPr>
        <w:t>(ci-après désignée la « DUDH »);</w:t>
      </w:r>
    </w:p>
    <w:p w14:paraId="0E691CE8" w14:textId="6AB09460" w:rsidR="0060770F" w:rsidRPr="00205E25" w:rsidRDefault="00E278A9" w:rsidP="009E2D2E">
      <w:pPr>
        <w:rPr>
          <w:rFonts w:ascii="Arial" w:hAnsi="Arial" w:cs="Arial"/>
        </w:rPr>
      </w:pPr>
      <w:r w:rsidRPr="00205E25">
        <w:rPr>
          <w:rFonts w:ascii="Arial" w:hAnsi="Arial" w:cs="Arial"/>
        </w:rPr>
        <w:t xml:space="preserve">Le </w:t>
      </w:r>
      <w:bookmarkStart w:id="40" w:name="_Hlk119587897"/>
      <w:r w:rsidRPr="00205E25">
        <w:rPr>
          <w:rFonts w:ascii="Arial" w:hAnsi="Arial" w:cs="Arial"/>
        </w:rPr>
        <w:t>droit à la liberté d</w:t>
      </w:r>
      <w:r w:rsidR="0009028A">
        <w:rPr>
          <w:rFonts w:ascii="Arial" w:hAnsi="Arial" w:cs="Arial"/>
        </w:rPr>
        <w:t>’</w:t>
      </w:r>
      <w:r w:rsidRPr="00205E25">
        <w:rPr>
          <w:rFonts w:ascii="Arial" w:hAnsi="Arial" w:cs="Arial"/>
        </w:rPr>
        <w:t>association prévu à l</w:t>
      </w:r>
      <w:r w:rsidR="0009028A">
        <w:rPr>
          <w:rFonts w:ascii="Arial" w:hAnsi="Arial" w:cs="Arial"/>
        </w:rPr>
        <w:t>’</w:t>
      </w:r>
      <w:r w:rsidRPr="00205E25">
        <w:rPr>
          <w:rFonts w:ascii="Arial" w:hAnsi="Arial" w:cs="Arial"/>
        </w:rPr>
        <w:t>article 11 de la Convention de l</w:t>
      </w:r>
      <w:r w:rsidR="0009028A">
        <w:rPr>
          <w:rFonts w:ascii="Arial" w:hAnsi="Arial" w:cs="Arial"/>
        </w:rPr>
        <w:t>’</w:t>
      </w:r>
      <w:r w:rsidRPr="00205E25">
        <w:rPr>
          <w:rFonts w:ascii="Arial" w:hAnsi="Arial" w:cs="Arial"/>
        </w:rPr>
        <w:t>OIT sur la liberté d</w:t>
      </w:r>
      <w:r w:rsidR="0009028A">
        <w:rPr>
          <w:rFonts w:ascii="Arial" w:hAnsi="Arial" w:cs="Arial"/>
        </w:rPr>
        <w:t>’</w:t>
      </w:r>
      <w:r w:rsidRPr="00205E25">
        <w:rPr>
          <w:rFonts w:ascii="Arial" w:hAnsi="Arial" w:cs="Arial"/>
        </w:rPr>
        <w:t>association C87 de 1948</w:t>
      </w:r>
      <w:bookmarkEnd w:id="40"/>
      <w:r w:rsidRPr="00205E25">
        <w:rPr>
          <w:rFonts w:ascii="Arial" w:hAnsi="Arial" w:cs="Arial"/>
        </w:rPr>
        <w:t>, les articles 20 et 21 de la Constitution du Mali et les articles 21, L.231</w:t>
      </w:r>
      <w:r w:rsidRPr="00205E25">
        <w:rPr>
          <w:rFonts w:ascii="Arial" w:hAnsi="Arial" w:cs="Arial"/>
          <w:vertAlign w:val="superscript"/>
        </w:rPr>
        <w:footnoteReference w:id="3"/>
      </w:r>
      <w:r w:rsidR="005A237D">
        <w:rPr>
          <w:rFonts w:ascii="Arial" w:hAnsi="Arial" w:cs="Arial"/>
        </w:rPr>
        <w:t>,</w:t>
      </w:r>
      <w:r w:rsidRPr="00205E25">
        <w:rPr>
          <w:rFonts w:ascii="Arial" w:hAnsi="Arial" w:cs="Arial"/>
        </w:rPr>
        <w:t xml:space="preserve"> L.277 du Code du travail du Mali.</w:t>
      </w:r>
    </w:p>
    <w:p w14:paraId="5547FB05" w14:textId="77777777" w:rsidR="0060770F" w:rsidRPr="00205E25" w:rsidRDefault="0060770F" w:rsidP="009E2D2E">
      <w:pPr>
        <w:rPr>
          <w:rFonts w:ascii="Arial" w:hAnsi="Arial" w:cs="Arial"/>
          <w:lang w:bidi="ar-EG"/>
        </w:rPr>
      </w:pPr>
    </w:p>
    <w:p w14:paraId="4575C429" w14:textId="77777777" w:rsidR="0060770F" w:rsidRPr="00205E25" w:rsidRDefault="0060770F" w:rsidP="009E2D2E">
      <w:pPr>
        <w:rPr>
          <w:rFonts w:ascii="Arial" w:hAnsi="Arial" w:cs="Arial"/>
          <w:lang w:bidi="ar-EG"/>
        </w:rPr>
      </w:pPr>
    </w:p>
    <w:p w14:paraId="51F32E76" w14:textId="77777777" w:rsidR="0060770F" w:rsidRPr="00205E25" w:rsidRDefault="00E278A9" w:rsidP="009E2D2E">
      <w:pPr>
        <w:rPr>
          <w:rFonts w:cs="Arial"/>
        </w:rPr>
      </w:pPr>
      <w:bookmarkStart w:id="41" w:name="_Toc97647855"/>
      <w:bookmarkStart w:id="42" w:name="_Toc118954338"/>
      <w:bookmarkStart w:id="43" w:name="_Toc118471355"/>
      <w:bookmarkStart w:id="44" w:name="_Toc118470344"/>
      <w:bookmarkStart w:id="45" w:name="_Toc120938742"/>
      <w:bookmarkStart w:id="46" w:name="_Toc114320393"/>
      <w:bookmarkEnd w:id="39"/>
      <w:r w:rsidRPr="00205E25">
        <w:rPr>
          <w:rFonts w:cs="Arial"/>
        </w:rPr>
        <w:t>RÉSUMÉ DE LA PROCÉDURE DEVANT LA COUR DE CÉANS</w:t>
      </w:r>
      <w:bookmarkEnd w:id="41"/>
      <w:bookmarkEnd w:id="42"/>
      <w:bookmarkEnd w:id="43"/>
      <w:bookmarkEnd w:id="44"/>
      <w:bookmarkEnd w:id="45"/>
    </w:p>
    <w:p w14:paraId="794A4F56" w14:textId="77777777" w:rsidR="0060770F" w:rsidRPr="00205E25" w:rsidRDefault="0060770F" w:rsidP="009E2D2E">
      <w:pPr>
        <w:rPr>
          <w:rFonts w:ascii="Arial" w:hAnsi="Arial" w:cs="Arial"/>
          <w:lang w:bidi="ar-EG"/>
        </w:rPr>
      </w:pPr>
    </w:p>
    <w:p w14:paraId="32D29AB7" w14:textId="77777777" w:rsidR="0060770F" w:rsidRPr="00205E25" w:rsidRDefault="00E278A9" w:rsidP="009E2D2E">
      <w:pPr>
        <w:rPr>
          <w:rFonts w:ascii="Arial" w:hAnsi="Arial" w:cs="Arial"/>
        </w:rPr>
      </w:pPr>
      <w:r w:rsidRPr="00205E25">
        <w:rPr>
          <w:rFonts w:ascii="Arial" w:hAnsi="Arial" w:cs="Arial"/>
        </w:rPr>
        <w:t>La Requête a été reçue au Greffe le 25 septembre 2017. Le 30 janvier 2018, le Greffe a demandé aux Requérants de lui fournir des informations complémentaires et leur a adressé un courrier de rappel à cet effet, le 2 juillet 2018.</w:t>
      </w:r>
    </w:p>
    <w:p w14:paraId="54863DB7" w14:textId="77777777" w:rsidR="0060770F" w:rsidRPr="00205E25" w:rsidRDefault="0060770F" w:rsidP="009E2D2E">
      <w:pPr>
        <w:rPr>
          <w:rFonts w:ascii="Arial" w:hAnsi="Arial" w:cs="Arial"/>
          <w:lang w:bidi="ar-EG"/>
        </w:rPr>
      </w:pPr>
    </w:p>
    <w:p w14:paraId="3CFA6A26" w14:textId="47DAFE42" w:rsidR="0060770F" w:rsidRPr="00205E25" w:rsidRDefault="00E278A9" w:rsidP="009E2D2E">
      <w:pPr>
        <w:rPr>
          <w:rFonts w:ascii="Arial" w:hAnsi="Arial" w:cs="Arial"/>
        </w:rPr>
      </w:pPr>
      <w:r w:rsidRPr="00205E25">
        <w:rPr>
          <w:rFonts w:ascii="Arial" w:hAnsi="Arial" w:cs="Arial"/>
        </w:rPr>
        <w:t>Le 12 juillet 2018, les Requérants ont donné suite à la demande d</w:t>
      </w:r>
      <w:r w:rsidR="0009028A">
        <w:rPr>
          <w:rFonts w:ascii="Arial" w:hAnsi="Arial" w:cs="Arial"/>
        </w:rPr>
        <w:t>’</w:t>
      </w:r>
      <w:r w:rsidRPr="00205E25">
        <w:rPr>
          <w:rFonts w:ascii="Arial" w:hAnsi="Arial" w:cs="Arial"/>
        </w:rPr>
        <w:t>informations supplémentaires et ont soumis leurs observations sur les réparations le 27 août 2018.</w:t>
      </w:r>
      <w:bookmarkStart w:id="47" w:name="_Hlk99115511"/>
    </w:p>
    <w:bookmarkEnd w:id="47"/>
    <w:p w14:paraId="09D8F3CE" w14:textId="77777777" w:rsidR="0060770F" w:rsidRPr="00205E25" w:rsidRDefault="0060770F" w:rsidP="009E2D2E">
      <w:pPr>
        <w:rPr>
          <w:rFonts w:ascii="Arial" w:hAnsi="Arial" w:cs="Arial"/>
        </w:rPr>
      </w:pPr>
    </w:p>
    <w:p w14:paraId="33213360" w14:textId="6E24ECE3" w:rsidR="0060770F" w:rsidRPr="0057244B" w:rsidRDefault="00E278A9" w:rsidP="009E2D2E">
      <w:pPr>
        <w:rPr>
          <w:rFonts w:ascii="Arial" w:hAnsi="Arial" w:cs="Arial"/>
        </w:rPr>
      </w:pPr>
      <w:r w:rsidRPr="0057244B">
        <w:rPr>
          <w:rFonts w:ascii="Arial" w:hAnsi="Arial" w:cs="Arial"/>
        </w:rPr>
        <w:t>La Requête a été notifiée à l</w:t>
      </w:r>
      <w:r w:rsidR="0009028A">
        <w:rPr>
          <w:rFonts w:ascii="Arial" w:hAnsi="Arial" w:cs="Arial"/>
        </w:rPr>
        <w:t>’</w:t>
      </w:r>
      <w:r w:rsidRPr="0057244B">
        <w:rPr>
          <w:rFonts w:ascii="Arial" w:hAnsi="Arial" w:cs="Arial"/>
        </w:rPr>
        <w:t xml:space="preserve">État défendeur le 14 août </w:t>
      </w:r>
      <w:r w:rsidRPr="0057244B">
        <w:rPr>
          <w:rFonts w:ascii="Arial" w:hAnsi="Arial" w:cs="Arial"/>
          <w:bCs/>
        </w:rPr>
        <w:t>2018</w:t>
      </w:r>
      <w:r w:rsidRPr="0057244B">
        <w:rPr>
          <w:rFonts w:ascii="Arial" w:hAnsi="Arial" w:cs="Arial"/>
          <w:b/>
          <w:bCs/>
        </w:rPr>
        <w:t xml:space="preserve"> </w:t>
      </w:r>
      <w:r w:rsidRPr="0057244B">
        <w:rPr>
          <w:rFonts w:ascii="Arial" w:hAnsi="Arial" w:cs="Arial"/>
        </w:rPr>
        <w:t>aux fins de réponse dans les soixante (60) jours,</w:t>
      </w:r>
      <w:r w:rsidRPr="00205E25">
        <w:t xml:space="preserve"> </w:t>
      </w:r>
      <w:r w:rsidRPr="0057244B">
        <w:rPr>
          <w:rFonts w:ascii="Arial" w:hAnsi="Arial" w:cs="Arial"/>
        </w:rPr>
        <w:t xml:space="preserve">à laquelle </w:t>
      </w:r>
      <w:r w:rsidR="00A553BC">
        <w:rPr>
          <w:rFonts w:ascii="Arial" w:hAnsi="Arial" w:cs="Arial"/>
        </w:rPr>
        <w:t>il</w:t>
      </w:r>
      <w:r w:rsidRPr="0057244B">
        <w:rPr>
          <w:rFonts w:ascii="Arial" w:hAnsi="Arial" w:cs="Arial"/>
        </w:rPr>
        <w:t xml:space="preserve"> a répondu le 9 </w:t>
      </w:r>
      <w:r w:rsidR="0057244B">
        <w:rPr>
          <w:rFonts w:ascii="Arial" w:hAnsi="Arial" w:cs="Arial"/>
        </w:rPr>
        <w:t>octobre 2018.</w:t>
      </w:r>
    </w:p>
    <w:p w14:paraId="23CEDF78" w14:textId="77777777" w:rsidR="0057244B" w:rsidRPr="0057244B" w:rsidRDefault="0057244B" w:rsidP="009E2D2E">
      <w:pPr>
        <w:rPr>
          <w:rFonts w:ascii="Arial" w:hAnsi="Arial" w:cs="Arial"/>
        </w:rPr>
      </w:pPr>
    </w:p>
    <w:p w14:paraId="1BBCBC99" w14:textId="0B3E1778" w:rsidR="0060770F" w:rsidRPr="00205E25" w:rsidRDefault="00E278A9" w:rsidP="009E2D2E">
      <w:pPr>
        <w:rPr>
          <w:rFonts w:ascii="Arial" w:hAnsi="Arial" w:cs="Arial"/>
        </w:rPr>
      </w:pPr>
      <w:r w:rsidRPr="00205E25">
        <w:rPr>
          <w:rFonts w:ascii="Arial" w:hAnsi="Arial" w:cs="Arial"/>
        </w:rPr>
        <w:t>Les Parties ont déposé leurs conclusions dans les délais prescrits par la Cour</w:t>
      </w:r>
      <w:r w:rsidR="002A47EE" w:rsidRPr="00205E25">
        <w:rPr>
          <w:rFonts w:ascii="Arial" w:hAnsi="Arial" w:cs="Arial"/>
        </w:rPr>
        <w:t xml:space="preserve"> </w:t>
      </w:r>
      <w:r w:rsidR="002A47EE" w:rsidRPr="00205E25">
        <w:rPr>
          <w:rFonts w:ascii="Arial" w:hAnsi="Arial" w:cs="Arial"/>
          <w:bCs/>
        </w:rPr>
        <w:t xml:space="preserve">et </w:t>
      </w:r>
      <w:r w:rsidR="00A553BC">
        <w:rPr>
          <w:rFonts w:ascii="Arial" w:hAnsi="Arial" w:cs="Arial"/>
          <w:bCs/>
        </w:rPr>
        <w:t>c</w:t>
      </w:r>
      <w:r w:rsidR="002A47EE" w:rsidRPr="00205E25">
        <w:rPr>
          <w:rFonts w:ascii="Arial" w:hAnsi="Arial" w:cs="Arial"/>
          <w:bCs/>
        </w:rPr>
        <w:t>elles</w:t>
      </w:r>
      <w:r w:rsidR="009667C9">
        <w:rPr>
          <w:rFonts w:ascii="Arial" w:hAnsi="Arial" w:cs="Arial"/>
          <w:bCs/>
        </w:rPr>
        <w:t xml:space="preserve"> de l</w:t>
      </w:r>
      <w:r w:rsidR="0009028A">
        <w:rPr>
          <w:rFonts w:ascii="Arial" w:hAnsi="Arial" w:cs="Arial"/>
          <w:bCs/>
        </w:rPr>
        <w:t>’</w:t>
      </w:r>
      <w:r w:rsidR="009667C9">
        <w:rPr>
          <w:rFonts w:ascii="Arial" w:hAnsi="Arial" w:cs="Arial"/>
          <w:bCs/>
        </w:rPr>
        <w:t>une</w:t>
      </w:r>
      <w:r w:rsidR="002A47EE" w:rsidRPr="00205E25">
        <w:rPr>
          <w:rFonts w:ascii="Arial" w:hAnsi="Arial" w:cs="Arial"/>
          <w:bCs/>
        </w:rPr>
        <w:t xml:space="preserve"> ont été communiquées </w:t>
      </w:r>
      <w:r w:rsidR="009667C9">
        <w:rPr>
          <w:rFonts w:ascii="Arial" w:hAnsi="Arial" w:cs="Arial"/>
          <w:bCs/>
        </w:rPr>
        <w:t>à l</w:t>
      </w:r>
      <w:r w:rsidR="0009028A">
        <w:rPr>
          <w:rFonts w:ascii="Arial" w:hAnsi="Arial" w:cs="Arial"/>
          <w:bCs/>
        </w:rPr>
        <w:t>’</w:t>
      </w:r>
      <w:r w:rsidR="009667C9">
        <w:rPr>
          <w:rFonts w:ascii="Arial" w:hAnsi="Arial" w:cs="Arial"/>
          <w:bCs/>
        </w:rPr>
        <w:t>autre</w:t>
      </w:r>
      <w:r w:rsidR="002A47EE" w:rsidRPr="00205E25">
        <w:rPr>
          <w:rFonts w:ascii="Arial" w:hAnsi="Arial" w:cs="Arial"/>
          <w:bCs/>
        </w:rPr>
        <w:t>.</w:t>
      </w:r>
    </w:p>
    <w:p w14:paraId="329C0170" w14:textId="77777777" w:rsidR="0060770F" w:rsidRPr="00205E25" w:rsidRDefault="0060770F" w:rsidP="009E2D2E">
      <w:pPr>
        <w:rPr>
          <w:rFonts w:ascii="Arial" w:hAnsi="Arial" w:cs="Arial"/>
        </w:rPr>
      </w:pPr>
    </w:p>
    <w:p w14:paraId="25F006F2" w14:textId="77777777" w:rsidR="0060770F" w:rsidRPr="00205E25" w:rsidRDefault="00E278A9" w:rsidP="009E2D2E">
      <w:pPr>
        <w:rPr>
          <w:rFonts w:ascii="Arial" w:hAnsi="Arial" w:cs="Arial"/>
        </w:rPr>
      </w:pPr>
      <w:r w:rsidRPr="00205E25">
        <w:rPr>
          <w:rFonts w:ascii="Arial" w:hAnsi="Arial" w:cs="Arial"/>
        </w:rPr>
        <w:lastRenderedPageBreak/>
        <w:t>Les débats ont été clos le 17 novembre 2020 et les Parties en ont été dûment notifiées.</w:t>
      </w:r>
    </w:p>
    <w:p w14:paraId="044742EA" w14:textId="77777777" w:rsidR="0060770F" w:rsidRPr="00205E25" w:rsidRDefault="0060770F" w:rsidP="009E2D2E">
      <w:pPr>
        <w:rPr>
          <w:rFonts w:ascii="Arial" w:hAnsi="Arial" w:cs="Arial"/>
        </w:rPr>
      </w:pPr>
    </w:p>
    <w:p w14:paraId="3CDECC0C" w14:textId="77777777" w:rsidR="0060770F" w:rsidRPr="00205E25" w:rsidRDefault="0060770F" w:rsidP="009E2D2E">
      <w:pPr>
        <w:rPr>
          <w:rFonts w:ascii="Arial" w:hAnsi="Arial" w:cs="Arial"/>
        </w:rPr>
      </w:pPr>
    </w:p>
    <w:p w14:paraId="4A46B54F" w14:textId="77777777" w:rsidR="0060770F" w:rsidRPr="00205E25" w:rsidRDefault="00E278A9" w:rsidP="009E2D2E">
      <w:pPr>
        <w:rPr>
          <w:rFonts w:cs="Arial"/>
        </w:rPr>
      </w:pPr>
      <w:bookmarkStart w:id="48" w:name="_Toc97647856"/>
      <w:bookmarkStart w:id="49" w:name="_Toc118954339"/>
      <w:bookmarkStart w:id="50" w:name="_Toc118471356"/>
      <w:bookmarkStart w:id="51" w:name="_Toc118470345"/>
      <w:bookmarkStart w:id="52" w:name="_Toc120938743"/>
      <w:bookmarkEnd w:id="46"/>
      <w:r w:rsidRPr="00205E25">
        <w:rPr>
          <w:rFonts w:cs="Arial"/>
        </w:rPr>
        <w:t>DEMANDES DES PARTIES</w:t>
      </w:r>
      <w:bookmarkEnd w:id="48"/>
      <w:bookmarkEnd w:id="49"/>
      <w:bookmarkEnd w:id="50"/>
      <w:bookmarkEnd w:id="51"/>
      <w:bookmarkEnd w:id="52"/>
    </w:p>
    <w:p w14:paraId="15A68672" w14:textId="77777777" w:rsidR="0060770F" w:rsidRPr="00205E25" w:rsidRDefault="0060770F" w:rsidP="009E2D2E">
      <w:pPr>
        <w:rPr>
          <w:rFonts w:ascii="Arial" w:hAnsi="Arial" w:cs="Arial"/>
          <w:lang w:bidi="ar-EG"/>
        </w:rPr>
      </w:pPr>
    </w:p>
    <w:p w14:paraId="308088B9" w14:textId="59096DC4" w:rsidR="0060770F" w:rsidRPr="00205E25" w:rsidRDefault="00E278A9" w:rsidP="009E2D2E">
      <w:pPr>
        <w:rPr>
          <w:rFonts w:ascii="Arial" w:hAnsi="Arial" w:cs="Arial"/>
        </w:rPr>
      </w:pPr>
      <w:r w:rsidRPr="00205E25">
        <w:rPr>
          <w:rFonts w:ascii="Arial" w:hAnsi="Arial" w:cs="Arial"/>
        </w:rPr>
        <w:t>Les Requérants sollicitent de la Cour qu</w:t>
      </w:r>
      <w:r w:rsidR="0009028A">
        <w:rPr>
          <w:rFonts w:ascii="Arial" w:hAnsi="Arial" w:cs="Arial"/>
        </w:rPr>
        <w:t>’</w:t>
      </w:r>
      <w:r w:rsidRPr="00205E25">
        <w:rPr>
          <w:rFonts w:ascii="Arial" w:hAnsi="Arial" w:cs="Arial"/>
        </w:rPr>
        <w:t>elle se prononce comme suit :</w:t>
      </w:r>
    </w:p>
    <w:p w14:paraId="4E09FBB8" w14:textId="77777777" w:rsidR="0060770F" w:rsidRPr="00205E25" w:rsidRDefault="0060770F" w:rsidP="009E2D2E">
      <w:pPr>
        <w:rPr>
          <w:rFonts w:ascii="Arial" w:hAnsi="Arial" w:cs="Arial"/>
          <w:lang w:bidi="ar-EG"/>
        </w:rPr>
      </w:pPr>
    </w:p>
    <w:p w14:paraId="700AABDD" w14:textId="26E7C531" w:rsidR="0060770F" w:rsidRPr="00205E25" w:rsidRDefault="00E278A9" w:rsidP="009E2D2E">
      <w:pPr>
        <w:rPr>
          <w:rFonts w:ascii="Arial" w:hAnsi="Arial" w:cs="Arial"/>
        </w:rPr>
      </w:pPr>
      <w:r w:rsidRPr="00205E25">
        <w:rPr>
          <w:rFonts w:ascii="Arial" w:hAnsi="Arial" w:cs="Arial"/>
        </w:rPr>
        <w:t>Dire que l</w:t>
      </w:r>
      <w:r w:rsidR="0009028A">
        <w:rPr>
          <w:rFonts w:ascii="Arial" w:hAnsi="Arial" w:cs="Arial"/>
        </w:rPr>
        <w:t>’</w:t>
      </w:r>
      <w:r w:rsidRPr="00205E25">
        <w:rPr>
          <w:rFonts w:ascii="Arial" w:hAnsi="Arial" w:cs="Arial"/>
        </w:rPr>
        <w:t>État défendeur a violé l</w:t>
      </w:r>
      <w:r w:rsidR="0009028A">
        <w:rPr>
          <w:rFonts w:ascii="Arial" w:hAnsi="Arial" w:cs="Arial"/>
        </w:rPr>
        <w:t>’</w:t>
      </w:r>
      <w:r w:rsidRPr="00205E25">
        <w:rPr>
          <w:rFonts w:ascii="Arial" w:hAnsi="Arial" w:cs="Arial"/>
        </w:rPr>
        <w:t>article 7(1) de la Charte et l</w:t>
      </w:r>
      <w:r w:rsidR="0009028A">
        <w:rPr>
          <w:rFonts w:ascii="Arial" w:hAnsi="Arial" w:cs="Arial"/>
        </w:rPr>
        <w:t>’</w:t>
      </w:r>
      <w:r w:rsidRPr="00205E25">
        <w:rPr>
          <w:rFonts w:ascii="Arial" w:hAnsi="Arial" w:cs="Arial"/>
        </w:rPr>
        <w:t>article 8 de la Déclaration universelle des droits de l</w:t>
      </w:r>
      <w:r w:rsidR="0009028A">
        <w:rPr>
          <w:rFonts w:ascii="Arial" w:hAnsi="Arial" w:cs="Arial"/>
        </w:rPr>
        <w:t>’</w:t>
      </w:r>
      <w:r w:rsidRPr="00205E25">
        <w:rPr>
          <w:rFonts w:ascii="Arial" w:hAnsi="Arial" w:cs="Arial"/>
        </w:rPr>
        <w:t>homme.</w:t>
      </w:r>
    </w:p>
    <w:p w14:paraId="64703E4F" w14:textId="6E1BAF3F" w:rsidR="0060770F" w:rsidRPr="00205E25" w:rsidRDefault="00E278A9" w:rsidP="009E2D2E">
      <w:pPr>
        <w:rPr>
          <w:rFonts w:ascii="Arial" w:hAnsi="Arial" w:cs="Arial"/>
        </w:rPr>
      </w:pPr>
      <w:r w:rsidRPr="00205E25">
        <w:rPr>
          <w:rFonts w:ascii="Arial" w:hAnsi="Arial" w:cs="Arial"/>
        </w:rPr>
        <w:t>Dire que l</w:t>
      </w:r>
      <w:r w:rsidR="0009028A">
        <w:rPr>
          <w:rFonts w:ascii="Arial" w:hAnsi="Arial" w:cs="Arial"/>
        </w:rPr>
        <w:t>’</w:t>
      </w:r>
      <w:r w:rsidRPr="00205E25">
        <w:rPr>
          <w:rFonts w:ascii="Arial" w:hAnsi="Arial" w:cs="Arial"/>
        </w:rPr>
        <w:t>État défendeur a violé l</w:t>
      </w:r>
      <w:r w:rsidR="0009028A">
        <w:rPr>
          <w:rFonts w:ascii="Arial" w:hAnsi="Arial" w:cs="Arial"/>
        </w:rPr>
        <w:t>’</w:t>
      </w:r>
      <w:r w:rsidRPr="00205E25">
        <w:rPr>
          <w:rFonts w:ascii="Arial" w:hAnsi="Arial" w:cs="Arial"/>
        </w:rPr>
        <w:t>article 1 de la Convention C87 de l</w:t>
      </w:r>
      <w:r w:rsidR="0009028A">
        <w:rPr>
          <w:rFonts w:ascii="Arial" w:hAnsi="Arial" w:cs="Arial"/>
        </w:rPr>
        <w:t>’</w:t>
      </w:r>
      <w:r w:rsidRPr="00205E25">
        <w:rPr>
          <w:rFonts w:ascii="Arial" w:hAnsi="Arial" w:cs="Arial"/>
        </w:rPr>
        <w:t>OIT, et les articles 20 et 2i de la Constitution du Mali du 25 février 1992.</w:t>
      </w:r>
    </w:p>
    <w:p w14:paraId="411354CF" w14:textId="77777777" w:rsidR="0060770F" w:rsidRPr="00205E25" w:rsidRDefault="0060770F" w:rsidP="009E2D2E">
      <w:pPr>
        <w:rPr>
          <w:rFonts w:ascii="Arial" w:hAnsi="Arial" w:cs="Arial"/>
        </w:rPr>
      </w:pPr>
    </w:p>
    <w:p w14:paraId="1DA9698F" w14:textId="77777777" w:rsidR="0060770F" w:rsidRPr="00205E25" w:rsidRDefault="00E278A9" w:rsidP="009E2D2E">
      <w:pPr>
        <w:rPr>
          <w:rFonts w:ascii="Arial" w:hAnsi="Arial" w:cs="Arial"/>
        </w:rPr>
      </w:pPr>
      <w:r w:rsidRPr="00205E25">
        <w:rPr>
          <w:rFonts w:ascii="Arial" w:hAnsi="Arial" w:cs="Arial"/>
        </w:rPr>
        <w:t>Les Requérants demandent également à la Cour de :</w:t>
      </w:r>
    </w:p>
    <w:p w14:paraId="07435D0F" w14:textId="77777777" w:rsidR="0060770F" w:rsidRPr="00205E25" w:rsidRDefault="0060770F" w:rsidP="009E2D2E">
      <w:pPr>
        <w:rPr>
          <w:rFonts w:ascii="Arial" w:hAnsi="Arial" w:cs="Arial"/>
        </w:rPr>
      </w:pPr>
    </w:p>
    <w:p w14:paraId="3E55AE37" w14:textId="3C70F227" w:rsidR="0060770F" w:rsidRPr="00205E25" w:rsidRDefault="00E278A9" w:rsidP="009E2D2E">
      <w:pPr>
        <w:rPr>
          <w:rFonts w:ascii="Arial" w:hAnsi="Arial" w:cs="Arial"/>
        </w:rPr>
      </w:pPr>
      <w:bookmarkStart w:id="53" w:name="_Hlk114135895"/>
      <w:r w:rsidRPr="00205E25">
        <w:rPr>
          <w:rFonts w:ascii="Arial" w:hAnsi="Arial" w:cs="Arial"/>
        </w:rPr>
        <w:t>Condamner l</w:t>
      </w:r>
      <w:r w:rsidR="0009028A">
        <w:rPr>
          <w:rFonts w:ascii="Arial" w:hAnsi="Arial" w:cs="Arial"/>
        </w:rPr>
        <w:t>’</w:t>
      </w:r>
      <w:r w:rsidRPr="00205E25">
        <w:rPr>
          <w:rFonts w:ascii="Arial" w:hAnsi="Arial" w:cs="Arial"/>
        </w:rPr>
        <w:t>État défendeur à leur payer le rappel de salaire de juillet 2012 au 31 août 2018 ;</w:t>
      </w:r>
    </w:p>
    <w:p w14:paraId="78093C6F" w14:textId="53B67F5D" w:rsidR="0060770F" w:rsidRPr="00205E25" w:rsidRDefault="00E278A9" w:rsidP="009E2D2E">
      <w:pPr>
        <w:rPr>
          <w:rFonts w:ascii="Arial" w:hAnsi="Arial" w:cs="Arial"/>
        </w:rPr>
      </w:pPr>
      <w:r w:rsidRPr="00205E25">
        <w:rPr>
          <w:rFonts w:ascii="Arial" w:hAnsi="Arial" w:cs="Arial"/>
        </w:rPr>
        <w:t>Condamner l</w:t>
      </w:r>
      <w:r w:rsidR="0009028A">
        <w:rPr>
          <w:rFonts w:ascii="Arial" w:hAnsi="Arial" w:cs="Arial"/>
        </w:rPr>
        <w:t>’</w:t>
      </w:r>
      <w:r w:rsidRPr="00205E25">
        <w:rPr>
          <w:rFonts w:ascii="Arial" w:hAnsi="Arial" w:cs="Arial"/>
        </w:rPr>
        <w:t>État défendeur à leur payer la somme de quatre-vingts millions (80 000 000) de francs CFA pour le rappel des trente-deux (32) mois restants de 7 % de l</w:t>
      </w:r>
      <w:r w:rsidR="0009028A">
        <w:rPr>
          <w:rFonts w:ascii="Arial" w:hAnsi="Arial" w:cs="Arial"/>
        </w:rPr>
        <w:t>’</w:t>
      </w:r>
      <w:r w:rsidRPr="00205E25">
        <w:rPr>
          <w:rFonts w:ascii="Arial" w:hAnsi="Arial" w:cs="Arial"/>
        </w:rPr>
        <w:t>augmentation de 1999 ;</w:t>
      </w:r>
    </w:p>
    <w:p w14:paraId="156060F8" w14:textId="24246EE9" w:rsidR="0060770F" w:rsidRPr="00205E25" w:rsidRDefault="00E278A9" w:rsidP="009E2D2E">
      <w:pPr>
        <w:rPr>
          <w:rFonts w:ascii="Arial" w:hAnsi="Arial" w:cs="Arial"/>
          <w:rtl/>
        </w:rPr>
      </w:pPr>
      <w:r w:rsidRPr="00205E25">
        <w:rPr>
          <w:rFonts w:ascii="Arial" w:hAnsi="Arial" w:cs="Arial"/>
        </w:rPr>
        <w:t>Condamner l</w:t>
      </w:r>
      <w:r w:rsidR="0009028A">
        <w:rPr>
          <w:rFonts w:ascii="Arial" w:hAnsi="Arial" w:cs="Arial"/>
        </w:rPr>
        <w:t>’</w:t>
      </w:r>
      <w:r w:rsidRPr="00205E25">
        <w:rPr>
          <w:rFonts w:ascii="Arial" w:hAnsi="Arial" w:cs="Arial"/>
        </w:rPr>
        <w:t>État défendeur à leur payer la somme de quatre milliards (4 000 000 000) de francs CFA au titre de la prime de rendement impayée ;</w:t>
      </w:r>
    </w:p>
    <w:p w14:paraId="2D74BA46" w14:textId="69C99F92" w:rsidR="0060770F" w:rsidRPr="00205E25" w:rsidRDefault="00E278A9" w:rsidP="009E2D2E">
      <w:pPr>
        <w:rPr>
          <w:rFonts w:ascii="Arial" w:hAnsi="Arial" w:cs="Arial"/>
        </w:rPr>
      </w:pPr>
      <w:r w:rsidRPr="00205E25">
        <w:rPr>
          <w:rFonts w:ascii="Arial" w:hAnsi="Arial" w:cs="Arial"/>
        </w:rPr>
        <w:t>Condamner l</w:t>
      </w:r>
      <w:r w:rsidR="0009028A">
        <w:rPr>
          <w:rFonts w:ascii="Arial" w:hAnsi="Arial" w:cs="Arial"/>
        </w:rPr>
        <w:t>’</w:t>
      </w:r>
      <w:r w:rsidRPr="00205E25">
        <w:rPr>
          <w:rFonts w:ascii="Arial" w:hAnsi="Arial" w:cs="Arial"/>
        </w:rPr>
        <w:t>État défendeur à payer la somme de six millions (6 000 000) de francs CFA à chaque salarié à titre de dommages-intérêts ;</w:t>
      </w:r>
    </w:p>
    <w:p w14:paraId="721AE166" w14:textId="6EEDAFA1" w:rsidR="0060770F" w:rsidRPr="00205E25" w:rsidRDefault="00E278A9" w:rsidP="009E2D2E">
      <w:pPr>
        <w:rPr>
          <w:rFonts w:ascii="Arial" w:hAnsi="Arial" w:cs="Arial"/>
        </w:rPr>
      </w:pPr>
      <w:r w:rsidRPr="00205E25">
        <w:rPr>
          <w:rFonts w:ascii="Arial" w:hAnsi="Arial" w:cs="Arial"/>
        </w:rPr>
        <w:t>Ordonner à l</w:t>
      </w:r>
      <w:r w:rsidR="0009028A">
        <w:rPr>
          <w:rFonts w:ascii="Arial" w:hAnsi="Arial" w:cs="Arial"/>
        </w:rPr>
        <w:t>’</w:t>
      </w:r>
      <w:r w:rsidRPr="00205E25">
        <w:rPr>
          <w:rFonts w:ascii="Arial" w:hAnsi="Arial" w:cs="Arial"/>
        </w:rPr>
        <w:t>État défendeur de diligenter l</w:t>
      </w:r>
      <w:r w:rsidR="0009028A">
        <w:rPr>
          <w:rFonts w:ascii="Arial" w:hAnsi="Arial" w:cs="Arial"/>
        </w:rPr>
        <w:t>’</w:t>
      </w:r>
      <w:r w:rsidRPr="00205E25">
        <w:rPr>
          <w:rFonts w:ascii="Arial" w:hAnsi="Arial" w:cs="Arial"/>
        </w:rPr>
        <w:t>exécution provisoire de de la moitié des droits ;</w:t>
      </w:r>
    </w:p>
    <w:p w14:paraId="0C45FB52" w14:textId="1B4440EF" w:rsidR="0060770F" w:rsidRPr="00205E25" w:rsidRDefault="00E278A9" w:rsidP="009E2D2E">
      <w:pPr>
        <w:rPr>
          <w:rFonts w:ascii="Arial" w:hAnsi="Arial" w:cs="Arial"/>
        </w:rPr>
      </w:pPr>
      <w:r w:rsidRPr="00205E25">
        <w:rPr>
          <w:rFonts w:ascii="Arial" w:hAnsi="Arial" w:cs="Arial"/>
        </w:rPr>
        <w:t>Ordonner à l</w:t>
      </w:r>
      <w:r w:rsidR="0009028A">
        <w:rPr>
          <w:rFonts w:ascii="Arial" w:hAnsi="Arial" w:cs="Arial"/>
        </w:rPr>
        <w:t>’</w:t>
      </w:r>
      <w:r w:rsidRPr="00205E25">
        <w:rPr>
          <w:rFonts w:ascii="Arial" w:hAnsi="Arial" w:cs="Arial"/>
        </w:rPr>
        <w:t>État défendeur de délivrer des certificats de travail pour chaque ex-travailleur ;</w:t>
      </w:r>
    </w:p>
    <w:p w14:paraId="73C7369A" w14:textId="3CF55AD3" w:rsidR="0060770F" w:rsidRPr="00205E25" w:rsidRDefault="00E278A9" w:rsidP="009E2D2E">
      <w:pPr>
        <w:rPr>
          <w:rFonts w:ascii="Arial" w:hAnsi="Arial" w:cs="Arial"/>
        </w:rPr>
      </w:pPr>
      <w:r w:rsidRPr="00205E25">
        <w:rPr>
          <w:rFonts w:ascii="Arial" w:hAnsi="Arial" w:cs="Arial"/>
        </w:rPr>
        <w:t>Condamner l</w:t>
      </w:r>
      <w:r w:rsidR="0009028A">
        <w:rPr>
          <w:rFonts w:ascii="Arial" w:hAnsi="Arial" w:cs="Arial"/>
        </w:rPr>
        <w:t>’</w:t>
      </w:r>
      <w:r w:rsidRPr="00205E25">
        <w:rPr>
          <w:rFonts w:ascii="Arial" w:hAnsi="Arial" w:cs="Arial"/>
        </w:rPr>
        <w:t>État défendeur à payer aux travailleurs une astreinte de quatre millions (4 000 000) de francs CFA par personne et par jour de retard, à compter du prononcé de la décision ;</w:t>
      </w:r>
    </w:p>
    <w:bookmarkEnd w:id="53"/>
    <w:p w14:paraId="3C86AC87" w14:textId="3869A9C0" w:rsidR="0060770F" w:rsidRPr="00205E25" w:rsidRDefault="00E278A9" w:rsidP="009E2D2E">
      <w:pPr>
        <w:rPr>
          <w:rFonts w:ascii="Arial" w:hAnsi="Arial" w:cs="Arial"/>
        </w:rPr>
      </w:pPr>
      <w:r w:rsidRPr="00205E25">
        <w:rPr>
          <w:rFonts w:ascii="Arial" w:hAnsi="Arial" w:cs="Arial"/>
        </w:rPr>
        <w:t>Condamner l</w:t>
      </w:r>
      <w:r w:rsidR="0009028A">
        <w:rPr>
          <w:rFonts w:ascii="Arial" w:hAnsi="Arial" w:cs="Arial"/>
        </w:rPr>
        <w:t>’</w:t>
      </w:r>
      <w:r w:rsidRPr="00205E25">
        <w:rPr>
          <w:rFonts w:ascii="Arial" w:hAnsi="Arial" w:cs="Arial"/>
        </w:rPr>
        <w:t>État défendeur aux dépens.</w:t>
      </w:r>
    </w:p>
    <w:p w14:paraId="1595972E" w14:textId="77777777" w:rsidR="0060770F" w:rsidRPr="00205E25" w:rsidRDefault="0060770F" w:rsidP="009E2D2E">
      <w:pPr>
        <w:rPr>
          <w:rFonts w:ascii="Arial" w:hAnsi="Arial" w:cs="Arial"/>
          <w:lang w:bidi="ar-EG"/>
        </w:rPr>
      </w:pPr>
    </w:p>
    <w:p w14:paraId="26D574E9" w14:textId="77777777" w:rsidR="0060770F" w:rsidRPr="00205E25" w:rsidRDefault="0060770F" w:rsidP="009E2D2E">
      <w:pPr>
        <w:rPr>
          <w:rFonts w:ascii="Arial" w:hAnsi="Arial" w:cs="Arial"/>
          <w:lang w:bidi="ar-EG"/>
        </w:rPr>
      </w:pPr>
    </w:p>
    <w:p w14:paraId="65F2E722" w14:textId="09BF503B" w:rsidR="0060770F" w:rsidRPr="00205E25" w:rsidRDefault="00E278A9" w:rsidP="009E2D2E">
      <w:pPr>
        <w:rPr>
          <w:rFonts w:ascii="Arial" w:hAnsi="Arial" w:cs="Arial"/>
        </w:rPr>
      </w:pPr>
      <w:r w:rsidRPr="00205E25">
        <w:rPr>
          <w:rFonts w:ascii="Arial" w:hAnsi="Arial" w:cs="Arial"/>
        </w:rPr>
        <w:lastRenderedPageBreak/>
        <w:t>L</w:t>
      </w:r>
      <w:r w:rsidR="0009028A">
        <w:rPr>
          <w:rFonts w:ascii="Arial" w:hAnsi="Arial" w:cs="Arial"/>
        </w:rPr>
        <w:t>’</w:t>
      </w:r>
      <w:r w:rsidRPr="00205E25">
        <w:rPr>
          <w:rFonts w:ascii="Arial" w:hAnsi="Arial" w:cs="Arial"/>
        </w:rPr>
        <w:t>État défendeur demande, quant à lui, à la Cour de :</w:t>
      </w:r>
    </w:p>
    <w:p w14:paraId="3299F10C" w14:textId="77777777" w:rsidR="0060770F" w:rsidRPr="00205E25" w:rsidRDefault="0060770F" w:rsidP="009E2D2E">
      <w:pPr>
        <w:rPr>
          <w:rFonts w:ascii="Arial" w:hAnsi="Arial" w:cs="Arial"/>
        </w:rPr>
      </w:pPr>
    </w:p>
    <w:p w14:paraId="56C13033" w14:textId="77777777" w:rsidR="0060770F" w:rsidRPr="00205E25" w:rsidRDefault="00E278A9" w:rsidP="009E2D2E">
      <w:pPr>
        <w:rPr>
          <w:rFonts w:ascii="Arial" w:hAnsi="Arial" w:cs="Arial"/>
        </w:rPr>
      </w:pPr>
      <w:r w:rsidRPr="00205E25">
        <w:rPr>
          <w:rFonts w:ascii="Arial" w:hAnsi="Arial" w:cs="Arial"/>
        </w:rPr>
        <w:t>Déclarer la Requête irrecevable.</w:t>
      </w:r>
    </w:p>
    <w:p w14:paraId="4C63025F" w14:textId="77777777" w:rsidR="0060770F" w:rsidRPr="00205E25" w:rsidRDefault="0060770F" w:rsidP="009E2D2E">
      <w:pPr>
        <w:rPr>
          <w:rFonts w:ascii="Arial" w:hAnsi="Arial" w:cs="Arial"/>
        </w:rPr>
      </w:pPr>
    </w:p>
    <w:p w14:paraId="0D5EDB4B" w14:textId="3A06CB58" w:rsidR="0060770F" w:rsidRPr="00205E25" w:rsidRDefault="00E278A9" w:rsidP="009E2D2E">
      <w:pPr>
        <w:rPr>
          <w:rFonts w:ascii="Arial" w:hAnsi="Arial" w:cs="Arial"/>
        </w:rPr>
      </w:pPr>
      <w:r w:rsidRPr="00205E25">
        <w:rPr>
          <w:rFonts w:ascii="Arial" w:hAnsi="Arial" w:cs="Arial"/>
        </w:rPr>
        <w:t>À titre subsidiaire, l</w:t>
      </w:r>
      <w:r w:rsidR="0009028A">
        <w:rPr>
          <w:rFonts w:ascii="Arial" w:hAnsi="Arial" w:cs="Arial"/>
        </w:rPr>
        <w:t>’</w:t>
      </w:r>
      <w:r w:rsidRPr="00205E25">
        <w:rPr>
          <w:rFonts w:ascii="Arial" w:hAnsi="Arial" w:cs="Arial"/>
        </w:rPr>
        <w:t>État défendeur demande à la Cour de :</w:t>
      </w:r>
    </w:p>
    <w:p w14:paraId="0B0F8B7D" w14:textId="77777777" w:rsidR="0060770F" w:rsidRPr="00205E25" w:rsidRDefault="0060770F" w:rsidP="009E2D2E">
      <w:pPr>
        <w:rPr>
          <w:rFonts w:ascii="Arial" w:hAnsi="Arial" w:cs="Arial"/>
        </w:rPr>
      </w:pPr>
    </w:p>
    <w:p w14:paraId="6E66F992" w14:textId="56657ED0" w:rsidR="0060770F" w:rsidRPr="00205E25" w:rsidRDefault="00E278A9" w:rsidP="009E2D2E">
      <w:pPr>
        <w:rPr>
          <w:rFonts w:ascii="Arial" w:hAnsi="Arial" w:cs="Arial"/>
        </w:rPr>
      </w:pPr>
      <w:r w:rsidRPr="00205E25">
        <w:rPr>
          <w:rFonts w:ascii="Arial" w:hAnsi="Arial" w:cs="Arial"/>
        </w:rPr>
        <w:t>Rejeter la Requête au motif qu</w:t>
      </w:r>
      <w:r w:rsidR="0009028A">
        <w:rPr>
          <w:rFonts w:ascii="Arial" w:hAnsi="Arial" w:cs="Arial"/>
        </w:rPr>
        <w:t>’</w:t>
      </w:r>
      <w:r w:rsidRPr="00205E25">
        <w:rPr>
          <w:rFonts w:ascii="Arial" w:hAnsi="Arial" w:cs="Arial"/>
        </w:rPr>
        <w:t>elle est dépourvue de tout fondement ;</w:t>
      </w:r>
    </w:p>
    <w:p w14:paraId="7F815AF5" w14:textId="77777777" w:rsidR="0060770F" w:rsidRPr="00205E25" w:rsidRDefault="00E278A9" w:rsidP="009E2D2E">
      <w:pPr>
        <w:rPr>
          <w:rFonts w:ascii="Arial" w:hAnsi="Arial" w:cs="Arial"/>
        </w:rPr>
      </w:pPr>
      <w:bookmarkStart w:id="54" w:name="_Toc114320394"/>
      <w:r w:rsidRPr="00205E25">
        <w:rPr>
          <w:rFonts w:ascii="Arial" w:hAnsi="Arial" w:cs="Arial"/>
        </w:rPr>
        <w:t>Mettre les frais de procédure à la charge des Requérants.</w:t>
      </w:r>
    </w:p>
    <w:p w14:paraId="208B7233" w14:textId="77777777" w:rsidR="0060770F" w:rsidRPr="00205E25" w:rsidRDefault="0060770F" w:rsidP="009E2D2E">
      <w:pPr>
        <w:rPr>
          <w:rFonts w:ascii="Arial" w:hAnsi="Arial" w:cs="Arial"/>
          <w:lang w:bidi="ar-EG"/>
        </w:rPr>
      </w:pPr>
    </w:p>
    <w:p w14:paraId="20A8D87C" w14:textId="77777777" w:rsidR="0060770F" w:rsidRPr="00205E25" w:rsidRDefault="0060770F" w:rsidP="009E2D2E">
      <w:pPr>
        <w:rPr>
          <w:rFonts w:ascii="Arial" w:hAnsi="Arial" w:cs="Arial"/>
          <w:lang w:bidi="ar-EG"/>
        </w:rPr>
      </w:pPr>
    </w:p>
    <w:p w14:paraId="0885CB3E" w14:textId="77777777" w:rsidR="0060770F" w:rsidRPr="00205E25" w:rsidRDefault="00E278A9" w:rsidP="009E2D2E">
      <w:pPr>
        <w:rPr>
          <w:rFonts w:cs="Arial"/>
          <w:rtl/>
        </w:rPr>
      </w:pPr>
      <w:bookmarkStart w:id="55" w:name="_Toc118471357"/>
      <w:bookmarkStart w:id="56" w:name="_Toc118954340"/>
      <w:bookmarkStart w:id="57" w:name="_Toc118470346"/>
      <w:bookmarkStart w:id="58" w:name="_Toc120938744"/>
      <w:r w:rsidRPr="00205E25">
        <w:rPr>
          <w:rFonts w:cs="Arial"/>
        </w:rPr>
        <w:t>SUR LA COMPÉTENCE</w:t>
      </w:r>
      <w:bookmarkEnd w:id="54"/>
      <w:bookmarkEnd w:id="55"/>
      <w:bookmarkEnd w:id="56"/>
      <w:bookmarkEnd w:id="57"/>
      <w:bookmarkEnd w:id="58"/>
    </w:p>
    <w:p w14:paraId="0FD2B3DC" w14:textId="77777777" w:rsidR="0060770F" w:rsidRPr="00205E25" w:rsidRDefault="0060770F" w:rsidP="009E2D2E">
      <w:pPr>
        <w:rPr>
          <w:rFonts w:ascii="Arial" w:hAnsi="Arial" w:cs="Arial"/>
          <w:bCs/>
        </w:rPr>
      </w:pPr>
    </w:p>
    <w:p w14:paraId="214ACA74" w14:textId="4B8D7D8F" w:rsidR="0060770F" w:rsidRPr="00205E25" w:rsidRDefault="00E278A9" w:rsidP="009E2D2E">
      <w:pPr>
        <w:rPr>
          <w:rFonts w:ascii="Arial" w:hAnsi="Arial" w:cs="Arial"/>
          <w:bCs/>
        </w:rPr>
      </w:pPr>
      <w:r w:rsidRPr="00205E25">
        <w:rPr>
          <w:rFonts w:ascii="Arial" w:hAnsi="Arial" w:cs="Arial"/>
        </w:rPr>
        <w:t>La Cour relève que l</w:t>
      </w:r>
      <w:r w:rsidR="0009028A">
        <w:rPr>
          <w:rFonts w:ascii="Arial" w:hAnsi="Arial" w:cs="Arial"/>
        </w:rPr>
        <w:t>’</w:t>
      </w:r>
      <w:r w:rsidRPr="00205E25">
        <w:rPr>
          <w:rFonts w:ascii="Arial" w:hAnsi="Arial" w:cs="Arial"/>
        </w:rPr>
        <w:t>article 3 du Protocole dispose :</w:t>
      </w:r>
    </w:p>
    <w:p w14:paraId="4D457B36" w14:textId="77777777" w:rsidR="0060770F" w:rsidRPr="00205E25" w:rsidRDefault="0060770F" w:rsidP="009E2D2E">
      <w:pPr>
        <w:rPr>
          <w:rFonts w:ascii="Arial" w:hAnsi="Arial" w:cs="Arial"/>
          <w:bCs/>
        </w:rPr>
      </w:pPr>
    </w:p>
    <w:p w14:paraId="7D94B3DC" w14:textId="6C350052" w:rsidR="0060770F" w:rsidRPr="00205E25" w:rsidRDefault="00E278A9" w:rsidP="009E2D2E">
      <w:pPr>
        <w:rPr>
          <w:rFonts w:ascii="Arial" w:hAnsi="Arial" w:cs="Arial"/>
        </w:rPr>
      </w:pPr>
      <w:r w:rsidRPr="00205E25">
        <w:rPr>
          <w:rFonts w:ascii="Arial" w:hAnsi="Arial" w:cs="Arial"/>
        </w:rPr>
        <w:t>La Cour a compétence pour connaître de toutes les affaires et de tous les différends dont elle est saisie concernant l</w:t>
      </w:r>
      <w:r w:rsidR="0009028A">
        <w:rPr>
          <w:rFonts w:ascii="Arial" w:hAnsi="Arial" w:cs="Arial"/>
        </w:rPr>
        <w:t>’</w:t>
      </w:r>
      <w:r w:rsidRPr="00205E25">
        <w:rPr>
          <w:rFonts w:ascii="Arial" w:hAnsi="Arial" w:cs="Arial"/>
        </w:rPr>
        <w:t>interprétation et l</w:t>
      </w:r>
      <w:r w:rsidR="0009028A">
        <w:rPr>
          <w:rFonts w:ascii="Arial" w:hAnsi="Arial" w:cs="Arial"/>
        </w:rPr>
        <w:t>’</w:t>
      </w:r>
      <w:r w:rsidRPr="00205E25">
        <w:rPr>
          <w:rFonts w:ascii="Arial" w:hAnsi="Arial" w:cs="Arial"/>
        </w:rPr>
        <w:t>application de la Charte, du [...] Protocole, et de tout autre instrument pertinent relatif aux droits de l</w:t>
      </w:r>
      <w:r w:rsidR="0009028A">
        <w:rPr>
          <w:rFonts w:ascii="Arial" w:hAnsi="Arial" w:cs="Arial"/>
        </w:rPr>
        <w:t>’</w:t>
      </w:r>
      <w:r w:rsidRPr="00205E25">
        <w:rPr>
          <w:rFonts w:ascii="Arial" w:hAnsi="Arial" w:cs="Arial"/>
        </w:rPr>
        <w:t>homme et ratifié par les États concernés.</w:t>
      </w:r>
    </w:p>
    <w:p w14:paraId="4CC4F8AE" w14:textId="77777777" w:rsidR="0060770F" w:rsidRPr="00205E25" w:rsidRDefault="0060770F" w:rsidP="009E2D2E">
      <w:pPr>
        <w:rPr>
          <w:rFonts w:ascii="Arial" w:hAnsi="Arial" w:cs="Arial"/>
        </w:rPr>
      </w:pPr>
    </w:p>
    <w:p w14:paraId="3B850B7F" w14:textId="77777777" w:rsidR="0060770F" w:rsidRPr="00205E25" w:rsidRDefault="00E278A9" w:rsidP="009E2D2E">
      <w:pPr>
        <w:rPr>
          <w:rFonts w:ascii="Arial" w:hAnsi="Arial" w:cs="Arial"/>
          <w:rtl/>
        </w:rPr>
      </w:pPr>
      <w:r w:rsidRPr="00205E25">
        <w:rPr>
          <w:rFonts w:ascii="Arial" w:hAnsi="Arial" w:cs="Arial"/>
        </w:rPr>
        <w:t>En cas de contestation sur le point de savoir si la Cour est compétente, la Cour décide.</w:t>
      </w:r>
    </w:p>
    <w:p w14:paraId="7A16CA45" w14:textId="77777777" w:rsidR="0060770F" w:rsidRPr="00205E25" w:rsidRDefault="0060770F" w:rsidP="009E2D2E">
      <w:pPr>
        <w:rPr>
          <w:rFonts w:ascii="Arial" w:hAnsi="Arial" w:cs="Arial"/>
          <w:lang w:bidi="ar-EG"/>
        </w:rPr>
      </w:pPr>
    </w:p>
    <w:p w14:paraId="575AAFAD" w14:textId="323CD42F" w:rsidR="0060770F" w:rsidRPr="00205E25" w:rsidRDefault="00E278A9" w:rsidP="009E2D2E">
      <w:pPr>
        <w:rPr>
          <w:rFonts w:ascii="Arial" w:hAnsi="Arial" w:cs="Arial"/>
        </w:rPr>
      </w:pPr>
      <w:r w:rsidRPr="00205E25">
        <w:rPr>
          <w:rFonts w:ascii="Arial" w:hAnsi="Arial" w:cs="Arial"/>
        </w:rPr>
        <w:t>La Cour rappelle qu</w:t>
      </w:r>
      <w:r w:rsidR="0009028A">
        <w:rPr>
          <w:rFonts w:ascii="Arial" w:hAnsi="Arial" w:cs="Arial"/>
        </w:rPr>
        <w:t>’</w:t>
      </w:r>
      <w:r w:rsidRPr="00205E25">
        <w:rPr>
          <w:rFonts w:ascii="Arial" w:hAnsi="Arial" w:cs="Arial"/>
        </w:rPr>
        <w:t>aux termes de la règle 49(1) du Règlement, elle «</w:t>
      </w:r>
      <w:r w:rsidR="00440F4A">
        <w:rPr>
          <w:rFonts w:ascii="Arial" w:hAnsi="Arial" w:cs="Arial"/>
        </w:rPr>
        <w:t> </w:t>
      </w:r>
      <w:r w:rsidRPr="00205E25">
        <w:rPr>
          <w:rFonts w:ascii="Arial" w:hAnsi="Arial" w:cs="Arial"/>
        </w:rPr>
        <w:t>procède à un examen préliminaire de sa compétence [</w:t>
      </w:r>
      <w:r w:rsidR="00440F4A">
        <w:rPr>
          <w:rFonts w:ascii="Arial" w:hAnsi="Arial" w:cs="Arial"/>
        </w:rPr>
        <w:t>…</w:t>
      </w:r>
      <w:r w:rsidRPr="00205E25">
        <w:rPr>
          <w:rFonts w:ascii="Arial" w:hAnsi="Arial" w:cs="Arial"/>
        </w:rPr>
        <w:t>] conformément à la Charte, au Protocole et au […] Règlement »</w:t>
      </w:r>
      <w:r w:rsidRPr="00205E25">
        <w:rPr>
          <w:rStyle w:val="FootnoteReference"/>
          <w:rFonts w:ascii="Arial" w:hAnsi="Arial" w:cs="Arial"/>
          <w:sz w:val="24"/>
          <w:szCs w:val="24"/>
        </w:rPr>
        <w:footnoteReference w:id="4"/>
      </w:r>
      <w:r w:rsidR="005A237D">
        <w:rPr>
          <w:rFonts w:ascii="Arial" w:hAnsi="Arial" w:cs="Arial"/>
        </w:rPr>
        <w:t>.</w:t>
      </w:r>
    </w:p>
    <w:p w14:paraId="5720E2EA" w14:textId="77777777" w:rsidR="0060770F" w:rsidRPr="00205E25" w:rsidRDefault="0060770F" w:rsidP="009E2D2E">
      <w:pPr>
        <w:rPr>
          <w:rFonts w:ascii="Arial" w:hAnsi="Arial" w:cs="Arial"/>
          <w:lang w:bidi="ar-EG"/>
        </w:rPr>
      </w:pPr>
    </w:p>
    <w:p w14:paraId="23AE11E3" w14:textId="366C8C19" w:rsidR="0060770F" w:rsidRPr="00205E25" w:rsidRDefault="00E278A9" w:rsidP="009E2D2E">
      <w:pPr>
        <w:rPr>
          <w:rFonts w:ascii="Arial" w:eastAsia="Calibri" w:hAnsi="Arial" w:cs="Arial"/>
        </w:rPr>
      </w:pPr>
      <w:r w:rsidRPr="00205E25">
        <w:rPr>
          <w:rFonts w:ascii="Arial" w:hAnsi="Arial" w:cs="Arial"/>
        </w:rPr>
        <w:t>Compte tenu de ce qui précède, la Cour est tenue de procéder, à titre préliminaire, à l</w:t>
      </w:r>
      <w:r w:rsidR="0009028A">
        <w:rPr>
          <w:rFonts w:ascii="Arial" w:hAnsi="Arial" w:cs="Arial"/>
        </w:rPr>
        <w:t>’</w:t>
      </w:r>
      <w:r w:rsidRPr="00205E25">
        <w:rPr>
          <w:rFonts w:ascii="Arial" w:hAnsi="Arial" w:cs="Arial"/>
        </w:rPr>
        <w:t>examen de sa compétence et statuer sur les éventuelles exceptions qui s</w:t>
      </w:r>
      <w:r w:rsidR="0009028A">
        <w:rPr>
          <w:rFonts w:ascii="Arial" w:hAnsi="Arial" w:cs="Arial"/>
        </w:rPr>
        <w:t>’</w:t>
      </w:r>
      <w:r w:rsidRPr="00205E25">
        <w:rPr>
          <w:rFonts w:ascii="Arial" w:hAnsi="Arial" w:cs="Arial"/>
        </w:rPr>
        <w:t>y rapportent.</w:t>
      </w:r>
    </w:p>
    <w:p w14:paraId="67F0F400" w14:textId="77777777" w:rsidR="0060770F" w:rsidRPr="00205E25" w:rsidRDefault="0060770F" w:rsidP="009E2D2E">
      <w:pPr>
        <w:rPr>
          <w:rFonts w:ascii="Arial" w:eastAsia="Calibri" w:hAnsi="Arial" w:cs="Arial"/>
        </w:rPr>
      </w:pPr>
    </w:p>
    <w:p w14:paraId="21CD893B" w14:textId="30B93E86" w:rsidR="0060770F" w:rsidRPr="00205E25" w:rsidRDefault="00E278A9" w:rsidP="009E2D2E">
      <w:pPr>
        <w:rPr>
          <w:rFonts w:ascii="Arial" w:eastAsia="Calibri" w:hAnsi="Arial" w:cs="Arial"/>
        </w:rPr>
      </w:pPr>
      <w:r w:rsidRPr="00205E25">
        <w:rPr>
          <w:rFonts w:ascii="Arial" w:hAnsi="Arial" w:cs="Arial"/>
        </w:rPr>
        <w:t>La Cour constate que l</w:t>
      </w:r>
      <w:r w:rsidR="0009028A">
        <w:rPr>
          <w:rFonts w:ascii="Arial" w:hAnsi="Arial" w:cs="Arial"/>
        </w:rPr>
        <w:t>’</w:t>
      </w:r>
      <w:r w:rsidRPr="00205E25">
        <w:rPr>
          <w:rFonts w:ascii="Arial" w:hAnsi="Arial" w:cs="Arial"/>
        </w:rPr>
        <w:t>État défendeur ne soulève aucune exception d</w:t>
      </w:r>
      <w:r w:rsidR="0009028A">
        <w:rPr>
          <w:rFonts w:ascii="Arial" w:hAnsi="Arial" w:cs="Arial"/>
        </w:rPr>
        <w:t>’</w:t>
      </w:r>
      <w:r w:rsidRPr="00205E25">
        <w:rPr>
          <w:rFonts w:ascii="Arial" w:hAnsi="Arial" w:cs="Arial"/>
        </w:rPr>
        <w:t>incompétence en l</w:t>
      </w:r>
      <w:r w:rsidR="0009028A">
        <w:rPr>
          <w:rFonts w:ascii="Arial" w:hAnsi="Arial" w:cs="Arial"/>
        </w:rPr>
        <w:t>’</w:t>
      </w:r>
      <w:r w:rsidRPr="00205E25">
        <w:rPr>
          <w:rFonts w:ascii="Arial" w:hAnsi="Arial" w:cs="Arial"/>
        </w:rPr>
        <w:t>espèce</w:t>
      </w:r>
      <w:r w:rsidR="00440F4A">
        <w:rPr>
          <w:rFonts w:ascii="Arial" w:hAnsi="Arial" w:cs="Arial"/>
        </w:rPr>
        <w:t>.</w:t>
      </w:r>
      <w:r w:rsidR="00474E40" w:rsidRPr="00205E25">
        <w:t xml:space="preserve"> </w:t>
      </w:r>
      <w:r w:rsidR="00440F4A" w:rsidRPr="00205E25">
        <w:rPr>
          <w:rFonts w:ascii="Arial" w:hAnsi="Arial" w:cs="Arial"/>
          <w:bCs/>
        </w:rPr>
        <w:t>Néanmoins</w:t>
      </w:r>
      <w:r w:rsidR="00440F4A" w:rsidRPr="00440F4A">
        <w:rPr>
          <w:rFonts w:ascii="Arial" w:hAnsi="Arial" w:cs="Arial"/>
        </w:rPr>
        <w:t>, elle</w:t>
      </w:r>
      <w:r w:rsidR="00440F4A">
        <w:rPr>
          <w:rFonts w:ascii="Arial" w:hAnsi="Arial" w:cs="Arial"/>
          <w:b/>
          <w:bCs/>
        </w:rPr>
        <w:t xml:space="preserve"> </w:t>
      </w:r>
      <w:r w:rsidRPr="00205E25">
        <w:rPr>
          <w:rFonts w:ascii="Arial" w:hAnsi="Arial" w:cs="Arial"/>
        </w:rPr>
        <w:t>doit s</w:t>
      </w:r>
      <w:r w:rsidR="0009028A">
        <w:rPr>
          <w:rFonts w:ascii="Arial" w:hAnsi="Arial" w:cs="Arial"/>
        </w:rPr>
        <w:t>’</w:t>
      </w:r>
      <w:r w:rsidRPr="00205E25">
        <w:rPr>
          <w:rFonts w:ascii="Arial" w:hAnsi="Arial" w:cs="Arial"/>
        </w:rPr>
        <w:t xml:space="preserve">assurer que tous les </w:t>
      </w:r>
      <w:r w:rsidRPr="00205E25">
        <w:rPr>
          <w:rFonts w:ascii="Arial" w:hAnsi="Arial" w:cs="Arial"/>
        </w:rPr>
        <w:lastRenderedPageBreak/>
        <w:t>aspects de sa compétence sont satisfaits avant de poursuivre l</w:t>
      </w:r>
      <w:r w:rsidR="0009028A">
        <w:rPr>
          <w:rFonts w:ascii="Arial" w:hAnsi="Arial" w:cs="Arial"/>
        </w:rPr>
        <w:t>’</w:t>
      </w:r>
      <w:r w:rsidRPr="00205E25">
        <w:rPr>
          <w:rFonts w:ascii="Arial" w:hAnsi="Arial" w:cs="Arial"/>
        </w:rPr>
        <w:t>examen de la Requête.</w:t>
      </w:r>
    </w:p>
    <w:p w14:paraId="65165F1E" w14:textId="77777777" w:rsidR="0060770F" w:rsidRPr="00205E25" w:rsidRDefault="0060770F" w:rsidP="009E2D2E">
      <w:pPr>
        <w:rPr>
          <w:rFonts w:ascii="Arial" w:eastAsia="Calibri" w:hAnsi="Arial" w:cs="Arial"/>
        </w:rPr>
      </w:pPr>
    </w:p>
    <w:p w14:paraId="264BF511" w14:textId="1EDA9901" w:rsidR="0060770F" w:rsidRPr="00205E25" w:rsidRDefault="00E278A9" w:rsidP="009E2D2E">
      <w:pPr>
        <w:rPr>
          <w:rFonts w:ascii="Arial" w:hAnsi="Arial" w:cs="Arial"/>
        </w:rPr>
      </w:pPr>
      <w:r w:rsidRPr="00205E25">
        <w:rPr>
          <w:rFonts w:ascii="Arial" w:hAnsi="Arial" w:cs="Arial"/>
        </w:rPr>
        <w:t>S</w:t>
      </w:r>
      <w:r w:rsidR="0009028A">
        <w:rPr>
          <w:rFonts w:ascii="Arial" w:hAnsi="Arial" w:cs="Arial"/>
        </w:rPr>
        <w:t>’</w:t>
      </w:r>
      <w:r w:rsidRPr="00205E25">
        <w:rPr>
          <w:rFonts w:ascii="Arial" w:hAnsi="Arial" w:cs="Arial"/>
        </w:rPr>
        <w:t>agissant de sa compétence matérielle, la Cour relève que les Requérants allèguent la violation de l</w:t>
      </w:r>
      <w:r w:rsidR="0009028A">
        <w:rPr>
          <w:rFonts w:ascii="Arial" w:hAnsi="Arial" w:cs="Arial"/>
        </w:rPr>
        <w:t>’</w:t>
      </w:r>
      <w:r w:rsidRPr="00205E25">
        <w:rPr>
          <w:rFonts w:ascii="Arial" w:hAnsi="Arial" w:cs="Arial"/>
        </w:rPr>
        <w:t>article 7(1) de la Charte, l</w:t>
      </w:r>
      <w:r w:rsidR="0009028A">
        <w:rPr>
          <w:rFonts w:ascii="Arial" w:hAnsi="Arial" w:cs="Arial"/>
        </w:rPr>
        <w:t>’</w:t>
      </w:r>
      <w:r w:rsidRPr="00205E25">
        <w:rPr>
          <w:rFonts w:ascii="Arial" w:hAnsi="Arial" w:cs="Arial"/>
        </w:rPr>
        <w:t xml:space="preserve">article 8 de la </w:t>
      </w:r>
      <w:r w:rsidRPr="00205E25">
        <w:rPr>
          <w:rFonts w:ascii="Arial" w:hAnsi="Arial" w:cs="Arial"/>
          <w:bCs/>
        </w:rPr>
        <w:t>DUDH et</w:t>
      </w:r>
      <w:r w:rsidRPr="00205E25">
        <w:rPr>
          <w:rFonts w:ascii="Arial" w:hAnsi="Arial" w:cs="Arial"/>
        </w:rPr>
        <w:t xml:space="preserve"> </w:t>
      </w:r>
      <w:r w:rsidRPr="00205E25">
        <w:rPr>
          <w:rFonts w:ascii="Arial" w:hAnsi="Arial" w:cs="Arial"/>
          <w:bCs/>
        </w:rPr>
        <w:t>l</w:t>
      </w:r>
      <w:r w:rsidR="0009028A">
        <w:rPr>
          <w:rFonts w:ascii="Arial" w:hAnsi="Arial" w:cs="Arial"/>
          <w:bCs/>
        </w:rPr>
        <w:t>’</w:t>
      </w:r>
      <w:r w:rsidRPr="00205E25">
        <w:rPr>
          <w:rFonts w:ascii="Arial" w:hAnsi="Arial" w:cs="Arial"/>
          <w:bCs/>
        </w:rPr>
        <w:t xml:space="preserve">article 11 de </w:t>
      </w:r>
      <w:bookmarkStart w:id="59" w:name="_Hlk119588340"/>
      <w:r w:rsidRPr="00205E25">
        <w:rPr>
          <w:rFonts w:ascii="Arial" w:hAnsi="Arial" w:cs="Arial"/>
          <w:bCs/>
        </w:rPr>
        <w:t>la Convention</w:t>
      </w:r>
      <w:bookmarkEnd w:id="59"/>
      <w:r w:rsidRPr="00205E25">
        <w:rPr>
          <w:rFonts w:ascii="Arial" w:hAnsi="Arial" w:cs="Arial"/>
          <w:bCs/>
        </w:rPr>
        <w:t xml:space="preserve"> </w:t>
      </w:r>
      <w:bookmarkStart w:id="60" w:name="_Hlk119588417"/>
      <w:r w:rsidRPr="00205E25">
        <w:rPr>
          <w:rFonts w:ascii="Arial" w:hAnsi="Arial" w:cs="Arial"/>
          <w:bCs/>
        </w:rPr>
        <w:t>de l</w:t>
      </w:r>
      <w:r w:rsidR="0009028A">
        <w:rPr>
          <w:rFonts w:ascii="Arial" w:hAnsi="Arial" w:cs="Arial"/>
          <w:bCs/>
        </w:rPr>
        <w:t>’</w:t>
      </w:r>
      <w:r w:rsidRPr="00205E25">
        <w:rPr>
          <w:rFonts w:ascii="Arial" w:hAnsi="Arial" w:cs="Arial"/>
          <w:bCs/>
        </w:rPr>
        <w:t xml:space="preserve">OIT </w:t>
      </w:r>
      <w:bookmarkEnd w:id="60"/>
      <w:r w:rsidRPr="00205E25">
        <w:rPr>
          <w:rFonts w:ascii="Arial" w:hAnsi="Arial" w:cs="Arial"/>
          <w:bCs/>
        </w:rPr>
        <w:t>sur la liberté d</w:t>
      </w:r>
      <w:r w:rsidR="0009028A">
        <w:rPr>
          <w:rFonts w:ascii="Arial" w:hAnsi="Arial" w:cs="Arial"/>
          <w:bCs/>
        </w:rPr>
        <w:t>’</w:t>
      </w:r>
      <w:r w:rsidRPr="00205E25">
        <w:rPr>
          <w:rFonts w:ascii="Arial" w:hAnsi="Arial" w:cs="Arial"/>
          <w:bCs/>
        </w:rPr>
        <w:t>association C87 de 1948</w:t>
      </w:r>
      <w:r w:rsidRPr="00205E25">
        <w:rPr>
          <w:rFonts w:ascii="Arial" w:hAnsi="Arial" w:cs="Arial"/>
        </w:rPr>
        <w:t>. La Cour rappelle que l</w:t>
      </w:r>
      <w:r w:rsidR="0009028A">
        <w:rPr>
          <w:rFonts w:ascii="Arial" w:hAnsi="Arial" w:cs="Arial"/>
        </w:rPr>
        <w:t>’</w:t>
      </w:r>
      <w:r w:rsidRPr="00205E25">
        <w:rPr>
          <w:rFonts w:ascii="Arial" w:hAnsi="Arial" w:cs="Arial"/>
        </w:rPr>
        <w:t xml:space="preserve">État défendeur est partie à la Charte et que la </w:t>
      </w:r>
      <w:r w:rsidRPr="00205E25">
        <w:rPr>
          <w:rFonts w:ascii="Arial" w:hAnsi="Arial" w:cs="Arial"/>
          <w:bCs/>
        </w:rPr>
        <w:t>DUDH</w:t>
      </w:r>
      <w:r w:rsidRPr="00205E25">
        <w:rPr>
          <w:rFonts w:ascii="Arial" w:hAnsi="Arial" w:cs="Arial"/>
        </w:rPr>
        <w:t xml:space="preserve"> représente le droit international coutumier qui lie automatiquement les États.</w:t>
      </w:r>
    </w:p>
    <w:p w14:paraId="4B05479F" w14:textId="77777777" w:rsidR="0060770F" w:rsidRPr="00205E25" w:rsidRDefault="0060770F" w:rsidP="009E2D2E">
      <w:pPr>
        <w:rPr>
          <w:rFonts w:ascii="Arial" w:hAnsi="Arial" w:cs="Arial"/>
          <w:lang w:bidi="ar-EG"/>
        </w:rPr>
      </w:pPr>
    </w:p>
    <w:p w14:paraId="24996C51" w14:textId="10D6C95B" w:rsidR="0060770F" w:rsidRPr="00205E25" w:rsidRDefault="00E278A9" w:rsidP="009E2D2E">
      <w:pPr>
        <w:rPr>
          <w:rFonts w:ascii="Arial" w:hAnsi="Arial" w:cs="Arial"/>
        </w:rPr>
      </w:pPr>
      <w:r w:rsidRPr="00205E25">
        <w:rPr>
          <w:rFonts w:ascii="Arial" w:hAnsi="Arial" w:cs="Arial"/>
        </w:rPr>
        <w:t>La Cour note, en ce qui concerne sa compétence personnelle, que celle-ci est établie dans la mesure où l</w:t>
      </w:r>
      <w:r w:rsidR="0009028A">
        <w:rPr>
          <w:rFonts w:ascii="Arial" w:hAnsi="Arial" w:cs="Arial"/>
        </w:rPr>
        <w:t>’</w:t>
      </w:r>
      <w:r w:rsidRPr="00205E25">
        <w:rPr>
          <w:rFonts w:ascii="Arial" w:hAnsi="Arial" w:cs="Arial"/>
        </w:rPr>
        <w:t>État défendeur est partie à la Charte et au Protocole et a déposé la Déclaration prévue à l</w:t>
      </w:r>
      <w:r w:rsidR="0009028A">
        <w:rPr>
          <w:rFonts w:ascii="Arial" w:hAnsi="Arial" w:cs="Arial"/>
        </w:rPr>
        <w:t>’</w:t>
      </w:r>
      <w:r w:rsidRPr="00205E25">
        <w:rPr>
          <w:rFonts w:ascii="Arial" w:hAnsi="Arial" w:cs="Arial"/>
        </w:rPr>
        <w:t>article 34(6) en vertu de laquelle les individus et les organisations non gouvernementales ayant le statut d</w:t>
      </w:r>
      <w:r w:rsidR="0009028A">
        <w:rPr>
          <w:rFonts w:ascii="Arial" w:hAnsi="Arial" w:cs="Arial"/>
        </w:rPr>
        <w:t>’</w:t>
      </w:r>
      <w:r w:rsidRPr="00205E25">
        <w:rPr>
          <w:rFonts w:ascii="Arial" w:hAnsi="Arial" w:cs="Arial"/>
        </w:rPr>
        <w:t>observateur auprès de la Commission africaine des droits de l</w:t>
      </w:r>
      <w:r w:rsidR="0009028A">
        <w:rPr>
          <w:rFonts w:ascii="Arial" w:hAnsi="Arial" w:cs="Arial"/>
        </w:rPr>
        <w:t>’</w:t>
      </w:r>
      <w:r w:rsidRPr="00205E25">
        <w:rPr>
          <w:rFonts w:ascii="Arial" w:hAnsi="Arial" w:cs="Arial"/>
        </w:rPr>
        <w:t>homme peuvent la saisir directement.</w:t>
      </w:r>
    </w:p>
    <w:p w14:paraId="2CDD12D4" w14:textId="77777777" w:rsidR="0060770F" w:rsidRPr="00205E25" w:rsidRDefault="0060770F" w:rsidP="009E2D2E">
      <w:pPr>
        <w:rPr>
          <w:rFonts w:ascii="Arial" w:hAnsi="Arial" w:cs="Arial"/>
          <w:lang w:bidi="ar-EG"/>
        </w:rPr>
      </w:pPr>
    </w:p>
    <w:p w14:paraId="382819B8" w14:textId="2C5DBF90" w:rsidR="0060770F" w:rsidRPr="00205E25" w:rsidRDefault="00E278A9" w:rsidP="009E2D2E">
      <w:pPr>
        <w:rPr>
          <w:rFonts w:ascii="Arial" w:hAnsi="Arial" w:cs="Arial"/>
        </w:rPr>
      </w:pPr>
      <w:r w:rsidRPr="00205E25">
        <w:rPr>
          <w:rFonts w:ascii="Arial" w:hAnsi="Arial" w:cs="Arial"/>
        </w:rPr>
        <w:t>S</w:t>
      </w:r>
      <w:r w:rsidR="0009028A">
        <w:rPr>
          <w:rFonts w:ascii="Arial" w:hAnsi="Arial" w:cs="Arial"/>
        </w:rPr>
        <w:t>’</w:t>
      </w:r>
      <w:r w:rsidRPr="00205E25">
        <w:rPr>
          <w:rFonts w:ascii="Arial" w:hAnsi="Arial" w:cs="Arial"/>
        </w:rPr>
        <w:t>agissant de sa compétence temporelle, la Cour relève que toutes les violations alléguées par le Requérant sont survenues après que l</w:t>
      </w:r>
      <w:r w:rsidR="0009028A">
        <w:rPr>
          <w:rFonts w:ascii="Arial" w:hAnsi="Arial" w:cs="Arial"/>
        </w:rPr>
        <w:t>’</w:t>
      </w:r>
      <w:r w:rsidRPr="00205E25">
        <w:rPr>
          <w:rFonts w:ascii="Arial" w:hAnsi="Arial" w:cs="Arial"/>
        </w:rPr>
        <w:t>État défendeur est devenu partie à la Charte et au Protocole et a déposé la Déclaration. La Cour en conclut que sa compétence temporelle est établie.</w:t>
      </w:r>
    </w:p>
    <w:p w14:paraId="756F855A" w14:textId="77777777" w:rsidR="0060770F" w:rsidRPr="00205E25" w:rsidRDefault="0060770F" w:rsidP="009E2D2E">
      <w:pPr>
        <w:rPr>
          <w:rFonts w:ascii="Arial" w:hAnsi="Arial" w:cs="Arial"/>
        </w:rPr>
      </w:pPr>
    </w:p>
    <w:p w14:paraId="525BC1E9" w14:textId="1EC31FA3" w:rsidR="0060770F" w:rsidRPr="00205E25" w:rsidRDefault="00E278A9" w:rsidP="009E2D2E">
      <w:pPr>
        <w:rPr>
          <w:rFonts w:ascii="Arial" w:hAnsi="Arial" w:cs="Arial"/>
        </w:rPr>
      </w:pPr>
      <w:r w:rsidRPr="00205E25">
        <w:rPr>
          <w:rFonts w:ascii="Arial" w:hAnsi="Arial" w:cs="Arial"/>
        </w:rPr>
        <w:t>La Cour relève, en ce qui concerne sa compétence territoriale, que les violations alléguées par les Requérants se sont produites sur le territoire de l</w:t>
      </w:r>
      <w:r w:rsidR="0009028A">
        <w:rPr>
          <w:rFonts w:ascii="Arial" w:hAnsi="Arial" w:cs="Arial"/>
        </w:rPr>
        <w:t>’</w:t>
      </w:r>
      <w:r w:rsidRPr="00205E25">
        <w:rPr>
          <w:rFonts w:ascii="Arial" w:hAnsi="Arial" w:cs="Arial"/>
        </w:rPr>
        <w:t>État défendeur. Par conséquent, sa compétence territoriale est établie.</w:t>
      </w:r>
    </w:p>
    <w:p w14:paraId="252AD6FF" w14:textId="77777777" w:rsidR="0060770F" w:rsidRPr="00205E25" w:rsidRDefault="0060770F" w:rsidP="009E2D2E">
      <w:pPr>
        <w:rPr>
          <w:rFonts w:ascii="Arial" w:hAnsi="Arial" w:cs="Arial"/>
        </w:rPr>
      </w:pPr>
    </w:p>
    <w:p w14:paraId="7786B5D2" w14:textId="52297B93" w:rsidR="0060770F" w:rsidRPr="00205E25" w:rsidRDefault="00E278A9" w:rsidP="009E2D2E">
      <w:pPr>
        <w:rPr>
          <w:rFonts w:ascii="Arial" w:hAnsi="Arial" w:cs="Arial"/>
        </w:rPr>
      </w:pPr>
      <w:r w:rsidRPr="00205E25">
        <w:rPr>
          <w:rFonts w:ascii="Arial" w:hAnsi="Arial" w:cs="Arial"/>
        </w:rPr>
        <w:t>À la lumière de ce qui précède, la Cour conclut qu</w:t>
      </w:r>
      <w:r w:rsidR="0009028A">
        <w:rPr>
          <w:rFonts w:ascii="Arial" w:hAnsi="Arial" w:cs="Arial"/>
        </w:rPr>
        <w:t>’</w:t>
      </w:r>
      <w:r w:rsidRPr="00205E25">
        <w:rPr>
          <w:rFonts w:ascii="Arial" w:hAnsi="Arial" w:cs="Arial"/>
        </w:rPr>
        <w:t>elle est compétente pour connaître de la présente Requête.</w:t>
      </w:r>
    </w:p>
    <w:p w14:paraId="05FA3A8B" w14:textId="77777777" w:rsidR="0060770F" w:rsidRPr="00205E25" w:rsidRDefault="0060770F" w:rsidP="009E2D2E">
      <w:pPr>
        <w:rPr>
          <w:rFonts w:ascii="Arial" w:hAnsi="Arial" w:cs="Arial"/>
        </w:rPr>
      </w:pPr>
    </w:p>
    <w:p w14:paraId="6BA4A6B5" w14:textId="77777777" w:rsidR="0060770F" w:rsidRPr="00205E25" w:rsidRDefault="0060770F" w:rsidP="009E2D2E">
      <w:pPr>
        <w:rPr>
          <w:rFonts w:ascii="Arial" w:hAnsi="Arial" w:cs="Arial"/>
          <w:rtl/>
        </w:rPr>
      </w:pPr>
    </w:p>
    <w:p w14:paraId="269C6125" w14:textId="77777777" w:rsidR="0060770F" w:rsidRPr="00205E25" w:rsidRDefault="00E278A9" w:rsidP="009E2D2E">
      <w:pPr>
        <w:rPr>
          <w:rFonts w:cs="Arial"/>
        </w:rPr>
      </w:pPr>
      <w:bookmarkStart w:id="61" w:name="_Toc118470347"/>
      <w:bookmarkStart w:id="62" w:name="_Toc118471358"/>
      <w:bookmarkStart w:id="63" w:name="_Toc114320395"/>
      <w:bookmarkStart w:id="64" w:name="_Toc118954341"/>
      <w:bookmarkStart w:id="65" w:name="_Toc120938745"/>
      <w:r w:rsidRPr="00205E25">
        <w:rPr>
          <w:rFonts w:cs="Arial"/>
        </w:rPr>
        <w:t>SUR LA RECEVABILITÉ</w:t>
      </w:r>
      <w:bookmarkEnd w:id="61"/>
      <w:bookmarkEnd w:id="62"/>
      <w:bookmarkEnd w:id="63"/>
      <w:bookmarkEnd w:id="64"/>
      <w:bookmarkEnd w:id="65"/>
    </w:p>
    <w:p w14:paraId="584797CA" w14:textId="77777777" w:rsidR="0060770F" w:rsidRPr="00205E25" w:rsidRDefault="0060770F" w:rsidP="009E2D2E">
      <w:pPr>
        <w:rPr>
          <w:rFonts w:ascii="Arial" w:hAnsi="Arial" w:cs="Arial"/>
        </w:rPr>
      </w:pPr>
    </w:p>
    <w:p w14:paraId="4D9707EF" w14:textId="7D346FD5" w:rsidR="0060770F" w:rsidRPr="00205E25" w:rsidRDefault="00E278A9" w:rsidP="009E2D2E">
      <w:pPr>
        <w:rPr>
          <w:rFonts w:ascii="Arial" w:hAnsi="Arial" w:cs="Arial"/>
        </w:rPr>
      </w:pPr>
      <w:r w:rsidRPr="00205E25">
        <w:rPr>
          <w:rFonts w:ascii="Arial" w:hAnsi="Arial" w:cs="Arial"/>
        </w:rPr>
        <w:t>En vertu de l</w:t>
      </w:r>
      <w:r w:rsidR="0009028A">
        <w:rPr>
          <w:rFonts w:ascii="Arial" w:hAnsi="Arial" w:cs="Arial"/>
        </w:rPr>
        <w:t>’</w:t>
      </w:r>
      <w:r w:rsidRPr="00205E25">
        <w:rPr>
          <w:rFonts w:ascii="Arial" w:hAnsi="Arial" w:cs="Arial"/>
        </w:rPr>
        <w:t>article 6(2) du Protocole, « [l]a Cour statue sur la recevabilité des requêtes en tenant compte des dispositions énoncées à l</w:t>
      </w:r>
      <w:r w:rsidR="0009028A">
        <w:rPr>
          <w:rFonts w:ascii="Arial" w:hAnsi="Arial" w:cs="Arial"/>
        </w:rPr>
        <w:t>’</w:t>
      </w:r>
      <w:r w:rsidRPr="00205E25">
        <w:rPr>
          <w:rFonts w:ascii="Arial" w:hAnsi="Arial" w:cs="Arial"/>
        </w:rPr>
        <w:t>article 56 de la Charte ».</w:t>
      </w:r>
    </w:p>
    <w:p w14:paraId="59F7CA9E" w14:textId="77777777" w:rsidR="0060770F" w:rsidRPr="00205E25" w:rsidRDefault="00E278A9" w:rsidP="009E2D2E">
      <w:pPr>
        <w:rPr>
          <w:rFonts w:ascii="Arial" w:hAnsi="Arial" w:cs="Arial"/>
          <w:b/>
          <w:iCs/>
        </w:rPr>
      </w:pPr>
      <w:r w:rsidRPr="00205E25">
        <w:rPr>
          <w:rFonts w:ascii="Arial" w:hAnsi="Arial" w:cs="Arial"/>
        </w:rPr>
        <w:lastRenderedPageBreak/>
        <w:t>Aux termes de la règle 50(1) du Règlement, « [l]a Cour procède à un examen de la recevabilité des requêtes introduites devant elle conformément aux articles 56 de la Charte et 6, alinéa 2 du Protocole, et au présent Règlement ».</w:t>
      </w:r>
    </w:p>
    <w:p w14:paraId="1224FBD3" w14:textId="77777777" w:rsidR="0060770F" w:rsidRPr="00205E25" w:rsidRDefault="0060770F" w:rsidP="009E2D2E">
      <w:pPr>
        <w:rPr>
          <w:rFonts w:ascii="Arial" w:hAnsi="Arial" w:cs="Arial"/>
        </w:rPr>
      </w:pPr>
    </w:p>
    <w:p w14:paraId="2FDD7AC3" w14:textId="01A931A1" w:rsidR="0060770F" w:rsidRPr="00205E25" w:rsidRDefault="00E278A9" w:rsidP="009E2D2E">
      <w:pPr>
        <w:rPr>
          <w:rFonts w:ascii="Arial" w:hAnsi="Arial" w:cs="Arial"/>
        </w:rPr>
      </w:pPr>
      <w:r w:rsidRPr="00205E25">
        <w:rPr>
          <w:rFonts w:ascii="Arial" w:hAnsi="Arial" w:cs="Arial"/>
        </w:rPr>
        <w:t>La règle 50(2) du Règlement</w:t>
      </w:r>
      <w:r w:rsidRPr="00205E25">
        <w:rPr>
          <w:rStyle w:val="FootnoteReference"/>
          <w:rFonts w:ascii="Arial" w:hAnsi="Arial" w:cs="Arial"/>
          <w:sz w:val="24"/>
          <w:szCs w:val="24"/>
        </w:rPr>
        <w:footnoteReference w:id="5"/>
      </w:r>
      <w:r w:rsidR="005A237D">
        <w:rPr>
          <w:rFonts w:ascii="Arial" w:hAnsi="Arial" w:cs="Arial"/>
        </w:rPr>
        <w:t>,</w:t>
      </w:r>
      <w:r w:rsidRPr="00205E25">
        <w:rPr>
          <w:rFonts w:ascii="Arial" w:hAnsi="Arial" w:cs="Arial"/>
        </w:rPr>
        <w:t xml:space="preserve"> qui reprend en substance les dispositions de l</w:t>
      </w:r>
      <w:r w:rsidR="0009028A">
        <w:rPr>
          <w:rFonts w:ascii="Arial" w:hAnsi="Arial" w:cs="Arial"/>
        </w:rPr>
        <w:t>’</w:t>
      </w:r>
      <w:r w:rsidRPr="00205E25">
        <w:rPr>
          <w:rFonts w:ascii="Arial" w:hAnsi="Arial" w:cs="Arial"/>
        </w:rPr>
        <w:t>article 56 de la Charte, dispose comme suit :</w:t>
      </w:r>
    </w:p>
    <w:p w14:paraId="52522414" w14:textId="77777777" w:rsidR="0060770F" w:rsidRPr="00205E25" w:rsidRDefault="0060770F" w:rsidP="009E2D2E">
      <w:pPr>
        <w:rPr>
          <w:rFonts w:ascii="Arial" w:hAnsi="Arial" w:cs="Arial"/>
        </w:rPr>
      </w:pPr>
    </w:p>
    <w:p w14:paraId="343EE803" w14:textId="77777777" w:rsidR="0060770F" w:rsidRPr="00205E25" w:rsidRDefault="00E278A9" w:rsidP="009E2D2E">
      <w:pPr>
        <w:rPr>
          <w:rFonts w:ascii="Arial" w:hAnsi="Arial" w:cs="Arial"/>
        </w:rPr>
      </w:pPr>
      <w:r w:rsidRPr="00205E25">
        <w:rPr>
          <w:rFonts w:ascii="Arial" w:hAnsi="Arial" w:cs="Arial"/>
        </w:rPr>
        <w:t>Les Requêtes déposées devant la Cour doivent remplir toutes les conditions ci-après :</w:t>
      </w:r>
    </w:p>
    <w:p w14:paraId="6C577F46" w14:textId="150C1FD3" w:rsidR="0060770F" w:rsidRPr="00205E25" w:rsidRDefault="00E278A9" w:rsidP="009E2D2E">
      <w:pPr>
        <w:rPr>
          <w:rFonts w:ascii="Arial" w:hAnsi="Arial" w:cs="Arial"/>
        </w:rPr>
      </w:pPr>
      <w:r w:rsidRPr="00205E25">
        <w:rPr>
          <w:rFonts w:ascii="Arial" w:hAnsi="Arial" w:cs="Arial"/>
        </w:rPr>
        <w:t>Indiquer l</w:t>
      </w:r>
      <w:r w:rsidR="0009028A">
        <w:rPr>
          <w:rFonts w:ascii="Arial" w:hAnsi="Arial" w:cs="Arial"/>
        </w:rPr>
        <w:t>’</w:t>
      </w:r>
      <w:r w:rsidRPr="00205E25">
        <w:rPr>
          <w:rFonts w:ascii="Arial" w:hAnsi="Arial" w:cs="Arial"/>
        </w:rPr>
        <w:t>identité de leur auteur même si celui-ci demande à la Cour de garder l</w:t>
      </w:r>
      <w:r w:rsidR="0009028A">
        <w:rPr>
          <w:rFonts w:ascii="Arial" w:hAnsi="Arial" w:cs="Arial"/>
        </w:rPr>
        <w:t>’</w:t>
      </w:r>
      <w:r w:rsidRPr="00205E25">
        <w:rPr>
          <w:rFonts w:ascii="Arial" w:hAnsi="Arial" w:cs="Arial"/>
        </w:rPr>
        <w:t>anonymat ;</w:t>
      </w:r>
    </w:p>
    <w:p w14:paraId="73BA8581" w14:textId="75AA78AC" w:rsidR="0060770F" w:rsidRPr="00205E25" w:rsidRDefault="00E278A9" w:rsidP="009E2D2E">
      <w:pPr>
        <w:rPr>
          <w:rFonts w:ascii="Arial" w:hAnsi="Arial" w:cs="Arial"/>
        </w:rPr>
      </w:pPr>
      <w:r w:rsidRPr="00205E25">
        <w:rPr>
          <w:rFonts w:ascii="Arial" w:hAnsi="Arial" w:cs="Arial"/>
        </w:rPr>
        <w:t>Être compatibles avec l</w:t>
      </w:r>
      <w:r w:rsidR="0009028A">
        <w:rPr>
          <w:rFonts w:ascii="Arial" w:hAnsi="Arial" w:cs="Arial"/>
        </w:rPr>
        <w:t>’</w:t>
      </w:r>
      <w:r w:rsidRPr="00205E25">
        <w:rPr>
          <w:rFonts w:ascii="Arial" w:hAnsi="Arial" w:cs="Arial"/>
        </w:rPr>
        <w:t>Acte constitutif de l</w:t>
      </w:r>
      <w:r w:rsidR="0009028A">
        <w:rPr>
          <w:rFonts w:ascii="Arial" w:hAnsi="Arial" w:cs="Arial"/>
        </w:rPr>
        <w:t>’</w:t>
      </w:r>
      <w:r w:rsidRPr="00205E25">
        <w:rPr>
          <w:rFonts w:ascii="Arial" w:hAnsi="Arial" w:cs="Arial"/>
        </w:rPr>
        <w:t>Union africaine et la Charte ;</w:t>
      </w:r>
    </w:p>
    <w:p w14:paraId="55A0A76A" w14:textId="46A989CB" w:rsidR="0060770F" w:rsidRPr="00205E25" w:rsidRDefault="00E278A9" w:rsidP="009E2D2E">
      <w:pPr>
        <w:rPr>
          <w:rFonts w:ascii="Arial" w:hAnsi="Arial" w:cs="Arial"/>
        </w:rPr>
      </w:pPr>
      <w:r w:rsidRPr="00205E25">
        <w:rPr>
          <w:rFonts w:ascii="Arial" w:hAnsi="Arial" w:cs="Arial"/>
        </w:rPr>
        <w:t>Ne pas être rédigées dans des termes outrageants ou insultants à l</w:t>
      </w:r>
      <w:r w:rsidR="0009028A">
        <w:rPr>
          <w:rFonts w:ascii="Arial" w:hAnsi="Arial" w:cs="Arial"/>
        </w:rPr>
        <w:t>’</w:t>
      </w:r>
      <w:r w:rsidRPr="00205E25">
        <w:rPr>
          <w:rFonts w:ascii="Arial" w:hAnsi="Arial" w:cs="Arial"/>
        </w:rPr>
        <w:t>égard de l</w:t>
      </w:r>
      <w:r w:rsidR="0009028A">
        <w:rPr>
          <w:rFonts w:ascii="Arial" w:hAnsi="Arial" w:cs="Arial"/>
        </w:rPr>
        <w:t>’</w:t>
      </w:r>
      <w:r w:rsidRPr="00205E25">
        <w:rPr>
          <w:rFonts w:ascii="Arial" w:hAnsi="Arial" w:cs="Arial"/>
        </w:rPr>
        <w:t>État concerné et ses institutions ou de l</w:t>
      </w:r>
      <w:r w:rsidR="0009028A">
        <w:rPr>
          <w:rFonts w:ascii="Arial" w:hAnsi="Arial" w:cs="Arial"/>
        </w:rPr>
        <w:t>’</w:t>
      </w:r>
      <w:r w:rsidRPr="00205E25">
        <w:rPr>
          <w:rFonts w:ascii="Arial" w:hAnsi="Arial" w:cs="Arial"/>
        </w:rPr>
        <w:t>Union africaine ;</w:t>
      </w:r>
    </w:p>
    <w:p w14:paraId="0F436999" w14:textId="77777777" w:rsidR="0060770F" w:rsidRPr="00205E25" w:rsidRDefault="00E278A9" w:rsidP="009E2D2E">
      <w:pPr>
        <w:rPr>
          <w:rFonts w:ascii="Arial" w:hAnsi="Arial" w:cs="Arial"/>
        </w:rPr>
      </w:pPr>
      <w:r w:rsidRPr="00205E25">
        <w:rPr>
          <w:rFonts w:ascii="Arial" w:hAnsi="Arial" w:cs="Arial"/>
        </w:rPr>
        <w:t>Ne pas se limiter à rassembler exclusivement des nouvelles diffusées par les moyens de communication de masse ;</w:t>
      </w:r>
    </w:p>
    <w:p w14:paraId="2836CF20" w14:textId="42CE1E8A" w:rsidR="0060770F" w:rsidRPr="00205E25" w:rsidRDefault="00E278A9" w:rsidP="009E2D2E">
      <w:pPr>
        <w:rPr>
          <w:rFonts w:ascii="Arial" w:hAnsi="Arial" w:cs="Arial"/>
        </w:rPr>
      </w:pPr>
      <w:r w:rsidRPr="00205E25">
        <w:rPr>
          <w:rFonts w:ascii="Arial" w:hAnsi="Arial" w:cs="Arial"/>
        </w:rPr>
        <w:t>Être postérieures à l</w:t>
      </w:r>
      <w:r w:rsidR="0009028A">
        <w:rPr>
          <w:rFonts w:ascii="Arial" w:hAnsi="Arial" w:cs="Arial"/>
        </w:rPr>
        <w:t>’</w:t>
      </w:r>
      <w:r w:rsidRPr="00205E25">
        <w:rPr>
          <w:rFonts w:ascii="Arial" w:hAnsi="Arial" w:cs="Arial"/>
        </w:rPr>
        <w:t>épuisement des recours internes s</w:t>
      </w:r>
      <w:r w:rsidR="0009028A">
        <w:rPr>
          <w:rFonts w:ascii="Arial" w:hAnsi="Arial" w:cs="Arial"/>
        </w:rPr>
        <w:t>’</w:t>
      </w:r>
      <w:r w:rsidRPr="00205E25">
        <w:rPr>
          <w:rFonts w:ascii="Arial" w:hAnsi="Arial" w:cs="Arial"/>
        </w:rPr>
        <w:t>ils existent, à moins qu</w:t>
      </w:r>
      <w:r w:rsidR="0009028A">
        <w:rPr>
          <w:rFonts w:ascii="Arial" w:hAnsi="Arial" w:cs="Arial"/>
        </w:rPr>
        <w:t>’</w:t>
      </w:r>
      <w:r w:rsidRPr="00205E25">
        <w:rPr>
          <w:rFonts w:ascii="Arial" w:hAnsi="Arial" w:cs="Arial"/>
        </w:rPr>
        <w:t>il ne soit manifeste à la Cour que la procédure de ces recours se prolonge de façon anormale ;</w:t>
      </w:r>
    </w:p>
    <w:p w14:paraId="59B4CF79" w14:textId="70325479" w:rsidR="0060770F" w:rsidRPr="00205E25" w:rsidRDefault="00E278A9" w:rsidP="009E2D2E">
      <w:pPr>
        <w:rPr>
          <w:rFonts w:ascii="Arial" w:hAnsi="Arial" w:cs="Arial"/>
        </w:rPr>
      </w:pPr>
      <w:r w:rsidRPr="00205E25">
        <w:rPr>
          <w:rFonts w:ascii="Arial" w:hAnsi="Arial" w:cs="Arial"/>
        </w:rPr>
        <w:t>Être introduites dans un délai raisonnable courant depuis l</w:t>
      </w:r>
      <w:r w:rsidR="0009028A">
        <w:rPr>
          <w:rFonts w:ascii="Arial" w:hAnsi="Arial" w:cs="Arial"/>
        </w:rPr>
        <w:t>’</w:t>
      </w:r>
      <w:r w:rsidRPr="00205E25">
        <w:rPr>
          <w:rFonts w:ascii="Arial" w:hAnsi="Arial" w:cs="Arial"/>
        </w:rPr>
        <w:t>épuisement des recours internes ou depuis la date retenue par la Cour comme faisant commencer à courir le délai de sa saisine ;</w:t>
      </w:r>
    </w:p>
    <w:p w14:paraId="08882E6D" w14:textId="5A947128" w:rsidR="0060770F" w:rsidRPr="00205E25" w:rsidRDefault="00E278A9" w:rsidP="009E2D2E">
      <w:pPr>
        <w:rPr>
          <w:rFonts w:ascii="Arial" w:hAnsi="Arial" w:cs="Arial"/>
        </w:rPr>
      </w:pPr>
      <w:r w:rsidRPr="00205E25">
        <w:rPr>
          <w:rFonts w:ascii="Arial" w:hAnsi="Arial" w:cs="Arial"/>
        </w:rPr>
        <w:t>Ne pas concerner des affaires qui ont été réglées par les États concernés, conformément aux principes de la Charte des Nations Unies, de l</w:t>
      </w:r>
      <w:r w:rsidR="0009028A">
        <w:rPr>
          <w:rFonts w:ascii="Arial" w:hAnsi="Arial" w:cs="Arial"/>
        </w:rPr>
        <w:t>’</w:t>
      </w:r>
      <w:r w:rsidRPr="00205E25">
        <w:rPr>
          <w:rFonts w:ascii="Arial" w:hAnsi="Arial" w:cs="Arial"/>
        </w:rPr>
        <w:t>Acte constitutif de l</w:t>
      </w:r>
      <w:r w:rsidR="0009028A">
        <w:rPr>
          <w:rFonts w:ascii="Arial" w:hAnsi="Arial" w:cs="Arial"/>
        </w:rPr>
        <w:t>’</w:t>
      </w:r>
      <w:r w:rsidRPr="00205E25">
        <w:rPr>
          <w:rFonts w:ascii="Arial" w:hAnsi="Arial" w:cs="Arial"/>
        </w:rPr>
        <w:t>Union africaine ou des dispositions de la Charte.</w:t>
      </w:r>
    </w:p>
    <w:p w14:paraId="6B69BA6D" w14:textId="77777777" w:rsidR="0060770F" w:rsidRPr="00205E25" w:rsidRDefault="0060770F" w:rsidP="009E2D2E">
      <w:pPr>
        <w:rPr>
          <w:rFonts w:ascii="Arial" w:hAnsi="Arial" w:cs="Arial"/>
          <w:lang w:bidi="ar-EG"/>
        </w:rPr>
      </w:pPr>
    </w:p>
    <w:p w14:paraId="5221D597" w14:textId="499DA39D" w:rsidR="0060770F" w:rsidRPr="00205E25" w:rsidRDefault="00E278A9" w:rsidP="009E2D2E">
      <w:pPr>
        <w:rPr>
          <w:rFonts w:ascii="Arial" w:hAnsi="Arial" w:cs="Arial"/>
        </w:rPr>
      </w:pPr>
      <w:r w:rsidRPr="00205E25">
        <w:rPr>
          <w:rFonts w:ascii="Arial" w:hAnsi="Arial" w:cs="Arial"/>
        </w:rPr>
        <w:t>La Cour relève qu</w:t>
      </w:r>
      <w:r w:rsidR="0009028A">
        <w:rPr>
          <w:rFonts w:ascii="Arial" w:hAnsi="Arial" w:cs="Arial"/>
        </w:rPr>
        <w:t>’</w:t>
      </w:r>
      <w:r w:rsidRPr="00205E25">
        <w:rPr>
          <w:rFonts w:ascii="Arial" w:hAnsi="Arial" w:cs="Arial"/>
        </w:rPr>
        <w:t>en l</w:t>
      </w:r>
      <w:r w:rsidR="0009028A">
        <w:rPr>
          <w:rFonts w:ascii="Arial" w:hAnsi="Arial" w:cs="Arial"/>
        </w:rPr>
        <w:t>’</w:t>
      </w:r>
      <w:r w:rsidRPr="00205E25">
        <w:rPr>
          <w:rFonts w:ascii="Arial" w:hAnsi="Arial" w:cs="Arial"/>
        </w:rPr>
        <w:t>espèce l</w:t>
      </w:r>
      <w:r w:rsidR="0009028A">
        <w:rPr>
          <w:rFonts w:ascii="Arial" w:hAnsi="Arial" w:cs="Arial"/>
        </w:rPr>
        <w:t>’</w:t>
      </w:r>
      <w:r w:rsidRPr="00205E25">
        <w:rPr>
          <w:rFonts w:ascii="Arial" w:hAnsi="Arial" w:cs="Arial"/>
        </w:rPr>
        <w:t>État défendeur soulève une exception d</w:t>
      </w:r>
      <w:r w:rsidR="0009028A">
        <w:rPr>
          <w:rFonts w:ascii="Arial" w:hAnsi="Arial" w:cs="Arial"/>
        </w:rPr>
        <w:t>’</w:t>
      </w:r>
      <w:r w:rsidRPr="00205E25">
        <w:rPr>
          <w:rFonts w:ascii="Arial" w:hAnsi="Arial" w:cs="Arial"/>
        </w:rPr>
        <w:t>irrecevabilité tirée du non-épuisement des recours internes.</w:t>
      </w:r>
      <w:r w:rsidR="005A237D">
        <w:rPr>
          <w:rFonts w:ascii="Arial" w:hAnsi="Arial" w:cs="Arial"/>
        </w:rPr>
        <w:t xml:space="preserve"> La Cour va </w:t>
      </w:r>
      <w:r w:rsidR="005A237D">
        <w:rPr>
          <w:rFonts w:ascii="Arial" w:hAnsi="Arial" w:cs="Arial"/>
        </w:rPr>
        <w:lastRenderedPageBreak/>
        <w:t xml:space="preserve">dès lors se prononcer sur ladite exception (A) avant d’examiner les autres conditions de recevabilité (B) si nécessaire. </w:t>
      </w:r>
    </w:p>
    <w:p w14:paraId="770BF491" w14:textId="10E402D3" w:rsidR="0060770F" w:rsidRPr="00205E25" w:rsidRDefault="0060770F" w:rsidP="009E2D2E">
      <w:pPr>
        <w:rPr>
          <w:rFonts w:ascii="Arial" w:hAnsi="Arial" w:cs="Arial"/>
          <w:lang w:bidi="ar-EG"/>
        </w:rPr>
      </w:pPr>
    </w:p>
    <w:p w14:paraId="20B26267" w14:textId="77777777" w:rsidR="0060770F" w:rsidRPr="00205E25" w:rsidRDefault="00E278A9" w:rsidP="009E2D2E">
      <w:pPr>
        <w:rPr>
          <w:rFonts w:ascii="Arial" w:hAnsi="Arial" w:cs="Arial"/>
          <w:b/>
          <w:bCs/>
          <w:rtl/>
        </w:rPr>
      </w:pPr>
      <w:bookmarkStart w:id="66" w:name="_Toc118954342"/>
      <w:bookmarkStart w:id="67" w:name="_Toc118470348"/>
      <w:bookmarkStart w:id="68" w:name="_Toc118471359"/>
      <w:bookmarkStart w:id="69" w:name="_Toc120938746"/>
      <w:r w:rsidRPr="00205E25">
        <w:rPr>
          <w:rFonts w:ascii="Arial" w:hAnsi="Arial" w:cs="Arial"/>
          <w:b/>
        </w:rPr>
        <w:t>Exception tirée du non-épuisement des recours internes</w:t>
      </w:r>
      <w:bookmarkEnd w:id="66"/>
      <w:bookmarkEnd w:id="67"/>
      <w:bookmarkEnd w:id="68"/>
      <w:bookmarkEnd w:id="69"/>
    </w:p>
    <w:p w14:paraId="7675C97B" w14:textId="77777777" w:rsidR="0060770F" w:rsidRPr="00205E25" w:rsidRDefault="0060770F" w:rsidP="009E2D2E">
      <w:pPr>
        <w:rPr>
          <w:rFonts w:ascii="Arial" w:hAnsi="Arial" w:cs="Arial"/>
        </w:rPr>
      </w:pPr>
    </w:p>
    <w:p w14:paraId="1FBF5924" w14:textId="04CB3C89" w:rsidR="0060770F" w:rsidRPr="00205E25" w:rsidRDefault="00E278A9" w:rsidP="009E2D2E">
      <w:pPr>
        <w:rPr>
          <w:rFonts w:ascii="Arial" w:hAnsi="Arial" w:cs="Arial"/>
        </w:rPr>
      </w:pPr>
      <w:r w:rsidRPr="00205E25">
        <w:rPr>
          <w:rFonts w:ascii="Arial" w:hAnsi="Arial" w:cs="Arial"/>
        </w:rPr>
        <w:t>L</w:t>
      </w:r>
      <w:r w:rsidR="0009028A">
        <w:rPr>
          <w:rFonts w:ascii="Arial" w:hAnsi="Arial" w:cs="Arial"/>
        </w:rPr>
        <w:t>’</w:t>
      </w:r>
      <w:r w:rsidRPr="00205E25">
        <w:rPr>
          <w:rFonts w:ascii="Arial" w:hAnsi="Arial" w:cs="Arial"/>
        </w:rPr>
        <w:t>État défendeur soutient que les Requérants n</w:t>
      </w:r>
      <w:r w:rsidR="0009028A">
        <w:rPr>
          <w:rFonts w:ascii="Arial" w:hAnsi="Arial" w:cs="Arial"/>
        </w:rPr>
        <w:t>’</w:t>
      </w:r>
      <w:r w:rsidRPr="00205E25">
        <w:rPr>
          <w:rFonts w:ascii="Arial" w:hAnsi="Arial" w:cs="Arial"/>
        </w:rPr>
        <w:t>ont pas épuisé les recours internes qui leur étaient disponibles. Il fait valoir que les recours internes relatifs à la demande de réparation formulée par Ismaila TRAORÉ et douze (12) autres travailleurs ont été épuisés au niveau du tribunal de Kayes avec le jugement n° 015 du 24 janvier 2013. Lesdits travailleurs n</w:t>
      </w:r>
      <w:r w:rsidR="0009028A">
        <w:rPr>
          <w:rFonts w:ascii="Arial" w:hAnsi="Arial" w:cs="Arial"/>
        </w:rPr>
        <w:t>’</w:t>
      </w:r>
      <w:r w:rsidRPr="00205E25">
        <w:rPr>
          <w:rFonts w:ascii="Arial" w:hAnsi="Arial" w:cs="Arial"/>
        </w:rPr>
        <w:t>ont pas interjeté appel de cette décision. L</w:t>
      </w:r>
      <w:r w:rsidR="0009028A">
        <w:rPr>
          <w:rFonts w:ascii="Arial" w:hAnsi="Arial" w:cs="Arial"/>
        </w:rPr>
        <w:t>’</w:t>
      </w:r>
      <w:r w:rsidRPr="00205E25">
        <w:rPr>
          <w:rFonts w:ascii="Arial" w:hAnsi="Arial" w:cs="Arial"/>
        </w:rPr>
        <w:t>État défendeur fait valoir qu</w:t>
      </w:r>
      <w:r w:rsidR="0009028A">
        <w:rPr>
          <w:rFonts w:ascii="Arial" w:hAnsi="Arial" w:cs="Arial"/>
        </w:rPr>
        <w:t>’</w:t>
      </w:r>
      <w:r w:rsidRPr="00205E25">
        <w:rPr>
          <w:rFonts w:ascii="Arial" w:hAnsi="Arial" w:cs="Arial"/>
        </w:rPr>
        <w:t>on ne saurait blâmer ses services publics du fait que les Requérants n</w:t>
      </w:r>
      <w:r w:rsidR="0009028A">
        <w:rPr>
          <w:rFonts w:ascii="Arial" w:hAnsi="Arial" w:cs="Arial"/>
        </w:rPr>
        <w:t>’</w:t>
      </w:r>
      <w:r w:rsidRPr="00205E25">
        <w:rPr>
          <w:rFonts w:ascii="Arial" w:hAnsi="Arial" w:cs="Arial"/>
        </w:rPr>
        <w:t>aient pas exercé les recours en appel puis en cassation qui leur étaient disponibles. Il soutient donc que la Requête est irrecevable et qu</w:t>
      </w:r>
      <w:r w:rsidR="0009028A">
        <w:rPr>
          <w:rFonts w:ascii="Arial" w:hAnsi="Arial" w:cs="Arial"/>
        </w:rPr>
        <w:t>’</w:t>
      </w:r>
      <w:r w:rsidRPr="00205E25">
        <w:rPr>
          <w:rFonts w:ascii="Arial" w:hAnsi="Arial" w:cs="Arial"/>
        </w:rPr>
        <w:t>elle devrait être rejetée.</w:t>
      </w:r>
    </w:p>
    <w:p w14:paraId="0ACB6B76" w14:textId="77777777" w:rsidR="0060770F" w:rsidRPr="00205E25" w:rsidRDefault="0060770F" w:rsidP="009E2D2E">
      <w:pPr>
        <w:rPr>
          <w:rFonts w:ascii="Arial" w:hAnsi="Arial" w:cs="Arial"/>
        </w:rPr>
      </w:pPr>
    </w:p>
    <w:p w14:paraId="38E635E1" w14:textId="75FC7865" w:rsidR="0060770F" w:rsidRPr="00205E25" w:rsidRDefault="00E278A9" w:rsidP="009E2D2E">
      <w:pPr>
        <w:rPr>
          <w:rFonts w:ascii="Arial" w:hAnsi="Arial" w:cs="Arial"/>
        </w:rPr>
      </w:pPr>
      <w:r w:rsidRPr="00205E25">
        <w:rPr>
          <w:rFonts w:ascii="Arial" w:hAnsi="Arial" w:cs="Arial"/>
        </w:rPr>
        <w:t>L</w:t>
      </w:r>
      <w:r w:rsidR="0009028A">
        <w:rPr>
          <w:rFonts w:ascii="Arial" w:hAnsi="Arial" w:cs="Arial"/>
        </w:rPr>
        <w:t>’</w:t>
      </w:r>
      <w:r w:rsidRPr="00205E25">
        <w:rPr>
          <w:rFonts w:ascii="Arial" w:hAnsi="Arial" w:cs="Arial"/>
        </w:rPr>
        <w:t>État défendeur fait en outre valoir que l</w:t>
      </w:r>
      <w:r w:rsidR="0009028A">
        <w:rPr>
          <w:rFonts w:ascii="Arial" w:hAnsi="Arial" w:cs="Arial"/>
        </w:rPr>
        <w:t>’</w:t>
      </w:r>
      <w:r w:rsidRPr="00205E25">
        <w:rPr>
          <w:rFonts w:ascii="Arial" w:hAnsi="Arial" w:cs="Arial"/>
        </w:rPr>
        <w:t>action intentée le 25 mars 2014 par la FENAME aux fins de confirmation de la sentence arbitrale n° 001/CA du 7 janvier 2013 rendue par le Conseil d</w:t>
      </w:r>
      <w:r w:rsidR="0009028A">
        <w:rPr>
          <w:rFonts w:ascii="Arial" w:hAnsi="Arial" w:cs="Arial"/>
        </w:rPr>
        <w:t>’</w:t>
      </w:r>
      <w:r w:rsidRPr="00205E25">
        <w:rPr>
          <w:rFonts w:ascii="Arial" w:hAnsi="Arial" w:cs="Arial"/>
        </w:rPr>
        <w:t>arbitrage et contestée par L.T.A. Mali S.A., sur laquelle le Tribunal de travail de Bamako s</w:t>
      </w:r>
      <w:r w:rsidR="0009028A">
        <w:rPr>
          <w:rFonts w:ascii="Arial" w:hAnsi="Arial" w:cs="Arial"/>
        </w:rPr>
        <w:t>’</w:t>
      </w:r>
      <w:r w:rsidRPr="00205E25">
        <w:rPr>
          <w:rFonts w:ascii="Arial" w:hAnsi="Arial" w:cs="Arial"/>
        </w:rPr>
        <w:t>est prononcé par décision n° 154 du 2 juin 2014, n</w:t>
      </w:r>
      <w:r w:rsidR="0009028A">
        <w:rPr>
          <w:rFonts w:ascii="Arial" w:hAnsi="Arial" w:cs="Arial"/>
        </w:rPr>
        <w:t>’</w:t>
      </w:r>
      <w:r w:rsidRPr="00205E25">
        <w:rPr>
          <w:rFonts w:ascii="Arial" w:hAnsi="Arial" w:cs="Arial"/>
        </w:rPr>
        <w:t xml:space="preserve">a pas été portée devant la plus haute juridiction </w:t>
      </w:r>
      <w:hyperlink r:id="rId13" w:history="1">
        <w:r w:rsidRPr="00205E25">
          <w:rPr>
            <w:rFonts w:ascii="Arial" w:hAnsi="Arial" w:cs="Arial"/>
          </w:rPr>
          <w:t>en matière de</w:t>
        </w:r>
      </w:hyperlink>
      <w:r w:rsidRPr="00205E25">
        <w:rPr>
          <w:rFonts w:ascii="Arial" w:hAnsi="Arial" w:cs="Arial"/>
        </w:rPr>
        <w:t xml:space="preserve"> procédure civile. Il en est ainsi, selon lui, parce qu</w:t>
      </w:r>
      <w:r w:rsidR="0009028A">
        <w:rPr>
          <w:rFonts w:ascii="Arial" w:hAnsi="Arial" w:cs="Arial"/>
        </w:rPr>
        <w:t>’</w:t>
      </w:r>
      <w:r w:rsidRPr="00205E25">
        <w:rPr>
          <w:rFonts w:ascii="Arial" w:hAnsi="Arial" w:cs="Arial"/>
        </w:rPr>
        <w:t>après avoir été déboutés en première instance, les Requérants n</w:t>
      </w:r>
      <w:r w:rsidR="0009028A">
        <w:rPr>
          <w:rFonts w:ascii="Arial" w:hAnsi="Arial" w:cs="Arial"/>
        </w:rPr>
        <w:t>’</w:t>
      </w:r>
      <w:r w:rsidRPr="00205E25">
        <w:rPr>
          <w:rFonts w:ascii="Arial" w:hAnsi="Arial" w:cs="Arial"/>
        </w:rPr>
        <w:t xml:space="preserve">ont pas exercé les recours qui leur </w:t>
      </w:r>
      <w:r w:rsidR="00474E40" w:rsidRPr="00205E25">
        <w:rPr>
          <w:rFonts w:ascii="Arial" w:hAnsi="Arial" w:cs="Arial"/>
          <w:bCs/>
        </w:rPr>
        <w:t>sont</w:t>
      </w:r>
      <w:r w:rsidRPr="00205E25">
        <w:rPr>
          <w:rFonts w:ascii="Arial" w:hAnsi="Arial" w:cs="Arial"/>
        </w:rPr>
        <w:t xml:space="preserve"> ouvert par le Code de procédure civile du Mali. </w:t>
      </w:r>
      <w:r w:rsidRPr="00205E25">
        <w:rPr>
          <w:rFonts w:ascii="Arial" w:hAnsi="Arial" w:cs="Arial"/>
          <w:bCs/>
        </w:rPr>
        <w:t>Selon lui, il</w:t>
      </w:r>
      <w:r w:rsidRPr="00205E25">
        <w:rPr>
          <w:rFonts w:ascii="Arial" w:hAnsi="Arial" w:cs="Arial"/>
        </w:rPr>
        <w:t xml:space="preserve"> était pourtant dans leur intérêt de porter leur affaire, jusque devant la Cour suprême du Mali en vue d</w:t>
      </w:r>
      <w:r w:rsidR="0009028A">
        <w:rPr>
          <w:rFonts w:ascii="Arial" w:hAnsi="Arial" w:cs="Arial"/>
        </w:rPr>
        <w:t>’</w:t>
      </w:r>
      <w:r w:rsidRPr="00205E25">
        <w:rPr>
          <w:rFonts w:ascii="Arial" w:hAnsi="Arial" w:cs="Arial"/>
        </w:rPr>
        <w:t xml:space="preserve">obtenir satisfaction. </w:t>
      </w:r>
      <w:r w:rsidRPr="00205E25">
        <w:rPr>
          <w:rFonts w:ascii="Arial" w:hAnsi="Arial" w:cs="Arial"/>
          <w:bCs/>
        </w:rPr>
        <w:t>Il affirme que les Requérant s</w:t>
      </w:r>
      <w:r w:rsidR="0009028A">
        <w:rPr>
          <w:rFonts w:ascii="Arial" w:hAnsi="Arial" w:cs="Arial"/>
          <w:bCs/>
        </w:rPr>
        <w:t>’</w:t>
      </w:r>
      <w:r w:rsidRPr="00205E25">
        <w:rPr>
          <w:rFonts w:ascii="Arial" w:hAnsi="Arial" w:cs="Arial"/>
          <w:bCs/>
        </w:rPr>
        <w:t>étant</w:t>
      </w:r>
      <w:r w:rsidRPr="00205E25">
        <w:rPr>
          <w:rFonts w:ascii="Arial" w:hAnsi="Arial" w:cs="Arial"/>
        </w:rPr>
        <w:t xml:space="preserve"> abstenus de </w:t>
      </w:r>
      <w:r w:rsidRPr="00205E25">
        <w:rPr>
          <w:rFonts w:ascii="Arial" w:hAnsi="Arial" w:cs="Arial"/>
          <w:bCs/>
        </w:rPr>
        <w:t>se pourvoir devant la Cour suprême, ceux-ci</w:t>
      </w:r>
      <w:r w:rsidRPr="00205E25">
        <w:rPr>
          <w:rFonts w:ascii="Arial" w:hAnsi="Arial" w:cs="Arial"/>
        </w:rPr>
        <w:t xml:space="preserve"> ne sauraient tenir l</w:t>
      </w:r>
      <w:r w:rsidR="0009028A">
        <w:rPr>
          <w:rFonts w:ascii="Arial" w:hAnsi="Arial" w:cs="Arial"/>
        </w:rPr>
        <w:t>’</w:t>
      </w:r>
      <w:r w:rsidRPr="00205E25">
        <w:rPr>
          <w:rFonts w:ascii="Arial" w:hAnsi="Arial" w:cs="Arial"/>
        </w:rPr>
        <w:t>État défendeur pour responsable d</w:t>
      </w:r>
      <w:r w:rsidR="0009028A">
        <w:rPr>
          <w:rFonts w:ascii="Arial" w:hAnsi="Arial" w:cs="Arial"/>
        </w:rPr>
        <w:t>’</w:t>
      </w:r>
      <w:r w:rsidRPr="00205E25">
        <w:rPr>
          <w:rFonts w:ascii="Arial" w:hAnsi="Arial" w:cs="Arial"/>
        </w:rPr>
        <w:t xml:space="preserve">une quelconque violation de leur droit à la justice. </w:t>
      </w:r>
    </w:p>
    <w:p w14:paraId="72ADD26D" w14:textId="77777777" w:rsidR="0060770F" w:rsidRPr="00205E25" w:rsidRDefault="0060770F" w:rsidP="009E2D2E">
      <w:pPr>
        <w:rPr>
          <w:rFonts w:ascii="Arial" w:hAnsi="Arial" w:cs="Arial"/>
        </w:rPr>
      </w:pPr>
    </w:p>
    <w:p w14:paraId="116E89B3" w14:textId="28F563DC" w:rsidR="0060770F" w:rsidRPr="00205E25" w:rsidRDefault="00E278A9" w:rsidP="009E2D2E">
      <w:pPr>
        <w:rPr>
          <w:rFonts w:ascii="Arial" w:hAnsi="Arial" w:cs="Arial"/>
        </w:rPr>
      </w:pPr>
      <w:r w:rsidRPr="00205E25">
        <w:rPr>
          <w:rFonts w:ascii="Arial" w:hAnsi="Arial" w:cs="Arial"/>
        </w:rPr>
        <w:t>L</w:t>
      </w:r>
      <w:r w:rsidR="0009028A">
        <w:rPr>
          <w:rFonts w:ascii="Arial" w:hAnsi="Arial" w:cs="Arial"/>
        </w:rPr>
        <w:t>’</w:t>
      </w:r>
      <w:r w:rsidRPr="00205E25">
        <w:rPr>
          <w:rFonts w:ascii="Arial" w:hAnsi="Arial" w:cs="Arial"/>
        </w:rPr>
        <w:t>État défendeur explique, en outre, que le collectif des travailleurs de L.T.A. Mali S.A. composé de</w:t>
      </w:r>
      <w:bookmarkStart w:id="70" w:name="_Hlk113983651"/>
      <w:r w:rsidRPr="00205E25">
        <w:rPr>
          <w:rFonts w:ascii="Arial" w:hAnsi="Arial" w:cs="Arial"/>
        </w:rPr>
        <w:t xml:space="preserve"> Mamadou DABO et vingt-cinq (25) autres </w:t>
      </w:r>
      <w:bookmarkEnd w:id="70"/>
      <w:r w:rsidR="00EA6C01" w:rsidRPr="00205E25">
        <w:rPr>
          <w:rFonts w:ascii="Arial" w:hAnsi="Arial" w:cs="Arial"/>
        </w:rPr>
        <w:t>ont</w:t>
      </w:r>
      <w:r w:rsidRPr="00205E25">
        <w:rPr>
          <w:rFonts w:ascii="Arial" w:hAnsi="Arial" w:cs="Arial"/>
        </w:rPr>
        <w:t xml:space="preserve"> saisi le Tribunal civil de la Commune II de Bamako le 1</w:t>
      </w:r>
      <w:r w:rsidRPr="00205E25">
        <w:rPr>
          <w:rFonts w:ascii="Arial" w:hAnsi="Arial" w:cs="Arial"/>
          <w:vertAlign w:val="superscript"/>
        </w:rPr>
        <w:t>er</w:t>
      </w:r>
      <w:r w:rsidRPr="00205E25">
        <w:rPr>
          <w:rFonts w:ascii="Arial" w:hAnsi="Arial" w:cs="Arial"/>
        </w:rPr>
        <w:t xml:space="preserve"> novembre 2016, à l</w:t>
      </w:r>
      <w:r w:rsidR="0009028A">
        <w:rPr>
          <w:rFonts w:ascii="Arial" w:hAnsi="Arial" w:cs="Arial"/>
        </w:rPr>
        <w:t>’</w:t>
      </w:r>
      <w:r w:rsidRPr="00205E25">
        <w:rPr>
          <w:rFonts w:ascii="Arial" w:hAnsi="Arial" w:cs="Arial"/>
        </w:rPr>
        <w:t xml:space="preserve">effet de faire exécuter le paiement des droits qui leur ont été adjugés. Ladite </w:t>
      </w:r>
      <w:r w:rsidRPr="00205E25">
        <w:rPr>
          <w:rFonts w:ascii="Arial" w:hAnsi="Arial" w:cs="Arial"/>
        </w:rPr>
        <w:lastRenderedPageBreak/>
        <w:t>action a été tranchée par jugement n° 45 du 5 avril 2017</w:t>
      </w:r>
      <w:r w:rsidR="00474E40" w:rsidRPr="00205E25">
        <w:t xml:space="preserve"> </w:t>
      </w:r>
      <w:r w:rsidR="00474E40" w:rsidRPr="00205E25">
        <w:rPr>
          <w:rFonts w:ascii="Arial" w:hAnsi="Arial" w:cs="Arial"/>
          <w:bCs/>
        </w:rPr>
        <w:t>déclarant ledit tribunal incompétent</w:t>
      </w:r>
      <w:r w:rsidRPr="00205E25">
        <w:rPr>
          <w:rFonts w:ascii="Arial" w:hAnsi="Arial" w:cs="Arial"/>
        </w:rPr>
        <w:t xml:space="preserve"> et les Requérants n</w:t>
      </w:r>
      <w:r w:rsidR="0009028A">
        <w:rPr>
          <w:rFonts w:ascii="Arial" w:hAnsi="Arial" w:cs="Arial"/>
        </w:rPr>
        <w:t>’</w:t>
      </w:r>
      <w:r w:rsidRPr="00205E25">
        <w:rPr>
          <w:rFonts w:ascii="Arial" w:hAnsi="Arial" w:cs="Arial"/>
        </w:rPr>
        <w:t>ont pas porté leur affaire plus loin.</w:t>
      </w:r>
    </w:p>
    <w:p w14:paraId="58A5534B" w14:textId="77777777" w:rsidR="0060770F" w:rsidRPr="00205E25" w:rsidRDefault="0060770F" w:rsidP="009E2D2E">
      <w:pPr>
        <w:rPr>
          <w:rFonts w:ascii="Arial" w:hAnsi="Arial" w:cs="Arial"/>
        </w:rPr>
      </w:pPr>
    </w:p>
    <w:p w14:paraId="59795816" w14:textId="1CC340CB" w:rsidR="0060770F" w:rsidRPr="00205E25" w:rsidRDefault="00E278A9" w:rsidP="009E2D2E">
      <w:pPr>
        <w:rPr>
          <w:rFonts w:ascii="Arial" w:hAnsi="Arial" w:cs="Arial"/>
        </w:rPr>
      </w:pPr>
      <w:r w:rsidRPr="00205E25">
        <w:rPr>
          <w:rFonts w:ascii="Arial" w:hAnsi="Arial" w:cs="Arial"/>
        </w:rPr>
        <w:t>L</w:t>
      </w:r>
      <w:r w:rsidR="0009028A">
        <w:rPr>
          <w:rFonts w:ascii="Arial" w:hAnsi="Arial" w:cs="Arial"/>
        </w:rPr>
        <w:t>’</w:t>
      </w:r>
      <w:r w:rsidRPr="00205E25">
        <w:rPr>
          <w:rFonts w:ascii="Arial" w:hAnsi="Arial" w:cs="Arial"/>
        </w:rPr>
        <w:t>État défendeur affirme que les mêmes Requérants ont saisi la Cour d</w:t>
      </w:r>
      <w:r w:rsidR="0009028A">
        <w:rPr>
          <w:rFonts w:ascii="Arial" w:hAnsi="Arial" w:cs="Arial"/>
        </w:rPr>
        <w:t>’</w:t>
      </w:r>
      <w:r w:rsidRPr="00205E25">
        <w:rPr>
          <w:rFonts w:ascii="Arial" w:hAnsi="Arial" w:cs="Arial"/>
        </w:rPr>
        <w:t xml:space="preserve">appel de Bamako </w:t>
      </w:r>
      <w:r w:rsidRPr="00205E25">
        <w:rPr>
          <w:rFonts w:ascii="Arial" w:hAnsi="Arial" w:cs="Arial"/>
          <w:bCs/>
        </w:rPr>
        <w:t>le 9 février 2018</w:t>
      </w:r>
      <w:r w:rsidRPr="00205E25">
        <w:rPr>
          <w:rFonts w:ascii="Arial" w:hAnsi="Arial" w:cs="Arial"/>
        </w:rPr>
        <w:t xml:space="preserve"> d</w:t>
      </w:r>
      <w:r w:rsidR="0009028A">
        <w:rPr>
          <w:rFonts w:ascii="Arial" w:hAnsi="Arial" w:cs="Arial"/>
        </w:rPr>
        <w:t>’</w:t>
      </w:r>
      <w:r w:rsidRPr="00205E25">
        <w:rPr>
          <w:rFonts w:ascii="Arial" w:hAnsi="Arial" w:cs="Arial"/>
        </w:rPr>
        <w:t>un recours en appel du jugement n°</w:t>
      </w:r>
      <w:r w:rsidR="00192754">
        <w:rPr>
          <w:rFonts w:ascii="Arial" w:hAnsi="Arial" w:cs="Arial"/>
        </w:rPr>
        <w:t> </w:t>
      </w:r>
      <w:r w:rsidRPr="00205E25">
        <w:rPr>
          <w:rFonts w:ascii="Arial" w:hAnsi="Arial" w:cs="Arial"/>
        </w:rPr>
        <w:t>09 du 22 janvier 2018 rendu par le Tribunal de travail</w:t>
      </w:r>
      <w:r w:rsidR="00192754">
        <w:rPr>
          <w:rFonts w:ascii="Arial" w:hAnsi="Arial" w:cs="Arial"/>
        </w:rPr>
        <w:t xml:space="preserve"> après avoir</w:t>
      </w:r>
      <w:r w:rsidR="00192754" w:rsidRPr="00205E25">
        <w:rPr>
          <w:rFonts w:ascii="Arial" w:hAnsi="Arial" w:cs="Arial"/>
        </w:rPr>
        <w:t xml:space="preserve"> introduit</w:t>
      </w:r>
      <w:r w:rsidRPr="00205E25">
        <w:rPr>
          <w:rFonts w:ascii="Arial" w:hAnsi="Arial" w:cs="Arial"/>
        </w:rPr>
        <w:t xml:space="preserve"> leur Requête devant la Cour de céans le 21 août 2017. La présente Requête est donc irrecevable dans la mesure où les recours internes n</w:t>
      </w:r>
      <w:r w:rsidR="0009028A">
        <w:rPr>
          <w:rFonts w:ascii="Arial" w:hAnsi="Arial" w:cs="Arial"/>
        </w:rPr>
        <w:t>’</w:t>
      </w:r>
      <w:r w:rsidRPr="00205E25">
        <w:rPr>
          <w:rFonts w:ascii="Arial" w:hAnsi="Arial" w:cs="Arial"/>
        </w:rPr>
        <w:t>ont pas été épuisés.</w:t>
      </w:r>
    </w:p>
    <w:p w14:paraId="52B81235" w14:textId="77777777" w:rsidR="0060770F" w:rsidRPr="00205E25" w:rsidRDefault="0060770F" w:rsidP="009E2D2E">
      <w:pPr>
        <w:rPr>
          <w:rFonts w:ascii="Arial" w:hAnsi="Arial" w:cs="Arial"/>
        </w:rPr>
      </w:pPr>
    </w:p>
    <w:p w14:paraId="7A9F5863" w14:textId="0873F1CC" w:rsidR="0060770F" w:rsidRPr="00205E25" w:rsidRDefault="00E278A9" w:rsidP="009E2D2E">
      <w:pPr>
        <w:rPr>
          <w:rFonts w:ascii="Arial" w:hAnsi="Arial" w:cs="Arial"/>
          <w:b/>
          <w:bCs/>
        </w:rPr>
      </w:pPr>
      <w:r w:rsidRPr="00205E25">
        <w:rPr>
          <w:rFonts w:ascii="Arial" w:hAnsi="Arial" w:cs="Arial"/>
        </w:rPr>
        <w:t>L</w:t>
      </w:r>
      <w:r w:rsidR="0009028A">
        <w:rPr>
          <w:rFonts w:ascii="Arial" w:hAnsi="Arial" w:cs="Arial"/>
        </w:rPr>
        <w:t>’</w:t>
      </w:r>
      <w:r w:rsidRPr="00205E25">
        <w:rPr>
          <w:rFonts w:ascii="Arial" w:hAnsi="Arial" w:cs="Arial"/>
        </w:rPr>
        <w:t>État défendeur soutient également que la réticence des Requérants à contester les décisions</w:t>
      </w:r>
      <w:r w:rsidRPr="00205E25">
        <w:rPr>
          <w:rStyle w:val="FootnoteReference"/>
          <w:rFonts w:ascii="Arial" w:hAnsi="Arial" w:cs="Arial"/>
          <w:sz w:val="24"/>
        </w:rPr>
        <w:footnoteReference w:id="6"/>
      </w:r>
      <w:r w:rsidRPr="00205E25">
        <w:rPr>
          <w:rFonts w:ascii="Arial" w:hAnsi="Arial" w:cs="Arial"/>
        </w:rPr>
        <w:t xml:space="preserve"> de l</w:t>
      </w:r>
      <w:r w:rsidR="0009028A">
        <w:rPr>
          <w:rFonts w:ascii="Arial" w:hAnsi="Arial" w:cs="Arial"/>
        </w:rPr>
        <w:t>’</w:t>
      </w:r>
      <w:r w:rsidRPr="00205E25">
        <w:rPr>
          <w:rFonts w:ascii="Arial" w:hAnsi="Arial" w:cs="Arial"/>
        </w:rPr>
        <w:t>Inspecteur régional du travail de Kayes</w:t>
      </w:r>
      <w:r w:rsidR="0009028A">
        <w:rPr>
          <w:rFonts w:ascii="Arial" w:hAnsi="Arial" w:cs="Arial"/>
        </w:rPr>
        <w:t xml:space="preserve"> </w:t>
      </w:r>
      <w:r w:rsidRPr="00205E25">
        <w:rPr>
          <w:rFonts w:ascii="Arial" w:hAnsi="Arial" w:cs="Arial"/>
        </w:rPr>
        <w:t>devant les juridictions administratives nationales démontre à suffisance qu</w:t>
      </w:r>
      <w:r w:rsidR="0009028A">
        <w:rPr>
          <w:rFonts w:ascii="Arial" w:hAnsi="Arial" w:cs="Arial"/>
        </w:rPr>
        <w:t>’</w:t>
      </w:r>
      <w:r w:rsidRPr="00205E25">
        <w:rPr>
          <w:rFonts w:ascii="Arial" w:hAnsi="Arial" w:cs="Arial"/>
        </w:rPr>
        <w:t>ils n</w:t>
      </w:r>
      <w:r w:rsidR="0009028A">
        <w:rPr>
          <w:rFonts w:ascii="Arial" w:hAnsi="Arial" w:cs="Arial"/>
        </w:rPr>
        <w:t>’</w:t>
      </w:r>
      <w:r w:rsidRPr="00205E25">
        <w:rPr>
          <w:rFonts w:ascii="Arial" w:hAnsi="Arial" w:cs="Arial"/>
        </w:rPr>
        <w:t>ont pas épuisé tous les recours internes qui leur étaient disponibles avant de saisir l</w:t>
      </w:r>
      <w:r w:rsidR="0009028A">
        <w:rPr>
          <w:rFonts w:ascii="Arial" w:hAnsi="Arial" w:cs="Arial"/>
        </w:rPr>
        <w:t>’</w:t>
      </w:r>
      <w:r w:rsidRPr="00205E25">
        <w:rPr>
          <w:rFonts w:ascii="Arial" w:hAnsi="Arial" w:cs="Arial"/>
        </w:rPr>
        <w:t>honorable Cour de céans.</w:t>
      </w:r>
    </w:p>
    <w:p w14:paraId="27C3480F" w14:textId="77777777" w:rsidR="0060770F" w:rsidRPr="00205E25" w:rsidRDefault="0060770F" w:rsidP="009E2D2E">
      <w:pPr>
        <w:rPr>
          <w:rFonts w:ascii="Arial" w:hAnsi="Arial" w:cs="Arial"/>
          <w:b/>
          <w:bCs/>
        </w:rPr>
      </w:pPr>
    </w:p>
    <w:p w14:paraId="09B02DBC" w14:textId="6639803E" w:rsidR="0060770F" w:rsidRPr="00205E25" w:rsidRDefault="00E278A9" w:rsidP="009E2D2E">
      <w:pPr>
        <w:rPr>
          <w:rFonts w:ascii="Arial" w:eastAsia="Calibri" w:hAnsi="Arial" w:cs="Arial"/>
        </w:rPr>
      </w:pPr>
      <w:r w:rsidRPr="00205E25">
        <w:rPr>
          <w:rFonts w:ascii="Arial" w:hAnsi="Arial" w:cs="Arial"/>
        </w:rPr>
        <w:t>L</w:t>
      </w:r>
      <w:r w:rsidR="0009028A">
        <w:rPr>
          <w:rFonts w:ascii="Arial" w:hAnsi="Arial" w:cs="Arial"/>
        </w:rPr>
        <w:t>’</w:t>
      </w:r>
      <w:r w:rsidRPr="00205E25">
        <w:rPr>
          <w:rFonts w:ascii="Arial" w:hAnsi="Arial" w:cs="Arial"/>
        </w:rPr>
        <w:t xml:space="preserve">État défendeur affirme, </w:t>
      </w:r>
      <w:r w:rsidR="005A237D">
        <w:rPr>
          <w:rFonts w:ascii="Arial" w:hAnsi="Arial" w:cs="Arial"/>
        </w:rPr>
        <w:t>par ailleurs</w:t>
      </w:r>
      <w:r w:rsidRPr="00205E25">
        <w:rPr>
          <w:rFonts w:ascii="Arial" w:hAnsi="Arial" w:cs="Arial"/>
        </w:rPr>
        <w:t xml:space="preserve">, que toutes les affaires portées devant les juridictions internes ont, à ce jour, été jugées dans un délai raisonnable. </w:t>
      </w:r>
      <w:r w:rsidR="005A237D">
        <w:rPr>
          <w:rFonts w:ascii="Arial" w:hAnsi="Arial" w:cs="Arial"/>
        </w:rPr>
        <w:t>Selon l’Etat défendeur, l</w:t>
      </w:r>
      <w:r w:rsidRPr="00205E25">
        <w:rPr>
          <w:rFonts w:ascii="Arial" w:hAnsi="Arial" w:cs="Arial"/>
        </w:rPr>
        <w:t>es affaires introduites depuis 2013, ont toutes été tranchées en l</w:t>
      </w:r>
      <w:r w:rsidR="0009028A">
        <w:rPr>
          <w:rFonts w:ascii="Arial" w:hAnsi="Arial" w:cs="Arial"/>
        </w:rPr>
        <w:t>’</w:t>
      </w:r>
      <w:r w:rsidRPr="00205E25">
        <w:rPr>
          <w:rFonts w:ascii="Arial" w:hAnsi="Arial" w:cs="Arial"/>
        </w:rPr>
        <w:t>espace de deux (2) ans, voire moins. Toutefois, la plupart des procédures sus-évoquées ne sont pas allées au-delà du stade de la première instance. L</w:t>
      </w:r>
      <w:r w:rsidR="0009028A">
        <w:rPr>
          <w:rFonts w:ascii="Arial" w:hAnsi="Arial" w:cs="Arial"/>
        </w:rPr>
        <w:t>’</w:t>
      </w:r>
      <w:r w:rsidRPr="00205E25">
        <w:rPr>
          <w:rFonts w:ascii="Arial" w:hAnsi="Arial" w:cs="Arial"/>
        </w:rPr>
        <w:t>affaire portée par Ismaila TRAORÉ et autres devant le Tribunal de travail de Kayes en 2013 a été tranchée par le jugement n° 15 rendu le 24 juin 2013. Quant à la seconde affaire, intentée par la FENAME devant le Tribunal de travail de Bamako, elle a été ouverte le 25 mars 2014 et tranchée par jugement n° 154 rendu le 2 juin 2014 par ladite juridiction.</w:t>
      </w:r>
    </w:p>
    <w:p w14:paraId="46D7474F" w14:textId="77777777" w:rsidR="0060770F" w:rsidRPr="00205E25" w:rsidRDefault="0060770F" w:rsidP="009E2D2E">
      <w:pPr>
        <w:rPr>
          <w:rFonts w:ascii="Arial" w:eastAsia="Calibri" w:hAnsi="Arial" w:cs="Arial"/>
        </w:rPr>
      </w:pPr>
    </w:p>
    <w:p w14:paraId="4BD77C83" w14:textId="105BEC01" w:rsidR="0060770F" w:rsidRPr="00205E25" w:rsidRDefault="005A237D" w:rsidP="009E2D2E">
      <w:pPr>
        <w:rPr>
          <w:rFonts w:ascii="Arial" w:hAnsi="Arial" w:cs="Arial"/>
        </w:rPr>
      </w:pPr>
      <w:r>
        <w:rPr>
          <w:rFonts w:ascii="Arial" w:hAnsi="Arial" w:cs="Arial"/>
        </w:rPr>
        <w:t>Selon l’Etat défendeur, l</w:t>
      </w:r>
      <w:r w:rsidR="00E278A9" w:rsidRPr="00205E25">
        <w:rPr>
          <w:rFonts w:ascii="Arial" w:hAnsi="Arial" w:cs="Arial"/>
        </w:rPr>
        <w:t>a troisième affaire, introduite par Mamadou DABO et vingt-cinq (25) autres devant le Tribunal civil de la Commune II de Bamako, a débuté le 1</w:t>
      </w:r>
      <w:r w:rsidR="00E278A9" w:rsidRPr="00205E25">
        <w:rPr>
          <w:rFonts w:ascii="Arial" w:hAnsi="Arial" w:cs="Arial"/>
          <w:vertAlign w:val="superscript"/>
        </w:rPr>
        <w:t>er</w:t>
      </w:r>
      <w:r w:rsidR="00E278A9" w:rsidRPr="00205E25">
        <w:rPr>
          <w:rFonts w:ascii="Arial" w:hAnsi="Arial" w:cs="Arial"/>
        </w:rPr>
        <w:t xml:space="preserve"> novembre 2016 et ledit tribunal l</w:t>
      </w:r>
      <w:r w:rsidR="0009028A">
        <w:rPr>
          <w:rFonts w:ascii="Arial" w:hAnsi="Arial" w:cs="Arial"/>
        </w:rPr>
        <w:t>’</w:t>
      </w:r>
      <w:r w:rsidR="00E278A9" w:rsidRPr="00205E25">
        <w:rPr>
          <w:rFonts w:ascii="Arial" w:hAnsi="Arial" w:cs="Arial"/>
        </w:rPr>
        <w:t>a tranchée par jugement n° 145 rendu le 5 avril 2017. La quatrième affaire a été introduite le 10 janvier 2018 devant le Président du Tribunal de travail de Bamako par Mamadou DABO et vingt-cinq (25) autres en vue d</w:t>
      </w:r>
      <w:r w:rsidR="0009028A">
        <w:rPr>
          <w:rFonts w:ascii="Arial" w:hAnsi="Arial" w:cs="Arial"/>
        </w:rPr>
        <w:t>’</w:t>
      </w:r>
      <w:r w:rsidR="00E278A9" w:rsidRPr="00205E25">
        <w:rPr>
          <w:rFonts w:ascii="Arial" w:hAnsi="Arial" w:cs="Arial"/>
        </w:rPr>
        <w:t xml:space="preserve">obtenir une décision </w:t>
      </w:r>
      <w:r w:rsidR="00E278A9" w:rsidRPr="00205E25">
        <w:rPr>
          <w:rFonts w:ascii="Arial" w:hAnsi="Arial" w:cs="Arial"/>
        </w:rPr>
        <w:lastRenderedPageBreak/>
        <w:t>rendant exécutoire la sentence du Conseil d</w:t>
      </w:r>
      <w:r w:rsidR="0009028A">
        <w:rPr>
          <w:rFonts w:ascii="Arial" w:hAnsi="Arial" w:cs="Arial"/>
        </w:rPr>
        <w:t>’</w:t>
      </w:r>
      <w:r w:rsidR="00E278A9" w:rsidRPr="00205E25">
        <w:rPr>
          <w:rFonts w:ascii="Arial" w:hAnsi="Arial" w:cs="Arial"/>
        </w:rPr>
        <w:t>arbitrage. Le Président du Tribunal a examiné l</w:t>
      </w:r>
      <w:r w:rsidR="0009028A">
        <w:rPr>
          <w:rFonts w:ascii="Arial" w:hAnsi="Arial" w:cs="Arial"/>
        </w:rPr>
        <w:t>’</w:t>
      </w:r>
      <w:r w:rsidR="00E278A9" w:rsidRPr="00205E25">
        <w:rPr>
          <w:rFonts w:ascii="Arial" w:hAnsi="Arial" w:cs="Arial"/>
        </w:rPr>
        <w:t>affaire et l</w:t>
      </w:r>
      <w:r w:rsidR="0009028A">
        <w:rPr>
          <w:rFonts w:ascii="Arial" w:hAnsi="Arial" w:cs="Arial"/>
        </w:rPr>
        <w:t>’</w:t>
      </w:r>
      <w:r w:rsidR="00E278A9" w:rsidRPr="00205E25">
        <w:rPr>
          <w:rFonts w:ascii="Arial" w:hAnsi="Arial" w:cs="Arial"/>
        </w:rPr>
        <w:t>a rejetée le 22 janvier 2018, quelques jours seulement après son dépôt.</w:t>
      </w:r>
    </w:p>
    <w:p w14:paraId="24D08D20" w14:textId="77777777" w:rsidR="0060770F" w:rsidRPr="00205E25" w:rsidRDefault="0060770F" w:rsidP="009E2D2E">
      <w:pPr>
        <w:rPr>
          <w:rFonts w:ascii="Arial" w:hAnsi="Arial" w:cs="Arial"/>
        </w:rPr>
      </w:pPr>
    </w:p>
    <w:p w14:paraId="6FC2CECD" w14:textId="522ED42F" w:rsidR="0060770F" w:rsidRPr="00205E25" w:rsidRDefault="00E278A9" w:rsidP="009E2D2E">
      <w:pPr>
        <w:rPr>
          <w:rFonts w:ascii="Arial" w:hAnsi="Arial" w:cs="Arial"/>
        </w:rPr>
      </w:pPr>
      <w:r w:rsidRPr="00205E25">
        <w:rPr>
          <w:rFonts w:ascii="Arial" w:hAnsi="Arial" w:cs="Arial"/>
        </w:rPr>
        <w:t>L</w:t>
      </w:r>
      <w:r w:rsidR="0009028A">
        <w:rPr>
          <w:rFonts w:ascii="Arial" w:hAnsi="Arial" w:cs="Arial"/>
        </w:rPr>
        <w:t>’</w:t>
      </w:r>
      <w:r w:rsidRPr="00205E25">
        <w:rPr>
          <w:rFonts w:ascii="Arial" w:hAnsi="Arial" w:cs="Arial"/>
        </w:rPr>
        <w:t>État défendeur fait valoir que les dirigeants syndicaux, qui affirment avoir été injustement licenciés, n</w:t>
      </w:r>
      <w:r w:rsidR="0009028A">
        <w:rPr>
          <w:rFonts w:ascii="Arial" w:hAnsi="Arial" w:cs="Arial"/>
        </w:rPr>
        <w:t>’</w:t>
      </w:r>
      <w:r w:rsidRPr="00205E25">
        <w:rPr>
          <w:rFonts w:ascii="Arial" w:hAnsi="Arial" w:cs="Arial"/>
        </w:rPr>
        <w:t>ont pas intenté d</w:t>
      </w:r>
      <w:r w:rsidR="0009028A">
        <w:rPr>
          <w:rFonts w:ascii="Arial" w:hAnsi="Arial" w:cs="Arial"/>
        </w:rPr>
        <w:t>’</w:t>
      </w:r>
      <w:r w:rsidRPr="00205E25">
        <w:rPr>
          <w:rFonts w:ascii="Arial" w:hAnsi="Arial" w:cs="Arial"/>
        </w:rPr>
        <w:t>action afin de prouver leurs allégations de licenciement arbitraire et demander leur réintégration dans leur entreprise conformément aux dispositions de l</w:t>
      </w:r>
      <w:r w:rsidR="0009028A">
        <w:rPr>
          <w:rFonts w:ascii="Arial" w:hAnsi="Arial" w:cs="Arial"/>
        </w:rPr>
        <w:t>’</w:t>
      </w:r>
      <w:r w:rsidRPr="00205E25">
        <w:rPr>
          <w:rFonts w:ascii="Arial" w:hAnsi="Arial" w:cs="Arial"/>
        </w:rPr>
        <w:t>article L.277</w:t>
      </w:r>
      <w:r w:rsidRPr="00205E25">
        <w:rPr>
          <w:rStyle w:val="FootnoteReference"/>
          <w:rFonts w:ascii="Arial" w:hAnsi="Arial" w:cs="Arial"/>
          <w:sz w:val="24"/>
          <w:szCs w:val="24"/>
        </w:rPr>
        <w:footnoteReference w:id="7"/>
      </w:r>
      <w:r w:rsidRPr="00205E25">
        <w:rPr>
          <w:rFonts w:ascii="Arial" w:hAnsi="Arial" w:cs="Arial"/>
        </w:rPr>
        <w:t xml:space="preserve"> du Code du travail. Ils ont au contraire préféré introduire des requêtes aux fins de paiement de leurs droits et d</w:t>
      </w:r>
      <w:r w:rsidR="0009028A">
        <w:rPr>
          <w:rFonts w:ascii="Arial" w:hAnsi="Arial" w:cs="Arial"/>
        </w:rPr>
        <w:t>’</w:t>
      </w:r>
      <w:r w:rsidRPr="00205E25">
        <w:rPr>
          <w:rFonts w:ascii="Arial" w:hAnsi="Arial" w:cs="Arial"/>
        </w:rPr>
        <w:t>obtention d</w:t>
      </w:r>
      <w:r w:rsidR="0009028A">
        <w:rPr>
          <w:rFonts w:ascii="Arial" w:hAnsi="Arial" w:cs="Arial"/>
        </w:rPr>
        <w:t>’</w:t>
      </w:r>
      <w:r w:rsidRPr="00205E25">
        <w:rPr>
          <w:rFonts w:ascii="Arial" w:hAnsi="Arial" w:cs="Arial"/>
        </w:rPr>
        <w:t>une décision de justice rendant exécutoire la sentence du Conseil d</w:t>
      </w:r>
      <w:r w:rsidR="0009028A">
        <w:rPr>
          <w:rFonts w:ascii="Arial" w:hAnsi="Arial" w:cs="Arial"/>
        </w:rPr>
        <w:t>’</w:t>
      </w:r>
      <w:r w:rsidRPr="00205E25">
        <w:rPr>
          <w:rFonts w:ascii="Arial" w:hAnsi="Arial" w:cs="Arial"/>
        </w:rPr>
        <w:t>arbitrage.</w:t>
      </w:r>
    </w:p>
    <w:p w14:paraId="3A5FA03C" w14:textId="77777777" w:rsidR="0060770F" w:rsidRPr="00205E25" w:rsidRDefault="0060770F" w:rsidP="009E2D2E">
      <w:pPr>
        <w:rPr>
          <w:rFonts w:ascii="Arial" w:hAnsi="Arial" w:cs="Arial"/>
        </w:rPr>
      </w:pPr>
    </w:p>
    <w:p w14:paraId="0192F16C" w14:textId="2255DD0C" w:rsidR="0060770F" w:rsidRPr="00205E25" w:rsidRDefault="00E278A9" w:rsidP="009E2D2E">
      <w:pPr>
        <w:rPr>
          <w:rFonts w:ascii="Arial" w:hAnsi="Arial" w:cs="Arial"/>
        </w:rPr>
      </w:pPr>
      <w:r w:rsidRPr="00205E25">
        <w:rPr>
          <w:rFonts w:ascii="Arial" w:hAnsi="Arial" w:cs="Arial"/>
        </w:rPr>
        <w:t>Enfin, l</w:t>
      </w:r>
      <w:r w:rsidR="0009028A">
        <w:rPr>
          <w:rFonts w:ascii="Arial" w:hAnsi="Arial" w:cs="Arial"/>
        </w:rPr>
        <w:t>’</w:t>
      </w:r>
      <w:r w:rsidRPr="00205E25">
        <w:rPr>
          <w:rFonts w:ascii="Arial" w:hAnsi="Arial" w:cs="Arial"/>
        </w:rPr>
        <w:t>État défendeur affirme que la réticence dont les Requérants ont volontairement fait preuve en n</w:t>
      </w:r>
      <w:r w:rsidR="0009028A">
        <w:rPr>
          <w:rFonts w:ascii="Arial" w:hAnsi="Arial" w:cs="Arial"/>
        </w:rPr>
        <w:t>’</w:t>
      </w:r>
      <w:r w:rsidRPr="00205E25">
        <w:rPr>
          <w:rFonts w:ascii="Arial" w:hAnsi="Arial" w:cs="Arial"/>
        </w:rPr>
        <w:t>engageant pas d</w:t>
      </w:r>
      <w:r w:rsidR="0009028A">
        <w:rPr>
          <w:rFonts w:ascii="Arial" w:hAnsi="Arial" w:cs="Arial"/>
        </w:rPr>
        <w:t>’</w:t>
      </w:r>
      <w:r w:rsidRPr="00205E25">
        <w:rPr>
          <w:rFonts w:ascii="Arial" w:hAnsi="Arial" w:cs="Arial"/>
        </w:rPr>
        <w:t>action contre les décisions</w:t>
      </w:r>
      <w:r w:rsidRPr="00205E25">
        <w:rPr>
          <w:rStyle w:val="FootnoteReference"/>
          <w:rFonts w:ascii="Arial" w:hAnsi="Arial" w:cs="Arial"/>
          <w:sz w:val="24"/>
        </w:rPr>
        <w:footnoteReference w:id="8"/>
      </w:r>
      <w:r w:rsidRPr="00205E25">
        <w:rPr>
          <w:rFonts w:ascii="Arial" w:hAnsi="Arial" w:cs="Arial"/>
        </w:rPr>
        <w:t xml:space="preserve"> de l</w:t>
      </w:r>
      <w:r w:rsidR="0009028A">
        <w:rPr>
          <w:rFonts w:ascii="Arial" w:hAnsi="Arial" w:cs="Arial"/>
        </w:rPr>
        <w:t>’</w:t>
      </w:r>
      <w:r w:rsidRPr="00205E25">
        <w:rPr>
          <w:rFonts w:ascii="Arial" w:hAnsi="Arial" w:cs="Arial"/>
        </w:rPr>
        <w:t>Inspecteur régional du travail de Kayes devant les instances judiciaires nationales chargées du contentieux administratif est la preuve incontestable que tous les recours internes qui leur étaient disponibles n</w:t>
      </w:r>
      <w:r w:rsidR="0009028A">
        <w:rPr>
          <w:rFonts w:ascii="Arial" w:hAnsi="Arial" w:cs="Arial"/>
        </w:rPr>
        <w:t>’</w:t>
      </w:r>
      <w:r w:rsidRPr="00205E25">
        <w:rPr>
          <w:rFonts w:ascii="Arial" w:hAnsi="Arial" w:cs="Arial"/>
        </w:rPr>
        <w:t>ont pas été épuisés avant la saisine de la Cour de céans.</w:t>
      </w:r>
    </w:p>
    <w:p w14:paraId="43D4FDEE" w14:textId="77777777" w:rsidR="0060770F" w:rsidRPr="00205E25" w:rsidRDefault="0060770F" w:rsidP="009E2D2E">
      <w:pPr>
        <w:rPr>
          <w:rFonts w:ascii="Arial" w:hAnsi="Arial" w:cs="Arial"/>
        </w:rPr>
      </w:pPr>
    </w:p>
    <w:p w14:paraId="5D1E747E" w14:textId="385EF5C0" w:rsidR="0060770F" w:rsidRPr="00205E25" w:rsidRDefault="00E278A9" w:rsidP="009E2D2E">
      <w:pPr>
        <w:rPr>
          <w:rFonts w:ascii="Arial" w:hAnsi="Arial" w:cs="Arial"/>
        </w:rPr>
      </w:pPr>
      <w:r w:rsidRPr="00205E25">
        <w:rPr>
          <w:rFonts w:ascii="Arial" w:hAnsi="Arial" w:cs="Arial"/>
        </w:rPr>
        <w:t>*</w:t>
      </w:r>
    </w:p>
    <w:p w14:paraId="7467E83A" w14:textId="77777777" w:rsidR="0060770F" w:rsidRPr="00205E25" w:rsidRDefault="0060770F" w:rsidP="009E2D2E">
      <w:pPr>
        <w:rPr>
          <w:rFonts w:ascii="Arial" w:eastAsia="Calibri" w:hAnsi="Arial" w:cs="Arial"/>
        </w:rPr>
      </w:pPr>
    </w:p>
    <w:p w14:paraId="5144ECD5" w14:textId="4F2A2A9F" w:rsidR="0060770F" w:rsidRPr="00205E25" w:rsidRDefault="00E278A9" w:rsidP="009E2D2E">
      <w:pPr>
        <w:rPr>
          <w:rFonts w:ascii="Arial" w:hAnsi="Arial" w:cs="Arial"/>
        </w:rPr>
      </w:pPr>
      <w:r w:rsidRPr="00205E25">
        <w:rPr>
          <w:rFonts w:ascii="Arial" w:hAnsi="Arial" w:cs="Arial"/>
        </w:rPr>
        <w:t>En réponse, les Requérants soutiennent que les recours internes sont indisponibles et inefficaces dans la mesure où au moment de l</w:t>
      </w:r>
      <w:r w:rsidR="0009028A">
        <w:rPr>
          <w:rFonts w:ascii="Arial" w:hAnsi="Arial" w:cs="Arial"/>
        </w:rPr>
        <w:t>’</w:t>
      </w:r>
      <w:r w:rsidRPr="00205E25">
        <w:rPr>
          <w:rFonts w:ascii="Arial" w:hAnsi="Arial" w:cs="Arial"/>
        </w:rPr>
        <w:t xml:space="preserve">ouverture de la procédure, les lois du Mali ne reconnaissaient pas compétence aux </w:t>
      </w:r>
      <w:r w:rsidRPr="00205E25">
        <w:rPr>
          <w:rFonts w:ascii="Arial" w:hAnsi="Arial" w:cs="Arial"/>
        </w:rPr>
        <w:lastRenderedPageBreak/>
        <w:t>tribunaux pour faire exécuter les sentences arbitrales rendues dans les conflits impliquant des collectifs de travailleurs. La sentence arbitrale a été révoquée après qu</w:t>
      </w:r>
      <w:r w:rsidR="0009028A">
        <w:rPr>
          <w:rFonts w:ascii="Arial" w:hAnsi="Arial" w:cs="Arial"/>
        </w:rPr>
        <w:t>’</w:t>
      </w:r>
      <w:r w:rsidRPr="00205E25">
        <w:rPr>
          <w:rFonts w:ascii="Arial" w:hAnsi="Arial" w:cs="Arial"/>
        </w:rPr>
        <w:t xml:space="preserve">elle </w:t>
      </w:r>
      <w:r w:rsidRPr="00205E25">
        <w:rPr>
          <w:rFonts w:ascii="Arial" w:hAnsi="Arial" w:cs="Arial"/>
          <w:bCs/>
        </w:rPr>
        <w:t>a</w:t>
      </w:r>
      <w:r w:rsidRPr="00205E25">
        <w:rPr>
          <w:rFonts w:ascii="Arial" w:hAnsi="Arial" w:cs="Arial"/>
        </w:rPr>
        <w:t xml:space="preserve"> été rejetée par le Conseil des ministres, seul organe habilité à rendre la décision exécutoire. </w:t>
      </w:r>
    </w:p>
    <w:p w14:paraId="5C3E99A5" w14:textId="77777777" w:rsidR="0060770F" w:rsidRPr="00205E25" w:rsidRDefault="0060770F" w:rsidP="009E2D2E">
      <w:pPr>
        <w:rPr>
          <w:rFonts w:ascii="Arial" w:hAnsi="Arial" w:cs="Arial"/>
        </w:rPr>
      </w:pPr>
    </w:p>
    <w:p w14:paraId="689928DA" w14:textId="4A8207C6" w:rsidR="0060770F" w:rsidRPr="00205E25" w:rsidRDefault="00E278A9" w:rsidP="009E2D2E">
      <w:pPr>
        <w:rPr>
          <w:rFonts w:ascii="Arial" w:hAnsi="Arial" w:cs="Arial"/>
        </w:rPr>
      </w:pPr>
      <w:r w:rsidRPr="00205E25">
        <w:rPr>
          <w:rFonts w:ascii="Arial" w:hAnsi="Arial" w:cs="Arial"/>
          <w:bCs/>
        </w:rPr>
        <w:t>Ils indiquent</w:t>
      </w:r>
      <w:r w:rsidR="008A3D85">
        <w:rPr>
          <w:rFonts w:ascii="Arial" w:hAnsi="Arial" w:cs="Arial"/>
          <w:bCs/>
        </w:rPr>
        <w:t>,</w:t>
      </w:r>
      <w:r w:rsidRPr="00205E25">
        <w:rPr>
          <w:rFonts w:ascii="Arial" w:hAnsi="Arial" w:cs="Arial"/>
          <w:bCs/>
        </w:rPr>
        <w:t xml:space="preserve"> </w:t>
      </w:r>
      <w:r w:rsidRPr="00205E25">
        <w:rPr>
          <w:rFonts w:ascii="Arial" w:hAnsi="Arial" w:cs="Arial"/>
        </w:rPr>
        <w:t xml:space="preserve">toutefois, </w:t>
      </w:r>
      <w:r w:rsidR="008A3D85" w:rsidRPr="00205E25">
        <w:rPr>
          <w:rFonts w:ascii="Arial" w:hAnsi="Arial" w:cs="Arial"/>
          <w:bCs/>
        </w:rPr>
        <w:t>que</w:t>
      </w:r>
      <w:r w:rsidR="008A3D85" w:rsidRPr="00205E25">
        <w:rPr>
          <w:rFonts w:ascii="Arial" w:hAnsi="Arial" w:cs="Arial"/>
        </w:rPr>
        <w:t xml:space="preserve"> </w:t>
      </w:r>
      <w:r w:rsidRPr="00205E25">
        <w:rPr>
          <w:rFonts w:ascii="Arial" w:hAnsi="Arial" w:cs="Arial"/>
        </w:rPr>
        <w:t xml:space="preserve">même après avoir exercé ce recours, </w:t>
      </w:r>
      <w:r w:rsidRPr="00205E25">
        <w:rPr>
          <w:rFonts w:ascii="Arial" w:hAnsi="Arial" w:cs="Arial"/>
          <w:bCs/>
        </w:rPr>
        <w:t>ils</w:t>
      </w:r>
      <w:r w:rsidRPr="00205E25">
        <w:rPr>
          <w:rFonts w:ascii="Arial" w:hAnsi="Arial" w:cs="Arial"/>
        </w:rPr>
        <w:t xml:space="preserve"> ont saisi le Tribunal du travail de Bamako à l</w:t>
      </w:r>
      <w:r w:rsidR="0009028A">
        <w:rPr>
          <w:rFonts w:ascii="Arial" w:hAnsi="Arial" w:cs="Arial"/>
        </w:rPr>
        <w:t>’</w:t>
      </w:r>
      <w:r w:rsidRPr="00205E25">
        <w:rPr>
          <w:rFonts w:ascii="Arial" w:hAnsi="Arial" w:cs="Arial"/>
        </w:rPr>
        <w:t>effet d</w:t>
      </w:r>
      <w:r w:rsidR="0009028A">
        <w:rPr>
          <w:rFonts w:ascii="Arial" w:hAnsi="Arial" w:cs="Arial"/>
        </w:rPr>
        <w:t>’</w:t>
      </w:r>
      <w:r w:rsidRPr="00205E25">
        <w:rPr>
          <w:rFonts w:ascii="Arial" w:hAnsi="Arial" w:cs="Arial"/>
        </w:rPr>
        <w:t>obtenir l</w:t>
      </w:r>
      <w:r w:rsidR="0009028A">
        <w:rPr>
          <w:rFonts w:ascii="Arial" w:hAnsi="Arial" w:cs="Arial"/>
        </w:rPr>
        <w:t>’</w:t>
      </w:r>
      <w:r w:rsidRPr="00205E25">
        <w:rPr>
          <w:rFonts w:ascii="Arial" w:hAnsi="Arial" w:cs="Arial"/>
        </w:rPr>
        <w:t>exécution de ladite sentence arbitrale et ont été déboutés. Les Requérants affirment que plus aucune voie de recours judiciaire ne leur était ouverte pour obtenir justice. Ils ont interjeté appel de la décision du Tribunal du travail de Bamako devant la Cour d</w:t>
      </w:r>
      <w:r w:rsidR="0009028A">
        <w:rPr>
          <w:rFonts w:ascii="Arial" w:hAnsi="Arial" w:cs="Arial"/>
        </w:rPr>
        <w:t>’</w:t>
      </w:r>
      <w:r w:rsidRPr="00205E25">
        <w:rPr>
          <w:rFonts w:ascii="Arial" w:hAnsi="Arial" w:cs="Arial"/>
        </w:rPr>
        <w:t>appel de Bamako il y a plus de huit mois, une procédure qui est toujours pendante.</w:t>
      </w:r>
    </w:p>
    <w:p w14:paraId="782C8B26" w14:textId="77777777" w:rsidR="00E204B5" w:rsidRDefault="00E204B5" w:rsidP="009E2D2E">
      <w:pPr>
        <w:rPr>
          <w:rFonts w:ascii="Arial" w:hAnsi="Arial" w:cs="Arial"/>
        </w:rPr>
      </w:pPr>
    </w:p>
    <w:p w14:paraId="56C13233" w14:textId="51FD2977" w:rsidR="0060770F" w:rsidRPr="00205E25" w:rsidRDefault="00E278A9" w:rsidP="009E2D2E">
      <w:pPr>
        <w:rPr>
          <w:rFonts w:ascii="Arial" w:hAnsi="Arial" w:cs="Arial"/>
        </w:rPr>
      </w:pPr>
      <w:r w:rsidRPr="00205E25">
        <w:rPr>
          <w:rFonts w:ascii="Arial" w:hAnsi="Arial" w:cs="Arial"/>
        </w:rPr>
        <w:t>***</w:t>
      </w:r>
    </w:p>
    <w:p w14:paraId="4CAFA3CC" w14:textId="77777777" w:rsidR="0060770F" w:rsidRPr="00205E25" w:rsidRDefault="0060770F" w:rsidP="009E2D2E">
      <w:pPr>
        <w:rPr>
          <w:rFonts w:ascii="Arial" w:hAnsi="Arial" w:cs="Arial"/>
        </w:rPr>
      </w:pPr>
    </w:p>
    <w:p w14:paraId="092B97B6" w14:textId="2AD8E018" w:rsidR="0060770F" w:rsidRPr="00205E25" w:rsidRDefault="00E278A9" w:rsidP="009E2D2E">
      <w:pPr>
        <w:rPr>
          <w:rFonts w:ascii="Arial" w:hAnsi="Arial" w:cs="Arial"/>
        </w:rPr>
      </w:pPr>
      <w:r w:rsidRPr="00205E25">
        <w:rPr>
          <w:rFonts w:ascii="Arial" w:hAnsi="Arial" w:cs="Arial"/>
        </w:rPr>
        <w:t>La Cour note que, conformément à l</w:t>
      </w:r>
      <w:r w:rsidR="0009028A">
        <w:rPr>
          <w:rFonts w:ascii="Arial" w:hAnsi="Arial" w:cs="Arial"/>
        </w:rPr>
        <w:t>’</w:t>
      </w:r>
      <w:r w:rsidRPr="00205E25">
        <w:rPr>
          <w:rFonts w:ascii="Arial" w:hAnsi="Arial" w:cs="Arial"/>
        </w:rPr>
        <w:t>article 56(5) de la Charte, qui reprend en substance la règle 50(2)(e) du Règlement, les requêtes soumises devant elle doivent satisfaire à l</w:t>
      </w:r>
      <w:r w:rsidR="0009028A">
        <w:rPr>
          <w:rFonts w:ascii="Arial" w:hAnsi="Arial" w:cs="Arial"/>
        </w:rPr>
        <w:t>’</w:t>
      </w:r>
      <w:r w:rsidRPr="00205E25">
        <w:rPr>
          <w:rFonts w:ascii="Arial" w:hAnsi="Arial" w:cs="Arial"/>
        </w:rPr>
        <w:t>exigence de l</w:t>
      </w:r>
      <w:r w:rsidR="0009028A">
        <w:rPr>
          <w:rFonts w:ascii="Arial" w:hAnsi="Arial" w:cs="Arial"/>
        </w:rPr>
        <w:t>’</w:t>
      </w:r>
      <w:r w:rsidRPr="00205E25">
        <w:rPr>
          <w:rFonts w:ascii="Arial" w:hAnsi="Arial" w:cs="Arial"/>
        </w:rPr>
        <w:t>épuisement des recours internes. La règle de l</w:t>
      </w:r>
      <w:r w:rsidR="0009028A">
        <w:rPr>
          <w:rFonts w:ascii="Arial" w:hAnsi="Arial" w:cs="Arial"/>
        </w:rPr>
        <w:t>’</w:t>
      </w:r>
      <w:r w:rsidRPr="00205E25">
        <w:rPr>
          <w:rFonts w:ascii="Arial" w:hAnsi="Arial" w:cs="Arial"/>
        </w:rPr>
        <w:t>épuisement des recours internes vise à donner aux États la possibilité de traiter les violations des droits de l</w:t>
      </w:r>
      <w:r w:rsidR="0009028A">
        <w:rPr>
          <w:rFonts w:ascii="Arial" w:hAnsi="Arial" w:cs="Arial"/>
        </w:rPr>
        <w:t>’</w:t>
      </w:r>
      <w:r w:rsidRPr="00205E25">
        <w:rPr>
          <w:rFonts w:ascii="Arial" w:hAnsi="Arial" w:cs="Arial"/>
        </w:rPr>
        <w:t>homme relevant de leur juridiction avant qu</w:t>
      </w:r>
      <w:r w:rsidR="0009028A">
        <w:rPr>
          <w:rFonts w:ascii="Arial" w:hAnsi="Arial" w:cs="Arial"/>
        </w:rPr>
        <w:t>’</w:t>
      </w:r>
      <w:r w:rsidRPr="00205E25">
        <w:rPr>
          <w:rFonts w:ascii="Arial" w:hAnsi="Arial" w:cs="Arial"/>
        </w:rPr>
        <w:t>un organe international de défense des droits de l</w:t>
      </w:r>
      <w:r w:rsidR="0009028A">
        <w:rPr>
          <w:rFonts w:ascii="Arial" w:hAnsi="Arial" w:cs="Arial"/>
        </w:rPr>
        <w:t>’</w:t>
      </w:r>
      <w:r w:rsidRPr="00205E25">
        <w:rPr>
          <w:rFonts w:ascii="Arial" w:hAnsi="Arial" w:cs="Arial"/>
        </w:rPr>
        <w:t>homme ne soit saisi pour déterminer la responsabilité de l</w:t>
      </w:r>
      <w:r w:rsidR="0009028A">
        <w:rPr>
          <w:rFonts w:ascii="Arial" w:hAnsi="Arial" w:cs="Arial"/>
        </w:rPr>
        <w:t>’</w:t>
      </w:r>
      <w:r w:rsidRPr="00205E25">
        <w:rPr>
          <w:rFonts w:ascii="Arial" w:hAnsi="Arial" w:cs="Arial"/>
        </w:rPr>
        <w:t>État à cet égard</w:t>
      </w:r>
      <w:r w:rsidRPr="00205E25">
        <w:rPr>
          <w:rStyle w:val="FootnoteReference"/>
          <w:rFonts w:ascii="Arial" w:hAnsi="Arial" w:cs="Arial"/>
          <w:sz w:val="24"/>
          <w:szCs w:val="24"/>
        </w:rPr>
        <w:footnoteReference w:id="9"/>
      </w:r>
      <w:r w:rsidR="00E204B5">
        <w:rPr>
          <w:rFonts w:ascii="Arial" w:hAnsi="Arial" w:cs="Arial"/>
        </w:rPr>
        <w:t>.</w:t>
      </w:r>
    </w:p>
    <w:p w14:paraId="756FD910" w14:textId="77777777" w:rsidR="0060770F" w:rsidRPr="00205E25" w:rsidRDefault="0060770F" w:rsidP="009E2D2E">
      <w:pPr>
        <w:rPr>
          <w:rFonts w:ascii="Arial" w:hAnsi="Arial" w:cs="Arial"/>
        </w:rPr>
      </w:pPr>
    </w:p>
    <w:p w14:paraId="5EE743EE" w14:textId="4447CF0A" w:rsidR="0060770F" w:rsidRPr="00205E25" w:rsidRDefault="00E278A9" w:rsidP="009E2D2E">
      <w:pPr>
        <w:rPr>
          <w:rFonts w:ascii="Arial" w:hAnsi="Arial" w:cs="Arial"/>
        </w:rPr>
      </w:pPr>
      <w:r w:rsidRPr="00205E25">
        <w:rPr>
          <w:rFonts w:ascii="Arial" w:hAnsi="Arial" w:cs="Arial"/>
        </w:rPr>
        <w:t xml:space="preserve">La Cour rappelle que les recours internes à épuiser sont des recours ordinaires, à moins que la procédure </w:t>
      </w:r>
      <w:r w:rsidR="008A3D85">
        <w:rPr>
          <w:rFonts w:ascii="Arial" w:hAnsi="Arial" w:cs="Arial"/>
        </w:rPr>
        <w:t>y relative</w:t>
      </w:r>
      <w:r w:rsidRPr="00205E25">
        <w:rPr>
          <w:rFonts w:ascii="Arial" w:hAnsi="Arial" w:cs="Arial"/>
        </w:rPr>
        <w:t xml:space="preserve"> se prolonge de façon anormale. La Cour entend donc s</w:t>
      </w:r>
      <w:r w:rsidR="0009028A">
        <w:rPr>
          <w:rFonts w:ascii="Arial" w:hAnsi="Arial" w:cs="Arial"/>
        </w:rPr>
        <w:t>’</w:t>
      </w:r>
      <w:r w:rsidRPr="00205E25">
        <w:rPr>
          <w:rFonts w:ascii="Arial" w:hAnsi="Arial" w:cs="Arial"/>
        </w:rPr>
        <w:t>assurer qu</w:t>
      </w:r>
      <w:r w:rsidR="0009028A">
        <w:rPr>
          <w:rFonts w:ascii="Arial" w:hAnsi="Arial" w:cs="Arial"/>
        </w:rPr>
        <w:t>’</w:t>
      </w:r>
      <w:r w:rsidRPr="00205E25">
        <w:rPr>
          <w:rFonts w:ascii="Arial" w:hAnsi="Arial" w:cs="Arial"/>
        </w:rPr>
        <w:t>en l</w:t>
      </w:r>
      <w:r w:rsidR="0009028A">
        <w:rPr>
          <w:rFonts w:ascii="Arial" w:hAnsi="Arial" w:cs="Arial"/>
        </w:rPr>
        <w:t>’</w:t>
      </w:r>
      <w:r w:rsidRPr="00205E25">
        <w:rPr>
          <w:rFonts w:ascii="Arial" w:hAnsi="Arial" w:cs="Arial"/>
        </w:rPr>
        <w:t>espèce, les Requérants ont épuisé les recours internes.</w:t>
      </w:r>
    </w:p>
    <w:p w14:paraId="6925EAE2" w14:textId="77777777" w:rsidR="0060770F" w:rsidRPr="00205E25" w:rsidRDefault="0060770F" w:rsidP="009E2D2E">
      <w:pPr>
        <w:rPr>
          <w:rFonts w:ascii="Arial" w:hAnsi="Arial" w:cs="Arial"/>
        </w:rPr>
      </w:pPr>
    </w:p>
    <w:p w14:paraId="6EB0CFBE" w14:textId="015F49C3" w:rsidR="0060770F" w:rsidRPr="00205E25" w:rsidRDefault="00E278A9" w:rsidP="009E2D2E">
      <w:pPr>
        <w:rPr>
          <w:rFonts w:ascii="Arial" w:hAnsi="Arial" w:cs="Arial"/>
        </w:rPr>
      </w:pPr>
      <w:r w:rsidRPr="00205E25">
        <w:rPr>
          <w:rFonts w:ascii="Arial" w:hAnsi="Arial" w:cs="Arial"/>
        </w:rPr>
        <w:lastRenderedPageBreak/>
        <w:t>Il ressort du dossier devant la Cour que les Requérants ont engagé des procédures devant les tribunaux de l</w:t>
      </w:r>
      <w:r w:rsidR="0009028A">
        <w:rPr>
          <w:rFonts w:ascii="Arial" w:hAnsi="Arial" w:cs="Arial"/>
        </w:rPr>
        <w:t>’</w:t>
      </w:r>
      <w:r w:rsidRPr="00205E25">
        <w:rPr>
          <w:rFonts w:ascii="Arial" w:hAnsi="Arial" w:cs="Arial"/>
        </w:rPr>
        <w:t>État défendeur, étant constitués en trois collectifs</w:t>
      </w:r>
      <w:r w:rsidR="00E204B5">
        <w:rPr>
          <w:rFonts w:ascii="Arial" w:hAnsi="Arial" w:cs="Arial"/>
        </w:rPr>
        <w:t>.</w:t>
      </w:r>
    </w:p>
    <w:p w14:paraId="101E9E98" w14:textId="77777777" w:rsidR="0060770F" w:rsidRPr="00205E25" w:rsidRDefault="0060770F" w:rsidP="009E2D2E">
      <w:pPr>
        <w:rPr>
          <w:rFonts w:ascii="Arial" w:hAnsi="Arial" w:cs="Arial"/>
        </w:rPr>
      </w:pPr>
    </w:p>
    <w:p w14:paraId="01B6D65C" w14:textId="0129B9A9" w:rsidR="0060770F" w:rsidRPr="00205E25" w:rsidRDefault="00E278A9" w:rsidP="009E2D2E">
      <w:pPr>
        <w:rPr>
          <w:rFonts w:ascii="Arial" w:hAnsi="Arial" w:cs="Arial"/>
        </w:rPr>
      </w:pPr>
      <w:r w:rsidRPr="00205E25">
        <w:rPr>
          <w:rFonts w:ascii="Arial" w:hAnsi="Arial" w:cs="Arial"/>
        </w:rPr>
        <w:t>S</w:t>
      </w:r>
      <w:r w:rsidR="0009028A">
        <w:rPr>
          <w:rFonts w:ascii="Arial" w:hAnsi="Arial" w:cs="Arial"/>
        </w:rPr>
        <w:t>’</w:t>
      </w:r>
      <w:r w:rsidRPr="00205E25">
        <w:rPr>
          <w:rFonts w:ascii="Arial" w:hAnsi="Arial" w:cs="Arial"/>
        </w:rPr>
        <w:t>agissant du premier collectif, la FENAME</w:t>
      </w:r>
      <w:r w:rsidRPr="008A3D85">
        <w:rPr>
          <w:rFonts w:ascii="Arial" w:hAnsi="Arial" w:cs="Arial"/>
        </w:rPr>
        <w:t xml:space="preserve">, </w:t>
      </w:r>
      <w:r w:rsidRPr="00205E25">
        <w:rPr>
          <w:rFonts w:ascii="Arial" w:hAnsi="Arial" w:cs="Arial"/>
          <w:bCs/>
        </w:rPr>
        <w:t>elle</w:t>
      </w:r>
      <w:r w:rsidRPr="00205E25">
        <w:rPr>
          <w:rFonts w:ascii="Arial" w:hAnsi="Arial" w:cs="Arial"/>
        </w:rPr>
        <w:t xml:space="preserve"> a intenté </w:t>
      </w:r>
      <w:r w:rsidRPr="00205E25">
        <w:rPr>
          <w:rFonts w:ascii="Arial" w:hAnsi="Arial" w:cs="Arial"/>
          <w:bCs/>
        </w:rPr>
        <w:t>le 25 mars 2014,</w:t>
      </w:r>
      <w:r w:rsidRPr="00205E25">
        <w:rPr>
          <w:rFonts w:ascii="Arial" w:hAnsi="Arial" w:cs="Arial"/>
        </w:rPr>
        <w:t xml:space="preserve"> un procès contre LTA-Mali S.A. à l</w:t>
      </w:r>
      <w:r w:rsidR="0009028A">
        <w:rPr>
          <w:rFonts w:ascii="Arial" w:hAnsi="Arial" w:cs="Arial"/>
        </w:rPr>
        <w:t>’</w:t>
      </w:r>
      <w:r w:rsidRPr="00205E25">
        <w:rPr>
          <w:rFonts w:ascii="Arial" w:hAnsi="Arial" w:cs="Arial"/>
        </w:rPr>
        <w:t>effet d</w:t>
      </w:r>
      <w:r w:rsidR="0009028A">
        <w:rPr>
          <w:rFonts w:ascii="Arial" w:hAnsi="Arial" w:cs="Arial"/>
        </w:rPr>
        <w:t>’</w:t>
      </w:r>
      <w:r w:rsidRPr="00205E25">
        <w:rPr>
          <w:rFonts w:ascii="Arial" w:hAnsi="Arial" w:cs="Arial"/>
        </w:rPr>
        <w:t>obtenir l</w:t>
      </w:r>
      <w:r w:rsidR="0009028A">
        <w:rPr>
          <w:rFonts w:ascii="Arial" w:hAnsi="Arial" w:cs="Arial"/>
        </w:rPr>
        <w:t>’</w:t>
      </w:r>
      <w:r w:rsidRPr="00205E25">
        <w:rPr>
          <w:rFonts w:ascii="Arial" w:hAnsi="Arial" w:cs="Arial"/>
        </w:rPr>
        <w:t>exécution de la sentence arbitrale. Le 2 juin 2014, la Cour, se prononçant sur l</w:t>
      </w:r>
      <w:r w:rsidR="0009028A">
        <w:rPr>
          <w:rFonts w:ascii="Arial" w:hAnsi="Arial" w:cs="Arial"/>
        </w:rPr>
        <w:t>’</w:t>
      </w:r>
      <w:r w:rsidRPr="00205E25">
        <w:rPr>
          <w:rFonts w:ascii="Arial" w:hAnsi="Arial" w:cs="Arial"/>
        </w:rPr>
        <w:t>affaire, s</w:t>
      </w:r>
      <w:r w:rsidR="0009028A">
        <w:rPr>
          <w:rFonts w:ascii="Arial" w:hAnsi="Arial" w:cs="Arial"/>
        </w:rPr>
        <w:t>’</w:t>
      </w:r>
      <w:r w:rsidRPr="00205E25">
        <w:rPr>
          <w:rFonts w:ascii="Arial" w:hAnsi="Arial" w:cs="Arial"/>
        </w:rPr>
        <w:t>est déclarée incompétente au motif que le litige avait un caractère collectif et que LTA-Mali S.A. avait déposé, le 1</w:t>
      </w:r>
      <w:r w:rsidRPr="00205E25">
        <w:rPr>
          <w:rFonts w:ascii="Arial" w:hAnsi="Arial" w:cs="Arial"/>
          <w:vertAlign w:val="superscript"/>
        </w:rPr>
        <w:t>er</w:t>
      </w:r>
      <w:r w:rsidRPr="00205E25">
        <w:rPr>
          <w:rFonts w:ascii="Arial" w:hAnsi="Arial" w:cs="Arial"/>
        </w:rPr>
        <w:t xml:space="preserve"> février 2013, une déclaration d</w:t>
      </w:r>
      <w:r w:rsidR="0009028A">
        <w:rPr>
          <w:rFonts w:ascii="Arial" w:hAnsi="Arial" w:cs="Arial"/>
        </w:rPr>
        <w:t>’</w:t>
      </w:r>
      <w:r w:rsidRPr="00205E25">
        <w:rPr>
          <w:rFonts w:ascii="Arial" w:hAnsi="Arial" w:cs="Arial"/>
        </w:rPr>
        <w:t>opposition ayant un effet suspensif sur la sentence arbitrale.</w:t>
      </w:r>
    </w:p>
    <w:p w14:paraId="5E4A302E" w14:textId="77777777" w:rsidR="0060770F" w:rsidRPr="00205E25" w:rsidRDefault="0060770F" w:rsidP="009E2D2E">
      <w:pPr>
        <w:rPr>
          <w:rFonts w:ascii="Arial" w:hAnsi="Arial" w:cs="Arial"/>
        </w:rPr>
      </w:pPr>
    </w:p>
    <w:p w14:paraId="5F274DB9" w14:textId="5B05EE03" w:rsidR="0060770F" w:rsidRPr="00205E25" w:rsidRDefault="00E278A9" w:rsidP="009E2D2E">
      <w:pPr>
        <w:rPr>
          <w:rFonts w:ascii="Arial" w:hAnsi="Arial" w:cs="Arial"/>
        </w:rPr>
      </w:pPr>
      <w:r w:rsidRPr="00205E25">
        <w:rPr>
          <w:rFonts w:ascii="Arial" w:hAnsi="Arial" w:cs="Arial"/>
        </w:rPr>
        <w:t>En ce qui concerne le deuxième collectif de travailleurs, Ismaila TRAORÉ et douze (12) autres travailleurs</w:t>
      </w:r>
      <w:r w:rsidRPr="00251629">
        <w:rPr>
          <w:rFonts w:ascii="Arial" w:hAnsi="Arial" w:cs="Arial"/>
        </w:rPr>
        <w:t>,</w:t>
      </w:r>
      <w:r w:rsidRPr="00205E25">
        <w:rPr>
          <w:rFonts w:ascii="Arial" w:hAnsi="Arial" w:cs="Arial"/>
          <w:b/>
          <w:bCs/>
        </w:rPr>
        <w:t xml:space="preserve"> </w:t>
      </w:r>
      <w:r w:rsidRPr="00205E25">
        <w:rPr>
          <w:rFonts w:ascii="Arial" w:hAnsi="Arial" w:cs="Arial"/>
          <w:bCs/>
        </w:rPr>
        <w:t>ils</w:t>
      </w:r>
      <w:r w:rsidRPr="00205E25">
        <w:rPr>
          <w:rFonts w:ascii="Arial" w:hAnsi="Arial" w:cs="Arial"/>
        </w:rPr>
        <w:t xml:space="preserve"> ont intenté une action contre LTA-Mali S.A. devant le Tribunal de travail de Kayes. Ladite juridiction, dans sa décision n° 015 du 24 juin 2013, s</w:t>
      </w:r>
      <w:r w:rsidR="0009028A">
        <w:rPr>
          <w:rFonts w:ascii="Arial" w:hAnsi="Arial" w:cs="Arial"/>
        </w:rPr>
        <w:t>’</w:t>
      </w:r>
      <w:r w:rsidRPr="00205E25">
        <w:rPr>
          <w:rFonts w:ascii="Arial" w:hAnsi="Arial" w:cs="Arial"/>
        </w:rPr>
        <w:t>est déclarée incompétente pour examiner leurs demandes.</w:t>
      </w:r>
    </w:p>
    <w:p w14:paraId="01DD8A1A" w14:textId="77777777" w:rsidR="0060770F" w:rsidRPr="00205E25" w:rsidRDefault="0060770F" w:rsidP="009E2D2E">
      <w:pPr>
        <w:rPr>
          <w:rFonts w:ascii="Arial" w:hAnsi="Arial" w:cs="Arial"/>
        </w:rPr>
      </w:pPr>
    </w:p>
    <w:p w14:paraId="2B07BD65" w14:textId="38FC6129" w:rsidR="0060770F" w:rsidRPr="00205E25" w:rsidRDefault="00E278A9" w:rsidP="009E2D2E">
      <w:pPr>
        <w:rPr>
          <w:rFonts w:ascii="Arial" w:hAnsi="Arial" w:cs="Arial"/>
          <w:bCs/>
        </w:rPr>
      </w:pPr>
      <w:r w:rsidRPr="00205E25">
        <w:rPr>
          <w:rFonts w:ascii="Arial" w:hAnsi="Arial" w:cs="Arial"/>
        </w:rPr>
        <w:t>Le 1</w:t>
      </w:r>
      <w:r w:rsidRPr="00205E25">
        <w:rPr>
          <w:rFonts w:ascii="Arial" w:hAnsi="Arial" w:cs="Arial"/>
          <w:vertAlign w:val="superscript"/>
        </w:rPr>
        <w:t>er</w:t>
      </w:r>
      <w:r w:rsidRPr="00205E25">
        <w:rPr>
          <w:rFonts w:ascii="Arial" w:hAnsi="Arial" w:cs="Arial"/>
        </w:rPr>
        <w:t xml:space="preserve"> novembre 2016, le troisième collectif, composé de Mamadou DABO et de vingt-cinq (25) autres personnes, a saisi le Tribunal civil du district de Bamako Commune II pour réclamer les montants adjugés par le Conseil d</w:t>
      </w:r>
      <w:r w:rsidR="0009028A">
        <w:rPr>
          <w:rFonts w:ascii="Arial" w:hAnsi="Arial" w:cs="Arial"/>
        </w:rPr>
        <w:t>’</w:t>
      </w:r>
      <w:r w:rsidRPr="00205E25">
        <w:rPr>
          <w:rFonts w:ascii="Arial" w:hAnsi="Arial" w:cs="Arial"/>
        </w:rPr>
        <w:t>arbitrage. Dans son jugement n° 145 du 5 avril 2017, le Tribunal civil s</w:t>
      </w:r>
      <w:r w:rsidR="0009028A">
        <w:rPr>
          <w:rFonts w:ascii="Arial" w:hAnsi="Arial" w:cs="Arial"/>
        </w:rPr>
        <w:t>’</w:t>
      </w:r>
      <w:r w:rsidRPr="00205E25">
        <w:rPr>
          <w:rFonts w:ascii="Arial" w:hAnsi="Arial" w:cs="Arial"/>
        </w:rPr>
        <w:t>est également déclaré incompétent pour examiner leurs demandes. Le même collectif de travailleurs, Mamadou DABO et vingt-cinq (25) autres ont porté à nouveau l</w:t>
      </w:r>
      <w:r w:rsidR="0009028A">
        <w:rPr>
          <w:rFonts w:ascii="Arial" w:hAnsi="Arial" w:cs="Arial"/>
        </w:rPr>
        <w:t>’</w:t>
      </w:r>
      <w:r w:rsidRPr="00205E25">
        <w:rPr>
          <w:rFonts w:ascii="Arial" w:hAnsi="Arial" w:cs="Arial"/>
        </w:rPr>
        <w:t>affaire devant le Tribunal de travail de Bamako en vue de rendre exécutoire la décision du Conseil d</w:t>
      </w:r>
      <w:r w:rsidR="0009028A">
        <w:rPr>
          <w:rFonts w:ascii="Arial" w:hAnsi="Arial" w:cs="Arial"/>
        </w:rPr>
        <w:t>’</w:t>
      </w:r>
      <w:r w:rsidRPr="00205E25">
        <w:rPr>
          <w:rFonts w:ascii="Arial" w:hAnsi="Arial" w:cs="Arial"/>
        </w:rPr>
        <w:t>arbitrage. Le Président de ladite juridiction a rejeté l</w:t>
      </w:r>
      <w:r w:rsidR="0009028A">
        <w:rPr>
          <w:rFonts w:ascii="Arial" w:hAnsi="Arial" w:cs="Arial"/>
        </w:rPr>
        <w:t>’</w:t>
      </w:r>
      <w:r w:rsidRPr="00205E25">
        <w:rPr>
          <w:rFonts w:ascii="Arial" w:hAnsi="Arial" w:cs="Arial"/>
        </w:rPr>
        <w:t>affaire par ordonnance n° 9 rendue le 22 janvier 2018. Le 9 février 2018, les travailleurs ont interjeté appel de ce jugement devant la Cour d</w:t>
      </w:r>
      <w:r w:rsidR="0009028A">
        <w:rPr>
          <w:rFonts w:ascii="Arial" w:hAnsi="Arial" w:cs="Arial"/>
        </w:rPr>
        <w:t>’</w:t>
      </w:r>
      <w:r w:rsidRPr="00205E25">
        <w:rPr>
          <w:rFonts w:ascii="Arial" w:hAnsi="Arial" w:cs="Arial"/>
        </w:rPr>
        <w:t>appel de Bamako qui</w:t>
      </w:r>
      <w:r w:rsidR="00251629">
        <w:rPr>
          <w:rFonts w:ascii="Arial" w:hAnsi="Arial" w:cs="Arial"/>
        </w:rPr>
        <w:t>,</w:t>
      </w:r>
      <w:r w:rsidRPr="00205E25">
        <w:rPr>
          <w:rFonts w:ascii="Arial" w:hAnsi="Arial" w:cs="Arial"/>
        </w:rPr>
        <w:t xml:space="preserve"> </w:t>
      </w:r>
      <w:r w:rsidR="00251629">
        <w:rPr>
          <w:rFonts w:ascii="Arial" w:hAnsi="Arial" w:cs="Arial"/>
          <w:bCs/>
        </w:rPr>
        <w:t>au moment du</w:t>
      </w:r>
      <w:r w:rsidRPr="00205E25">
        <w:rPr>
          <w:rFonts w:ascii="Arial" w:hAnsi="Arial" w:cs="Arial"/>
          <w:bCs/>
        </w:rPr>
        <w:t xml:space="preserve"> dépôt de la Requête devant la Cour de céans</w:t>
      </w:r>
      <w:r w:rsidR="00251629">
        <w:rPr>
          <w:rFonts w:ascii="Arial" w:hAnsi="Arial" w:cs="Arial"/>
          <w:bCs/>
        </w:rPr>
        <w:t xml:space="preserve">, </w:t>
      </w:r>
      <w:r w:rsidR="00251629" w:rsidRPr="00205E25">
        <w:rPr>
          <w:rFonts w:ascii="Arial" w:hAnsi="Arial" w:cs="Arial"/>
        </w:rPr>
        <w:t>n</w:t>
      </w:r>
      <w:r w:rsidR="0009028A">
        <w:rPr>
          <w:rFonts w:ascii="Arial" w:hAnsi="Arial" w:cs="Arial"/>
        </w:rPr>
        <w:t>’</w:t>
      </w:r>
      <w:r w:rsidR="00251629" w:rsidRPr="00205E25">
        <w:rPr>
          <w:rFonts w:ascii="Arial" w:hAnsi="Arial" w:cs="Arial"/>
        </w:rPr>
        <w:t>avait toujours pas tranché l</w:t>
      </w:r>
      <w:r w:rsidR="0009028A">
        <w:rPr>
          <w:rFonts w:ascii="Arial" w:hAnsi="Arial" w:cs="Arial"/>
        </w:rPr>
        <w:t>’</w:t>
      </w:r>
      <w:r w:rsidR="00251629" w:rsidRPr="00205E25">
        <w:rPr>
          <w:rFonts w:ascii="Arial" w:hAnsi="Arial" w:cs="Arial"/>
        </w:rPr>
        <w:t>affaire</w:t>
      </w:r>
      <w:r w:rsidRPr="00205E25">
        <w:rPr>
          <w:rFonts w:ascii="Arial" w:hAnsi="Arial" w:cs="Arial"/>
          <w:bCs/>
        </w:rPr>
        <w:t>.</w:t>
      </w:r>
    </w:p>
    <w:p w14:paraId="62F99D24" w14:textId="77777777" w:rsidR="0060770F" w:rsidRPr="00205E25" w:rsidRDefault="0060770F" w:rsidP="009E2D2E">
      <w:pPr>
        <w:rPr>
          <w:rFonts w:ascii="Arial" w:hAnsi="Arial" w:cs="Arial"/>
        </w:rPr>
      </w:pPr>
    </w:p>
    <w:p w14:paraId="1D0E4991" w14:textId="05E2C3C9" w:rsidR="0060770F" w:rsidRPr="00E204B5" w:rsidRDefault="00E278A9" w:rsidP="009E2D2E">
      <w:pPr>
        <w:rPr>
          <w:rFonts w:ascii="Arial" w:hAnsi="Arial" w:cs="Arial"/>
        </w:rPr>
      </w:pPr>
      <w:r w:rsidRPr="00205E25">
        <w:rPr>
          <w:rFonts w:ascii="Arial" w:hAnsi="Arial" w:cs="Arial"/>
        </w:rPr>
        <w:t>La Cour relève que le 1</w:t>
      </w:r>
      <w:r w:rsidRPr="00205E25">
        <w:rPr>
          <w:rFonts w:ascii="Arial" w:hAnsi="Arial" w:cs="Arial"/>
          <w:vertAlign w:val="superscript"/>
        </w:rPr>
        <w:t>er</w:t>
      </w:r>
      <w:r w:rsidRPr="00205E25">
        <w:rPr>
          <w:rFonts w:ascii="Arial" w:hAnsi="Arial" w:cs="Arial"/>
        </w:rPr>
        <w:t xml:space="preserve"> février 2013, LTA-Mali S.A. a notifié au greffe du Conseil arbitral son opposition à l</w:t>
      </w:r>
      <w:r w:rsidR="0009028A">
        <w:rPr>
          <w:rFonts w:ascii="Arial" w:hAnsi="Arial" w:cs="Arial"/>
        </w:rPr>
        <w:t>’</w:t>
      </w:r>
      <w:r w:rsidRPr="00205E25">
        <w:rPr>
          <w:rFonts w:ascii="Arial" w:hAnsi="Arial" w:cs="Arial"/>
        </w:rPr>
        <w:t>exécution de la décision du Conseil d</w:t>
      </w:r>
      <w:r w:rsidR="0009028A">
        <w:rPr>
          <w:rFonts w:ascii="Arial" w:hAnsi="Arial" w:cs="Arial"/>
        </w:rPr>
        <w:t>’</w:t>
      </w:r>
      <w:r w:rsidRPr="00205E25">
        <w:rPr>
          <w:rFonts w:ascii="Arial" w:hAnsi="Arial" w:cs="Arial"/>
        </w:rPr>
        <w:t xml:space="preserve">arbitrage n° 001/C.A. du 7 janvier 2013, dans les délais réglementaires, </w:t>
      </w:r>
      <w:r w:rsidRPr="00205E25">
        <w:rPr>
          <w:rFonts w:ascii="Arial" w:hAnsi="Arial" w:cs="Arial"/>
        </w:rPr>
        <w:lastRenderedPageBreak/>
        <w:t>suspendant ainsi la sentence conformément à l</w:t>
      </w:r>
      <w:r w:rsidR="0009028A">
        <w:rPr>
          <w:rFonts w:ascii="Arial" w:hAnsi="Arial" w:cs="Arial"/>
        </w:rPr>
        <w:t>’</w:t>
      </w:r>
      <w:r w:rsidRPr="00205E25">
        <w:rPr>
          <w:rFonts w:ascii="Arial" w:hAnsi="Arial" w:cs="Arial"/>
        </w:rPr>
        <w:t>article 229 de la loi n° 92-020 du 23 septembre 1992 portant Code du travail au Mali</w:t>
      </w:r>
      <w:r w:rsidRPr="00205E25">
        <w:rPr>
          <w:rStyle w:val="FootnoteReference"/>
          <w:rFonts w:ascii="Arial" w:hAnsi="Arial" w:cs="Arial"/>
          <w:sz w:val="24"/>
        </w:rPr>
        <w:footnoteReference w:id="10"/>
      </w:r>
      <w:r w:rsidR="00E204B5">
        <w:rPr>
          <w:rFonts w:ascii="Arial" w:hAnsi="Arial" w:cs="Arial"/>
        </w:rPr>
        <w:t>.</w:t>
      </w:r>
    </w:p>
    <w:p w14:paraId="168C9C8A" w14:textId="77777777" w:rsidR="00E204B5" w:rsidRPr="00205E25" w:rsidRDefault="00E204B5" w:rsidP="009E2D2E">
      <w:pPr>
        <w:rPr>
          <w:rFonts w:ascii="Arial" w:hAnsi="Arial" w:cs="Arial"/>
        </w:rPr>
      </w:pPr>
    </w:p>
    <w:p w14:paraId="22E41FA7" w14:textId="407487E9" w:rsidR="0060770F" w:rsidRPr="00205E25" w:rsidRDefault="00E278A9" w:rsidP="009E2D2E">
      <w:pPr>
        <w:rPr>
          <w:rFonts w:ascii="Arial" w:hAnsi="Arial" w:cs="Arial"/>
        </w:rPr>
      </w:pPr>
      <w:r w:rsidRPr="00205E25">
        <w:rPr>
          <w:rFonts w:ascii="Arial" w:hAnsi="Arial" w:cs="Arial"/>
        </w:rPr>
        <w:t xml:space="preserve">La Cour </w:t>
      </w:r>
      <w:r w:rsidR="00E204B5">
        <w:rPr>
          <w:rFonts w:ascii="Arial" w:hAnsi="Arial" w:cs="Arial"/>
        </w:rPr>
        <w:t xml:space="preserve">de céans </w:t>
      </w:r>
      <w:r w:rsidRPr="00205E25">
        <w:rPr>
          <w:rFonts w:ascii="Arial" w:hAnsi="Arial" w:cs="Arial"/>
        </w:rPr>
        <w:t>relève également que l</w:t>
      </w:r>
      <w:r w:rsidR="0009028A">
        <w:rPr>
          <w:rFonts w:ascii="Arial" w:hAnsi="Arial" w:cs="Arial"/>
        </w:rPr>
        <w:t>’</w:t>
      </w:r>
      <w:r w:rsidRPr="00205E25">
        <w:rPr>
          <w:rFonts w:ascii="Arial" w:hAnsi="Arial" w:cs="Arial"/>
        </w:rPr>
        <w:t>État défendeur a promulgué la loi n° 021-2017 du 12 juin</w:t>
      </w:r>
      <w:r w:rsidR="000A7DBF" w:rsidRPr="00205E25">
        <w:rPr>
          <w:rFonts w:ascii="Arial" w:hAnsi="Arial" w:cs="Arial"/>
        </w:rPr>
        <w:t xml:space="preserve"> </w:t>
      </w:r>
      <w:r w:rsidR="000A7DBF" w:rsidRPr="00205E25">
        <w:rPr>
          <w:rFonts w:ascii="Arial" w:hAnsi="Arial" w:cs="Arial"/>
          <w:bCs/>
        </w:rPr>
        <w:t>2017</w:t>
      </w:r>
      <w:r w:rsidRPr="00205E25">
        <w:rPr>
          <w:rFonts w:ascii="Arial" w:hAnsi="Arial" w:cs="Arial"/>
        </w:rPr>
        <w:t xml:space="preserve"> </w:t>
      </w:r>
      <w:bookmarkStart w:id="71" w:name="_Hlk114319009"/>
      <w:r w:rsidRPr="00205E25">
        <w:rPr>
          <w:rFonts w:ascii="Arial" w:hAnsi="Arial" w:cs="Arial"/>
        </w:rPr>
        <w:t>portant modification de la loi n° 92-020 du 23 septembre 1992</w:t>
      </w:r>
      <w:bookmarkStart w:id="72" w:name="_Hlk114318943"/>
      <w:r w:rsidRPr="00205E25">
        <w:rPr>
          <w:rFonts w:ascii="Arial" w:hAnsi="Arial" w:cs="Arial"/>
        </w:rPr>
        <w:t xml:space="preserve"> sur le Code du travail du Mali </w:t>
      </w:r>
      <w:bookmarkEnd w:id="72"/>
      <w:r w:rsidRPr="00205E25">
        <w:rPr>
          <w:rFonts w:ascii="Arial" w:hAnsi="Arial" w:cs="Arial"/>
        </w:rPr>
        <w:t xml:space="preserve">dont </w:t>
      </w:r>
      <w:bookmarkEnd w:id="71"/>
      <w:r w:rsidRPr="00205E25">
        <w:rPr>
          <w:rFonts w:ascii="Arial" w:hAnsi="Arial" w:cs="Arial"/>
        </w:rPr>
        <w:t>l</w:t>
      </w:r>
      <w:r w:rsidR="0009028A">
        <w:rPr>
          <w:rFonts w:ascii="Arial" w:hAnsi="Arial" w:cs="Arial"/>
        </w:rPr>
        <w:t>’</w:t>
      </w:r>
      <w:r w:rsidRPr="00205E25">
        <w:rPr>
          <w:rFonts w:ascii="Arial" w:hAnsi="Arial" w:cs="Arial"/>
        </w:rPr>
        <w:t>article L.229 nouveau</w:t>
      </w:r>
      <w:r w:rsidRPr="00205E25">
        <w:rPr>
          <w:rStyle w:val="FootnoteReference"/>
          <w:rFonts w:ascii="Arial" w:hAnsi="Arial" w:cs="Arial"/>
          <w:sz w:val="24"/>
          <w:szCs w:val="24"/>
        </w:rPr>
        <w:footnoteReference w:id="11"/>
      </w:r>
      <w:r w:rsidRPr="00205E25">
        <w:rPr>
          <w:rFonts w:ascii="Arial" w:hAnsi="Arial" w:cs="Arial"/>
        </w:rPr>
        <w:t xml:space="preserve"> ouvre une voie de recours contre la décision du Conseil d</w:t>
      </w:r>
      <w:r w:rsidR="0009028A">
        <w:rPr>
          <w:rFonts w:ascii="Arial" w:hAnsi="Arial" w:cs="Arial"/>
        </w:rPr>
        <w:t>’</w:t>
      </w:r>
      <w:r w:rsidRPr="00205E25">
        <w:rPr>
          <w:rFonts w:ascii="Arial" w:hAnsi="Arial" w:cs="Arial"/>
        </w:rPr>
        <w:t>arbitrage devant la Chambre sociale de la Cour suprême en cas d</w:t>
      </w:r>
      <w:r w:rsidR="0009028A">
        <w:rPr>
          <w:rFonts w:ascii="Arial" w:hAnsi="Arial" w:cs="Arial"/>
        </w:rPr>
        <w:t>’</w:t>
      </w:r>
      <w:r w:rsidRPr="00205E25">
        <w:rPr>
          <w:rFonts w:ascii="Arial" w:hAnsi="Arial" w:cs="Arial"/>
        </w:rPr>
        <w:t xml:space="preserve">excès de pouvoir, de violation de la loi ou </w:t>
      </w:r>
      <w:r w:rsidR="008F6ED7">
        <w:rPr>
          <w:rFonts w:ascii="Arial" w:hAnsi="Arial" w:cs="Arial"/>
        </w:rPr>
        <w:t xml:space="preserve">de </w:t>
      </w:r>
      <w:r w:rsidRPr="00205E25">
        <w:rPr>
          <w:rFonts w:ascii="Arial" w:hAnsi="Arial" w:cs="Arial"/>
        </w:rPr>
        <w:t>violation des règles de procédure. Ledit article précise également les cas dans lesquels les sentences arbitrales peuvent être annulées. La Loi a été publiée au Journal officiel de l</w:t>
      </w:r>
      <w:r w:rsidR="0009028A">
        <w:rPr>
          <w:rFonts w:ascii="Arial" w:hAnsi="Arial" w:cs="Arial"/>
        </w:rPr>
        <w:t>’</w:t>
      </w:r>
      <w:r w:rsidRPr="00205E25">
        <w:rPr>
          <w:rFonts w:ascii="Arial" w:hAnsi="Arial" w:cs="Arial"/>
        </w:rPr>
        <w:t xml:space="preserve">État défendeur à la même date, soit bien avant que les Requérants ne saisissent la Cour </w:t>
      </w:r>
      <w:r w:rsidR="00E204B5">
        <w:rPr>
          <w:rFonts w:ascii="Arial" w:hAnsi="Arial" w:cs="Arial"/>
        </w:rPr>
        <w:t xml:space="preserve">de céans </w:t>
      </w:r>
      <w:r w:rsidRPr="00205E25">
        <w:rPr>
          <w:rFonts w:ascii="Arial" w:hAnsi="Arial" w:cs="Arial"/>
        </w:rPr>
        <w:t>de la présente Requête le 25 septembre 2017.</w:t>
      </w:r>
    </w:p>
    <w:p w14:paraId="4E6306C5" w14:textId="77777777" w:rsidR="0060770F" w:rsidRPr="00205E25" w:rsidRDefault="0060770F" w:rsidP="009E2D2E">
      <w:pPr>
        <w:rPr>
          <w:rFonts w:ascii="Arial" w:hAnsi="Arial" w:cs="Arial"/>
        </w:rPr>
      </w:pPr>
    </w:p>
    <w:p w14:paraId="48078CE1" w14:textId="21E277E2" w:rsidR="0060770F" w:rsidRPr="00205E25" w:rsidRDefault="00E278A9" w:rsidP="009E2D2E">
      <w:pPr>
        <w:rPr>
          <w:rFonts w:ascii="Arial" w:hAnsi="Arial" w:cs="Arial"/>
        </w:rPr>
      </w:pPr>
      <w:r w:rsidRPr="00205E25">
        <w:rPr>
          <w:rFonts w:ascii="Arial" w:hAnsi="Arial" w:cs="Arial"/>
        </w:rPr>
        <w:t>La Cour note que les Requérants l</w:t>
      </w:r>
      <w:r w:rsidR="0009028A">
        <w:rPr>
          <w:rFonts w:ascii="Arial" w:hAnsi="Arial" w:cs="Arial"/>
        </w:rPr>
        <w:t>’</w:t>
      </w:r>
      <w:r w:rsidRPr="00205E25">
        <w:rPr>
          <w:rFonts w:ascii="Arial" w:hAnsi="Arial" w:cs="Arial"/>
        </w:rPr>
        <w:t xml:space="preserve">ont saisie de leur Requête le 25 septembre 2017, soit après la promulgation de la nouvelle loi, par conséquent, les Requérants </w:t>
      </w:r>
      <w:r w:rsidR="00474E40" w:rsidRPr="00205E25">
        <w:rPr>
          <w:rFonts w:ascii="Arial" w:hAnsi="Arial" w:cs="Arial"/>
          <w:bCs/>
        </w:rPr>
        <w:t>n</w:t>
      </w:r>
      <w:r w:rsidR="0009028A">
        <w:rPr>
          <w:rFonts w:ascii="Arial" w:hAnsi="Arial" w:cs="Arial"/>
          <w:bCs/>
        </w:rPr>
        <w:t>’</w:t>
      </w:r>
      <w:r w:rsidR="00E204B5">
        <w:rPr>
          <w:rFonts w:ascii="Arial" w:hAnsi="Arial" w:cs="Arial"/>
          <w:bCs/>
        </w:rPr>
        <w:t>avaient</w:t>
      </w:r>
      <w:r w:rsidR="00474E40" w:rsidRPr="00205E25">
        <w:rPr>
          <w:rFonts w:ascii="Arial" w:hAnsi="Arial" w:cs="Arial"/>
          <w:bCs/>
        </w:rPr>
        <w:t xml:space="preserve"> </w:t>
      </w:r>
      <w:r w:rsidRPr="00205E25">
        <w:rPr>
          <w:rFonts w:ascii="Arial" w:hAnsi="Arial" w:cs="Arial"/>
        </w:rPr>
        <w:t>pas épuisé les recours internes.</w:t>
      </w:r>
    </w:p>
    <w:p w14:paraId="64B4815B" w14:textId="77777777" w:rsidR="0060770F" w:rsidRPr="00205E25" w:rsidRDefault="0060770F" w:rsidP="009E2D2E">
      <w:pPr>
        <w:rPr>
          <w:rFonts w:ascii="Arial" w:hAnsi="Arial" w:cs="Arial"/>
        </w:rPr>
      </w:pPr>
    </w:p>
    <w:p w14:paraId="7BD3764B" w14:textId="4E8DE9BC" w:rsidR="0060770F" w:rsidRPr="00205E25" w:rsidRDefault="00E278A9" w:rsidP="009E2D2E">
      <w:pPr>
        <w:rPr>
          <w:rFonts w:ascii="Arial" w:hAnsi="Arial" w:cs="Arial"/>
        </w:rPr>
      </w:pPr>
      <w:r w:rsidRPr="00205E25">
        <w:rPr>
          <w:rFonts w:ascii="Arial" w:hAnsi="Arial" w:cs="Arial"/>
        </w:rPr>
        <w:lastRenderedPageBreak/>
        <w:t xml:space="preserve">La Cour conclut que la Requête ne satisfait pas à la condition de recevabilité prévue à </w:t>
      </w:r>
      <w:r w:rsidR="008F6ED7">
        <w:rPr>
          <w:rFonts w:ascii="Arial" w:hAnsi="Arial" w:cs="Arial"/>
          <w:bCs/>
        </w:rPr>
        <w:t>la règle</w:t>
      </w:r>
      <w:r w:rsidRPr="00205E25">
        <w:rPr>
          <w:rFonts w:ascii="Arial" w:hAnsi="Arial" w:cs="Arial"/>
          <w:bCs/>
        </w:rPr>
        <w:t xml:space="preserve"> 50(2)(e) du Règlement et</w:t>
      </w:r>
      <w:r w:rsidRPr="00205E25">
        <w:rPr>
          <w:rFonts w:ascii="Arial" w:hAnsi="Arial" w:cs="Arial"/>
        </w:rPr>
        <w:t xml:space="preserve"> </w:t>
      </w:r>
      <w:r w:rsidR="008F6ED7">
        <w:rPr>
          <w:rFonts w:ascii="Arial" w:hAnsi="Arial" w:cs="Arial"/>
        </w:rPr>
        <w:t xml:space="preserve">à </w:t>
      </w:r>
      <w:r w:rsidRPr="00205E25">
        <w:rPr>
          <w:rFonts w:ascii="Arial" w:hAnsi="Arial" w:cs="Arial"/>
        </w:rPr>
        <w:t>l</w:t>
      </w:r>
      <w:r w:rsidR="0009028A">
        <w:rPr>
          <w:rFonts w:ascii="Arial" w:hAnsi="Arial" w:cs="Arial"/>
        </w:rPr>
        <w:t>’</w:t>
      </w:r>
      <w:r w:rsidRPr="00205E25">
        <w:rPr>
          <w:rFonts w:ascii="Arial" w:hAnsi="Arial" w:cs="Arial"/>
        </w:rPr>
        <w:t>article 56(5) de la Charte, accueille l</w:t>
      </w:r>
      <w:r w:rsidR="0009028A">
        <w:rPr>
          <w:rFonts w:ascii="Arial" w:hAnsi="Arial" w:cs="Arial"/>
        </w:rPr>
        <w:t>’</w:t>
      </w:r>
      <w:r w:rsidRPr="00205E25">
        <w:rPr>
          <w:rFonts w:ascii="Arial" w:hAnsi="Arial" w:cs="Arial"/>
        </w:rPr>
        <w:t>exception soulevée par l</w:t>
      </w:r>
      <w:r w:rsidR="0009028A">
        <w:rPr>
          <w:rFonts w:ascii="Arial" w:hAnsi="Arial" w:cs="Arial"/>
        </w:rPr>
        <w:t>’</w:t>
      </w:r>
      <w:r w:rsidRPr="00205E25">
        <w:rPr>
          <w:rFonts w:ascii="Arial" w:hAnsi="Arial" w:cs="Arial"/>
        </w:rPr>
        <w:t>État défendeur et déclare, en conséquence, la Requête irrecevable.</w:t>
      </w:r>
    </w:p>
    <w:p w14:paraId="7A6E0D35" w14:textId="77777777" w:rsidR="0060770F" w:rsidRPr="00205E25" w:rsidRDefault="0060770F" w:rsidP="009E2D2E">
      <w:pPr>
        <w:rPr>
          <w:rFonts w:ascii="Arial" w:hAnsi="Arial" w:cs="Arial"/>
        </w:rPr>
      </w:pPr>
    </w:p>
    <w:p w14:paraId="6AFDB518" w14:textId="77777777" w:rsidR="0060770F" w:rsidRPr="00205E25" w:rsidRDefault="00E278A9" w:rsidP="009E2D2E">
      <w:pPr>
        <w:rPr>
          <w:rFonts w:ascii="Arial" w:hAnsi="Arial" w:cs="Arial"/>
          <w:b/>
          <w:bCs/>
          <w:rtl/>
        </w:rPr>
      </w:pPr>
      <w:bookmarkStart w:id="73" w:name="_Toc118470349"/>
      <w:bookmarkStart w:id="74" w:name="_Toc118471360"/>
      <w:bookmarkStart w:id="75" w:name="_Toc118954343"/>
      <w:bookmarkStart w:id="76" w:name="_Toc120938747"/>
      <w:r w:rsidRPr="00205E25">
        <w:rPr>
          <w:rFonts w:ascii="Arial" w:hAnsi="Arial" w:cs="Arial"/>
          <w:b/>
        </w:rPr>
        <w:t>Autres conditions de recevabilité</w:t>
      </w:r>
      <w:bookmarkEnd w:id="73"/>
      <w:bookmarkEnd w:id="74"/>
      <w:bookmarkEnd w:id="75"/>
      <w:bookmarkEnd w:id="76"/>
    </w:p>
    <w:p w14:paraId="221949E3" w14:textId="77777777" w:rsidR="0060770F" w:rsidRPr="00205E25" w:rsidRDefault="0060770F" w:rsidP="009E2D2E">
      <w:pPr>
        <w:rPr>
          <w:rFonts w:ascii="Arial" w:hAnsi="Arial" w:cs="Arial"/>
          <w:b/>
          <w:bCs/>
          <w:color w:val="000000" w:themeColor="text1"/>
          <w:lang w:bidi="ar-EG"/>
        </w:rPr>
      </w:pPr>
    </w:p>
    <w:p w14:paraId="3F346028" w14:textId="79DE5019" w:rsidR="0060770F" w:rsidRPr="00205E25" w:rsidRDefault="00E278A9" w:rsidP="009E2D2E">
      <w:pPr>
        <w:rPr>
          <w:rFonts w:ascii="Arial" w:hAnsi="Arial" w:cs="Arial"/>
          <w:b/>
          <w:bCs/>
          <w:color w:val="000000" w:themeColor="text1"/>
        </w:rPr>
      </w:pPr>
      <w:r w:rsidRPr="00205E25">
        <w:rPr>
          <w:rFonts w:ascii="Arial" w:hAnsi="Arial" w:cs="Arial"/>
        </w:rPr>
        <w:t>Ayant conclu que la présente Requête ne satisfait pas à l</w:t>
      </w:r>
      <w:r w:rsidR="0009028A">
        <w:rPr>
          <w:rFonts w:ascii="Arial" w:hAnsi="Arial" w:cs="Arial"/>
        </w:rPr>
        <w:t>’</w:t>
      </w:r>
      <w:r w:rsidRPr="00205E25">
        <w:rPr>
          <w:rFonts w:ascii="Arial" w:hAnsi="Arial" w:cs="Arial"/>
        </w:rPr>
        <w:t>exigence de la règle 50(2)(e) du Règlement et au regard du caractère cumulatif des conditions de recevabilité</w:t>
      </w:r>
      <w:r w:rsidRPr="00205E25">
        <w:rPr>
          <w:rStyle w:val="FootnoteReference"/>
          <w:rFonts w:ascii="Arial" w:hAnsi="Arial" w:cs="Arial"/>
          <w:sz w:val="24"/>
          <w:szCs w:val="24"/>
        </w:rPr>
        <w:footnoteReference w:id="12"/>
      </w:r>
      <w:r w:rsidR="00E204B5">
        <w:rPr>
          <w:rFonts w:ascii="Arial" w:hAnsi="Arial" w:cs="Arial"/>
        </w:rPr>
        <w:t>,</w:t>
      </w:r>
      <w:r w:rsidRPr="00205E25">
        <w:rPr>
          <w:rFonts w:ascii="Arial" w:hAnsi="Arial" w:cs="Arial"/>
        </w:rPr>
        <w:t xml:space="preserve"> la Cour estime qu</w:t>
      </w:r>
      <w:r w:rsidR="0009028A">
        <w:rPr>
          <w:rFonts w:ascii="Arial" w:hAnsi="Arial" w:cs="Arial"/>
        </w:rPr>
        <w:t>’</w:t>
      </w:r>
      <w:r w:rsidRPr="00205E25">
        <w:rPr>
          <w:rFonts w:ascii="Arial" w:hAnsi="Arial" w:cs="Arial"/>
        </w:rPr>
        <w:t xml:space="preserve">il est superfétatoire de se prononcer sur les autres conditions de recevabilité prévues à la règle </w:t>
      </w:r>
      <w:bookmarkStart w:id="77" w:name="_Hlk119062662"/>
      <w:r w:rsidRPr="00205E25">
        <w:rPr>
          <w:rFonts w:ascii="Arial" w:hAnsi="Arial" w:cs="Arial"/>
        </w:rPr>
        <w:t>50(2)(a), (b), (c), (d), (f) et (g)</w:t>
      </w:r>
      <w:bookmarkEnd w:id="77"/>
      <w:r w:rsidRPr="00205E25">
        <w:rPr>
          <w:rFonts w:ascii="Arial" w:hAnsi="Arial" w:cs="Arial"/>
        </w:rPr>
        <w:t xml:space="preserve"> du Règlement</w:t>
      </w:r>
      <w:r w:rsidRPr="00205E25">
        <w:rPr>
          <w:rStyle w:val="FootnoteReference"/>
          <w:rFonts w:ascii="Arial" w:hAnsi="Arial" w:cs="Arial"/>
          <w:sz w:val="24"/>
          <w:szCs w:val="24"/>
        </w:rPr>
        <w:footnoteReference w:id="13"/>
      </w:r>
      <w:bookmarkStart w:id="78" w:name="_Toc114320396"/>
      <w:r w:rsidR="00E204B5">
        <w:rPr>
          <w:rFonts w:ascii="Arial" w:hAnsi="Arial" w:cs="Arial"/>
        </w:rPr>
        <w:t>.</w:t>
      </w:r>
    </w:p>
    <w:p w14:paraId="768CF39B" w14:textId="77777777" w:rsidR="0060770F" w:rsidRPr="00205E25" w:rsidRDefault="0060770F" w:rsidP="009E2D2E">
      <w:pPr>
        <w:rPr>
          <w:rFonts w:ascii="Arial" w:hAnsi="Arial" w:cs="Arial"/>
        </w:rPr>
      </w:pPr>
    </w:p>
    <w:p w14:paraId="186A6DE2" w14:textId="77777777" w:rsidR="0060770F" w:rsidRPr="00205E25" w:rsidRDefault="0060770F" w:rsidP="009E2D2E">
      <w:pPr>
        <w:rPr>
          <w:rFonts w:ascii="Arial" w:hAnsi="Arial" w:cs="Arial"/>
          <w:b/>
          <w:bCs/>
          <w:color w:val="000000" w:themeColor="text1"/>
        </w:rPr>
      </w:pPr>
    </w:p>
    <w:p w14:paraId="46063238" w14:textId="77777777" w:rsidR="0060770F" w:rsidRPr="00205E25" w:rsidRDefault="00E278A9" w:rsidP="009E2D2E">
      <w:pPr>
        <w:rPr>
          <w:rFonts w:cs="Arial"/>
          <w:rtl/>
        </w:rPr>
      </w:pPr>
      <w:bookmarkStart w:id="79" w:name="_Toc118470350"/>
      <w:bookmarkStart w:id="80" w:name="_Toc118471361"/>
      <w:bookmarkStart w:id="81" w:name="_Toc118954344"/>
      <w:bookmarkStart w:id="82" w:name="_Toc120938748"/>
      <w:r w:rsidRPr="00205E25">
        <w:rPr>
          <w:rFonts w:cs="Arial"/>
        </w:rPr>
        <w:t>SUR LES FRAIS DE PROCÉDURE</w:t>
      </w:r>
      <w:bookmarkEnd w:id="78"/>
      <w:bookmarkEnd w:id="79"/>
      <w:bookmarkEnd w:id="80"/>
      <w:bookmarkEnd w:id="81"/>
      <w:bookmarkEnd w:id="82"/>
    </w:p>
    <w:p w14:paraId="76C1743E" w14:textId="77777777" w:rsidR="0060770F" w:rsidRPr="00205E25" w:rsidRDefault="0060770F" w:rsidP="009E2D2E">
      <w:pPr>
        <w:rPr>
          <w:rFonts w:ascii="Arial" w:hAnsi="Arial" w:cs="Arial"/>
          <w:lang w:bidi="ar-EG"/>
        </w:rPr>
      </w:pPr>
    </w:p>
    <w:p w14:paraId="76956FEC" w14:textId="7023B815" w:rsidR="0060770F" w:rsidRPr="00205E25" w:rsidRDefault="00E278A9" w:rsidP="009E2D2E">
      <w:pPr>
        <w:rPr>
          <w:rFonts w:ascii="Arial" w:hAnsi="Arial" w:cs="Arial"/>
          <w:rtl/>
        </w:rPr>
      </w:pPr>
      <w:r w:rsidRPr="00205E25">
        <w:rPr>
          <w:rFonts w:ascii="Arial" w:hAnsi="Arial" w:cs="Arial"/>
        </w:rPr>
        <w:t>Les Requérants demandent à la Cour de mettre les frais de procédure à la charge de l</w:t>
      </w:r>
      <w:r w:rsidR="0009028A">
        <w:rPr>
          <w:rFonts w:ascii="Arial" w:hAnsi="Arial" w:cs="Arial"/>
        </w:rPr>
        <w:t>’</w:t>
      </w:r>
      <w:r w:rsidRPr="00205E25">
        <w:rPr>
          <w:rFonts w:ascii="Arial" w:hAnsi="Arial" w:cs="Arial"/>
        </w:rPr>
        <w:t>État défendeur.</w:t>
      </w:r>
    </w:p>
    <w:p w14:paraId="5DF3A53F" w14:textId="77777777" w:rsidR="0060770F" w:rsidRPr="00205E25" w:rsidRDefault="0060770F" w:rsidP="009E2D2E">
      <w:pPr>
        <w:rPr>
          <w:rFonts w:ascii="Arial" w:hAnsi="Arial" w:cs="Arial"/>
          <w:lang w:bidi="ar-EG"/>
        </w:rPr>
      </w:pPr>
    </w:p>
    <w:p w14:paraId="67174D1B" w14:textId="08F2C020" w:rsidR="0060770F" w:rsidRPr="00205E25" w:rsidRDefault="00E278A9" w:rsidP="009E2D2E">
      <w:pPr>
        <w:rPr>
          <w:rFonts w:ascii="Arial" w:hAnsi="Arial" w:cs="Arial"/>
        </w:rPr>
      </w:pPr>
      <w:r w:rsidRPr="00205E25">
        <w:rPr>
          <w:rFonts w:ascii="Arial" w:hAnsi="Arial" w:cs="Arial"/>
        </w:rPr>
        <w:t>L</w:t>
      </w:r>
      <w:r w:rsidR="0009028A">
        <w:rPr>
          <w:rFonts w:ascii="Arial" w:hAnsi="Arial" w:cs="Arial"/>
        </w:rPr>
        <w:t>’</w:t>
      </w:r>
      <w:r w:rsidRPr="00205E25">
        <w:rPr>
          <w:rFonts w:ascii="Arial" w:hAnsi="Arial" w:cs="Arial"/>
        </w:rPr>
        <w:t>État défendeur demande</w:t>
      </w:r>
      <w:r w:rsidR="0009028A">
        <w:rPr>
          <w:rFonts w:ascii="Arial" w:hAnsi="Arial" w:cs="Arial"/>
        </w:rPr>
        <w:t>,</w:t>
      </w:r>
      <w:r w:rsidRPr="00205E25">
        <w:rPr>
          <w:rFonts w:ascii="Arial" w:hAnsi="Arial" w:cs="Arial"/>
        </w:rPr>
        <w:t xml:space="preserve"> quant à lui, à la Cour de mettre les frais de procédure à la charge des Requérants.</w:t>
      </w:r>
    </w:p>
    <w:p w14:paraId="03F6023E" w14:textId="77777777" w:rsidR="0060770F" w:rsidRPr="00205E25" w:rsidRDefault="0060770F" w:rsidP="009E2D2E">
      <w:pPr>
        <w:rPr>
          <w:rFonts w:ascii="Arial" w:hAnsi="Arial" w:cs="Arial"/>
          <w:lang w:bidi="ar-EG"/>
        </w:rPr>
      </w:pPr>
    </w:p>
    <w:p w14:paraId="0FC0BA8D" w14:textId="77777777" w:rsidR="0060770F" w:rsidRPr="00205E25" w:rsidRDefault="00E278A9" w:rsidP="009E2D2E">
      <w:pPr>
        <w:rPr>
          <w:rFonts w:ascii="Arial" w:hAnsi="Arial" w:cs="Arial"/>
          <w:b/>
          <w:bCs/>
          <w:lang w:bidi="ar-EG"/>
        </w:rPr>
      </w:pPr>
      <w:r w:rsidRPr="00205E25">
        <w:rPr>
          <w:rFonts w:ascii="Arial" w:hAnsi="Arial" w:cs="Arial"/>
          <w:b/>
          <w:bCs/>
          <w:lang w:bidi="ar-EG"/>
        </w:rPr>
        <w:t>***</w:t>
      </w:r>
    </w:p>
    <w:p w14:paraId="6FC16546" w14:textId="77777777" w:rsidR="0060770F" w:rsidRPr="00205E25" w:rsidRDefault="0060770F" w:rsidP="009E2D2E">
      <w:pPr>
        <w:rPr>
          <w:rFonts w:ascii="Arial" w:hAnsi="Arial" w:cs="Arial"/>
          <w:lang w:bidi="ar-EG"/>
        </w:rPr>
      </w:pPr>
    </w:p>
    <w:p w14:paraId="69571527" w14:textId="6BF622EB" w:rsidR="0060770F" w:rsidRPr="00205E25" w:rsidRDefault="00E278A9" w:rsidP="009E2D2E">
      <w:pPr>
        <w:rPr>
          <w:rFonts w:ascii="Arial" w:hAnsi="Arial" w:cs="Arial"/>
        </w:rPr>
      </w:pPr>
      <w:r w:rsidRPr="00205E25">
        <w:rPr>
          <w:rFonts w:ascii="Arial" w:hAnsi="Arial" w:cs="Arial"/>
        </w:rPr>
        <w:t>La Cour relève qu</w:t>
      </w:r>
      <w:r w:rsidR="0009028A">
        <w:rPr>
          <w:rFonts w:ascii="Arial" w:hAnsi="Arial" w:cs="Arial"/>
        </w:rPr>
        <w:t>’</w:t>
      </w:r>
      <w:r w:rsidRPr="00205E25">
        <w:rPr>
          <w:rFonts w:ascii="Arial" w:hAnsi="Arial" w:cs="Arial"/>
        </w:rPr>
        <w:t>aux termes de la règle 32(2)</w:t>
      </w:r>
      <w:r w:rsidRPr="00205E25">
        <w:rPr>
          <w:rStyle w:val="FootnoteReference"/>
          <w:rFonts w:ascii="Arial" w:hAnsi="Arial" w:cs="Arial"/>
          <w:sz w:val="24"/>
          <w:szCs w:val="24"/>
        </w:rPr>
        <w:footnoteReference w:id="14"/>
      </w:r>
      <w:r w:rsidR="00E204B5">
        <w:rPr>
          <w:rFonts w:ascii="Arial" w:hAnsi="Arial" w:cs="Arial"/>
        </w:rPr>
        <w:t>,</w:t>
      </w:r>
      <w:r w:rsidRPr="00205E25">
        <w:rPr>
          <w:rFonts w:ascii="Arial" w:hAnsi="Arial" w:cs="Arial"/>
        </w:rPr>
        <w:t xml:space="preserve"> « à moins que la Cour n</w:t>
      </w:r>
      <w:r w:rsidR="0009028A">
        <w:rPr>
          <w:rFonts w:ascii="Arial" w:hAnsi="Arial" w:cs="Arial"/>
        </w:rPr>
        <w:t>’</w:t>
      </w:r>
      <w:r w:rsidRPr="00205E25">
        <w:rPr>
          <w:rFonts w:ascii="Arial" w:hAnsi="Arial" w:cs="Arial"/>
        </w:rPr>
        <w:t>en décide autrement, chaque partie supporte ses frais de procédure ».</w:t>
      </w:r>
    </w:p>
    <w:p w14:paraId="6812011D" w14:textId="77777777" w:rsidR="0060770F" w:rsidRPr="00205E25" w:rsidRDefault="0060770F" w:rsidP="009E2D2E">
      <w:pPr>
        <w:rPr>
          <w:rFonts w:ascii="Arial" w:hAnsi="Arial" w:cs="Arial"/>
          <w:lang w:bidi="ar-EG"/>
        </w:rPr>
      </w:pPr>
    </w:p>
    <w:p w14:paraId="15C199B8" w14:textId="7530FAB8" w:rsidR="0060770F" w:rsidRPr="00205E25" w:rsidRDefault="00E278A9" w:rsidP="009E2D2E">
      <w:pPr>
        <w:rPr>
          <w:rFonts w:ascii="Arial" w:hAnsi="Arial" w:cs="Arial"/>
        </w:rPr>
      </w:pPr>
      <w:r w:rsidRPr="00205E25">
        <w:rPr>
          <w:rFonts w:ascii="Arial" w:hAnsi="Arial" w:cs="Arial"/>
        </w:rPr>
        <w:t>La Cour décide, en l</w:t>
      </w:r>
      <w:r w:rsidR="0009028A">
        <w:rPr>
          <w:rFonts w:ascii="Arial" w:hAnsi="Arial" w:cs="Arial"/>
        </w:rPr>
        <w:t>’</w:t>
      </w:r>
      <w:r w:rsidRPr="00205E25">
        <w:rPr>
          <w:rFonts w:ascii="Arial" w:hAnsi="Arial" w:cs="Arial"/>
        </w:rPr>
        <w:t>espèce, que chaque Partie supporte ses frais de procédure.</w:t>
      </w:r>
    </w:p>
    <w:p w14:paraId="3F32D5B3" w14:textId="77777777" w:rsidR="0060770F" w:rsidRPr="00205E25" w:rsidRDefault="0060770F" w:rsidP="009E2D2E">
      <w:pPr>
        <w:rPr>
          <w:rFonts w:ascii="Arial" w:hAnsi="Arial" w:cs="Arial"/>
          <w:lang w:bidi="ar-EG"/>
        </w:rPr>
      </w:pPr>
    </w:p>
    <w:p w14:paraId="1C3D142A" w14:textId="77777777" w:rsidR="0060770F" w:rsidRPr="00205E25" w:rsidRDefault="0060770F" w:rsidP="009E2D2E">
      <w:pPr>
        <w:rPr>
          <w:rFonts w:ascii="Arial" w:hAnsi="Arial" w:cs="Arial"/>
          <w:rtl/>
          <w:lang w:bidi="ar-EG"/>
        </w:rPr>
      </w:pPr>
    </w:p>
    <w:p w14:paraId="6E3B4474" w14:textId="77777777" w:rsidR="0060770F" w:rsidRPr="00205E25" w:rsidRDefault="00E278A9" w:rsidP="009E2D2E">
      <w:pPr>
        <w:rPr>
          <w:rFonts w:cs="Arial"/>
          <w:rtl/>
        </w:rPr>
      </w:pPr>
      <w:bookmarkStart w:id="83" w:name="_Toc118470351"/>
      <w:bookmarkStart w:id="84" w:name="_Toc118471362"/>
      <w:bookmarkStart w:id="85" w:name="_Toc118954345"/>
      <w:bookmarkStart w:id="86" w:name="_Toc120938749"/>
      <w:r w:rsidRPr="00205E25">
        <w:rPr>
          <w:rFonts w:cs="Arial"/>
        </w:rPr>
        <w:t>DISPOSITIF</w:t>
      </w:r>
      <w:bookmarkEnd w:id="83"/>
      <w:bookmarkEnd w:id="84"/>
      <w:bookmarkEnd w:id="85"/>
      <w:bookmarkEnd w:id="86"/>
    </w:p>
    <w:p w14:paraId="72BE14FE" w14:textId="77777777" w:rsidR="0060770F" w:rsidRPr="00205E25" w:rsidRDefault="0060770F" w:rsidP="009E2D2E">
      <w:pPr>
        <w:rPr>
          <w:rFonts w:ascii="Arial" w:hAnsi="Arial" w:cs="Arial"/>
          <w:color w:val="000000" w:themeColor="text1"/>
        </w:rPr>
      </w:pPr>
    </w:p>
    <w:p w14:paraId="0138420C" w14:textId="77777777" w:rsidR="0060770F" w:rsidRPr="00205E25" w:rsidRDefault="00E278A9" w:rsidP="009E2D2E">
      <w:pPr>
        <w:rPr>
          <w:rFonts w:ascii="Arial" w:hAnsi="Arial" w:cs="Arial"/>
          <w:color w:val="000000" w:themeColor="text1"/>
        </w:rPr>
      </w:pPr>
      <w:r w:rsidRPr="00205E25">
        <w:rPr>
          <w:rFonts w:ascii="Arial" w:hAnsi="Arial" w:cs="Arial"/>
        </w:rPr>
        <w:t>Par ces motifs,</w:t>
      </w:r>
    </w:p>
    <w:p w14:paraId="664A7DE1" w14:textId="77777777" w:rsidR="0060770F" w:rsidRPr="00205E25" w:rsidRDefault="0060770F" w:rsidP="009E2D2E">
      <w:pPr>
        <w:rPr>
          <w:rFonts w:ascii="Arial" w:hAnsi="Arial" w:cs="Arial"/>
          <w:color w:val="000000" w:themeColor="text1"/>
        </w:rPr>
      </w:pPr>
    </w:p>
    <w:p w14:paraId="52CC116E" w14:textId="77777777" w:rsidR="0060770F" w:rsidRPr="00205E25" w:rsidRDefault="00E278A9" w:rsidP="009E2D2E">
      <w:pPr>
        <w:rPr>
          <w:rFonts w:ascii="Arial" w:hAnsi="Arial" w:cs="Arial"/>
        </w:rPr>
      </w:pPr>
      <w:r w:rsidRPr="00205E25">
        <w:rPr>
          <w:rFonts w:ascii="Arial" w:hAnsi="Arial" w:cs="Arial"/>
        </w:rPr>
        <w:t>LA COUR,</w:t>
      </w:r>
    </w:p>
    <w:p w14:paraId="79C59574" w14:textId="77777777" w:rsidR="0060770F" w:rsidRPr="00205E25" w:rsidRDefault="0060770F" w:rsidP="009E2D2E">
      <w:pPr>
        <w:rPr>
          <w:rFonts w:ascii="Arial" w:hAnsi="Arial" w:cs="Arial"/>
          <w:i/>
          <w:iCs/>
          <w:color w:val="000000" w:themeColor="text1"/>
        </w:rPr>
      </w:pPr>
    </w:p>
    <w:p w14:paraId="2C0383F2" w14:textId="314DE78D" w:rsidR="0060770F" w:rsidRPr="00205E25" w:rsidRDefault="00E278A9" w:rsidP="009E2D2E">
      <w:pPr>
        <w:rPr>
          <w:rFonts w:ascii="Arial" w:hAnsi="Arial" w:cs="Arial"/>
          <w:color w:val="000000" w:themeColor="text1"/>
        </w:rPr>
      </w:pPr>
      <w:r w:rsidRPr="00205E25">
        <w:rPr>
          <w:rFonts w:ascii="Arial" w:hAnsi="Arial" w:cs="Arial"/>
          <w:color w:val="000000" w:themeColor="text1"/>
        </w:rPr>
        <w:t>À l</w:t>
      </w:r>
      <w:r w:rsidR="0009028A">
        <w:rPr>
          <w:rFonts w:ascii="Arial" w:hAnsi="Arial" w:cs="Arial"/>
          <w:color w:val="000000" w:themeColor="text1"/>
        </w:rPr>
        <w:t>’</w:t>
      </w:r>
      <w:r w:rsidRPr="00205E25">
        <w:rPr>
          <w:rFonts w:ascii="Arial" w:hAnsi="Arial" w:cs="Arial"/>
          <w:color w:val="000000" w:themeColor="text1"/>
        </w:rPr>
        <w:t>unanimité,</w:t>
      </w:r>
    </w:p>
    <w:p w14:paraId="6D715FC9" w14:textId="77777777" w:rsidR="0009028A" w:rsidRDefault="0009028A" w:rsidP="009E2D2E">
      <w:pPr>
        <w:rPr>
          <w:rFonts w:ascii="Arial" w:hAnsi="Arial" w:cs="Arial"/>
          <w:i/>
          <w:color w:val="000000" w:themeColor="text1"/>
        </w:rPr>
      </w:pPr>
    </w:p>
    <w:p w14:paraId="1DE997AF" w14:textId="2A889E5C" w:rsidR="0060770F" w:rsidRDefault="00E278A9" w:rsidP="009E2D2E">
      <w:pPr>
        <w:rPr>
          <w:rFonts w:ascii="Arial" w:hAnsi="Arial" w:cs="Arial"/>
          <w:i/>
          <w:color w:val="000000" w:themeColor="text1"/>
        </w:rPr>
      </w:pPr>
      <w:r w:rsidRPr="00205E25">
        <w:rPr>
          <w:rFonts w:ascii="Arial" w:hAnsi="Arial" w:cs="Arial"/>
          <w:i/>
          <w:color w:val="000000" w:themeColor="text1"/>
        </w:rPr>
        <w:t>Sur la compétence</w:t>
      </w:r>
    </w:p>
    <w:p w14:paraId="562FF75A" w14:textId="77777777" w:rsidR="0009028A" w:rsidRPr="00205E25" w:rsidRDefault="0009028A" w:rsidP="009E2D2E">
      <w:pPr>
        <w:rPr>
          <w:rFonts w:ascii="Arial" w:hAnsi="Arial" w:cs="Arial"/>
          <w:i/>
          <w:color w:val="000000" w:themeColor="text1"/>
        </w:rPr>
      </w:pPr>
    </w:p>
    <w:p w14:paraId="5B0C77D5" w14:textId="1475C474" w:rsidR="0060770F" w:rsidRPr="00205E25" w:rsidRDefault="00E278A9" w:rsidP="009E2D2E">
      <w:pPr>
        <w:rPr>
          <w:rFonts w:ascii="Arial" w:hAnsi="Arial" w:cs="Arial"/>
          <w:b/>
          <w:color w:val="000000" w:themeColor="text1"/>
        </w:rPr>
      </w:pPr>
      <w:r w:rsidRPr="00205E25">
        <w:rPr>
          <w:rFonts w:ascii="Arial" w:hAnsi="Arial" w:cs="Arial"/>
          <w:i/>
          <w:iCs/>
        </w:rPr>
        <w:t>Dit</w:t>
      </w:r>
      <w:r w:rsidRPr="00205E25">
        <w:rPr>
          <w:rFonts w:ascii="Arial" w:hAnsi="Arial" w:cs="Arial"/>
        </w:rPr>
        <w:t xml:space="preserve"> qu</w:t>
      </w:r>
      <w:r w:rsidR="0009028A">
        <w:rPr>
          <w:rFonts w:ascii="Arial" w:hAnsi="Arial" w:cs="Arial"/>
        </w:rPr>
        <w:t>’</w:t>
      </w:r>
      <w:r w:rsidRPr="00205E25">
        <w:rPr>
          <w:rFonts w:ascii="Arial" w:hAnsi="Arial" w:cs="Arial"/>
        </w:rPr>
        <w:t>elle est compétente.</w:t>
      </w:r>
    </w:p>
    <w:p w14:paraId="085DFCB3" w14:textId="77777777" w:rsidR="0060770F" w:rsidRPr="00205E25" w:rsidRDefault="0060770F" w:rsidP="009E2D2E">
      <w:pPr>
        <w:rPr>
          <w:rFonts w:ascii="Arial" w:hAnsi="Arial" w:cs="Arial"/>
          <w:b/>
        </w:rPr>
      </w:pPr>
    </w:p>
    <w:p w14:paraId="18B41C19" w14:textId="756CD669" w:rsidR="0060770F" w:rsidRDefault="00E278A9" w:rsidP="009E2D2E">
      <w:pPr>
        <w:rPr>
          <w:rFonts w:ascii="Arial" w:hAnsi="Arial" w:cs="Arial"/>
          <w:i/>
          <w:color w:val="000000" w:themeColor="text1"/>
        </w:rPr>
      </w:pPr>
      <w:r w:rsidRPr="00205E25">
        <w:rPr>
          <w:rFonts w:ascii="Arial" w:hAnsi="Arial" w:cs="Arial"/>
          <w:i/>
          <w:color w:val="000000" w:themeColor="text1"/>
        </w:rPr>
        <w:t>Sur la recevabilité</w:t>
      </w:r>
    </w:p>
    <w:p w14:paraId="6B6A7CE4" w14:textId="77777777" w:rsidR="0009028A" w:rsidRPr="00205E25" w:rsidRDefault="0009028A" w:rsidP="009E2D2E">
      <w:pPr>
        <w:rPr>
          <w:rFonts w:ascii="Arial" w:hAnsi="Arial" w:cs="Arial"/>
          <w:i/>
          <w:color w:val="000000" w:themeColor="text1"/>
        </w:rPr>
      </w:pPr>
    </w:p>
    <w:p w14:paraId="2354432A" w14:textId="2EA2AC1E" w:rsidR="0060770F" w:rsidRPr="00205E25" w:rsidRDefault="000129C8" w:rsidP="009E2D2E">
      <w:pPr>
        <w:rPr>
          <w:rFonts w:ascii="Arial" w:hAnsi="Arial" w:cs="Arial"/>
          <w:b/>
          <w:color w:val="000000" w:themeColor="text1"/>
        </w:rPr>
      </w:pPr>
      <w:r w:rsidRPr="00205E25">
        <w:rPr>
          <w:rFonts w:ascii="Arial" w:hAnsi="Arial" w:cs="Arial"/>
          <w:bCs/>
          <w:i/>
          <w:iCs/>
        </w:rPr>
        <w:t>Reçoit</w:t>
      </w:r>
      <w:r w:rsidRPr="00205E25">
        <w:rPr>
          <w:rFonts w:ascii="Arial" w:hAnsi="Arial" w:cs="Arial"/>
        </w:rPr>
        <w:t xml:space="preserve"> l</w:t>
      </w:r>
      <w:r w:rsidR="0009028A">
        <w:rPr>
          <w:rFonts w:ascii="Arial" w:hAnsi="Arial" w:cs="Arial"/>
        </w:rPr>
        <w:t>’</w:t>
      </w:r>
      <w:r w:rsidRPr="00205E25">
        <w:rPr>
          <w:rFonts w:ascii="Arial" w:hAnsi="Arial" w:cs="Arial"/>
        </w:rPr>
        <w:t>exception d</w:t>
      </w:r>
      <w:r w:rsidR="0009028A">
        <w:rPr>
          <w:rFonts w:ascii="Arial" w:hAnsi="Arial" w:cs="Arial"/>
        </w:rPr>
        <w:t>’</w:t>
      </w:r>
      <w:r w:rsidRPr="00205E25">
        <w:rPr>
          <w:rFonts w:ascii="Arial" w:hAnsi="Arial" w:cs="Arial"/>
        </w:rPr>
        <w:t>irrecevabilité tirée du non</w:t>
      </w:r>
      <w:r w:rsidR="0009028A">
        <w:rPr>
          <w:rFonts w:ascii="Arial" w:hAnsi="Arial" w:cs="Arial"/>
        </w:rPr>
        <w:t>-</w:t>
      </w:r>
      <w:r w:rsidRPr="00205E25">
        <w:rPr>
          <w:rFonts w:ascii="Arial" w:hAnsi="Arial" w:cs="Arial"/>
        </w:rPr>
        <w:t>épuisement des recours internes</w:t>
      </w:r>
      <w:r w:rsidR="00E204B5">
        <w:rPr>
          <w:rFonts w:ascii="Arial" w:hAnsi="Arial" w:cs="Arial"/>
        </w:rPr>
        <w:t> ;</w:t>
      </w:r>
    </w:p>
    <w:p w14:paraId="72A17A12" w14:textId="77777777" w:rsidR="0060770F" w:rsidRPr="00205E25" w:rsidRDefault="00E278A9" w:rsidP="009E2D2E">
      <w:pPr>
        <w:rPr>
          <w:rFonts w:ascii="Arial" w:hAnsi="Arial" w:cs="Arial"/>
          <w:b/>
          <w:color w:val="000000" w:themeColor="text1"/>
        </w:rPr>
      </w:pPr>
      <w:r w:rsidRPr="00205E25">
        <w:rPr>
          <w:rFonts w:ascii="Arial" w:hAnsi="Arial" w:cs="Arial"/>
          <w:i/>
          <w:iCs/>
        </w:rPr>
        <w:t>Déclare</w:t>
      </w:r>
      <w:r w:rsidRPr="00205E25">
        <w:rPr>
          <w:rFonts w:ascii="Arial" w:hAnsi="Arial" w:cs="Arial"/>
        </w:rPr>
        <w:t xml:space="preserve"> la Requête irrecevable.</w:t>
      </w:r>
    </w:p>
    <w:p w14:paraId="37D5003F" w14:textId="77777777" w:rsidR="0060770F" w:rsidRPr="00205E25" w:rsidRDefault="0060770F" w:rsidP="009E2D2E">
      <w:pPr>
        <w:rPr>
          <w:rFonts w:ascii="Arial" w:hAnsi="Arial" w:cs="Arial"/>
          <w:i/>
          <w:iCs/>
          <w:color w:val="000000" w:themeColor="text1"/>
        </w:rPr>
      </w:pPr>
    </w:p>
    <w:p w14:paraId="01774689" w14:textId="009E1813" w:rsidR="0060770F" w:rsidRDefault="00E278A9" w:rsidP="009E2D2E">
      <w:pPr>
        <w:rPr>
          <w:rFonts w:ascii="Arial" w:hAnsi="Arial" w:cs="Arial"/>
          <w:i/>
          <w:color w:val="000000" w:themeColor="text1"/>
        </w:rPr>
      </w:pPr>
      <w:r w:rsidRPr="00205E25">
        <w:rPr>
          <w:rFonts w:ascii="Arial" w:hAnsi="Arial" w:cs="Arial"/>
          <w:i/>
          <w:color w:val="000000" w:themeColor="text1"/>
        </w:rPr>
        <w:t>Sur les frais de procédure</w:t>
      </w:r>
    </w:p>
    <w:p w14:paraId="4C0E34F1" w14:textId="77777777" w:rsidR="0009028A" w:rsidRPr="00205E25" w:rsidRDefault="0009028A" w:rsidP="009E2D2E">
      <w:pPr>
        <w:rPr>
          <w:rFonts w:ascii="Arial" w:hAnsi="Arial" w:cs="Arial"/>
          <w:i/>
          <w:color w:val="000000" w:themeColor="text1"/>
        </w:rPr>
      </w:pPr>
    </w:p>
    <w:p w14:paraId="52086109" w14:textId="5CA68369" w:rsidR="0060770F" w:rsidRPr="00205E25" w:rsidRDefault="00E278A9" w:rsidP="009E2D2E">
      <w:pPr>
        <w:rPr>
          <w:rFonts w:ascii="Arial" w:hAnsi="Arial" w:cs="Arial"/>
          <w:color w:val="000000" w:themeColor="text1"/>
          <w:u w:val="single"/>
        </w:rPr>
      </w:pPr>
      <w:r w:rsidRPr="00205E25">
        <w:rPr>
          <w:rFonts w:ascii="Arial" w:hAnsi="Arial" w:cs="Arial"/>
          <w:i/>
          <w:iCs/>
        </w:rPr>
        <w:t>Ordonne</w:t>
      </w:r>
      <w:r w:rsidRPr="00205E25">
        <w:rPr>
          <w:rFonts w:ascii="Arial" w:hAnsi="Arial" w:cs="Arial"/>
        </w:rPr>
        <w:t xml:space="preserve"> que chaque Partie supporte ses frais de procédure</w:t>
      </w:r>
      <w:r w:rsidR="00E204B5">
        <w:rPr>
          <w:rFonts w:ascii="Arial" w:hAnsi="Arial" w:cs="Arial"/>
        </w:rPr>
        <w:t>.</w:t>
      </w:r>
    </w:p>
    <w:p w14:paraId="267F8158" w14:textId="77777777" w:rsidR="0060770F" w:rsidRPr="00205E25" w:rsidRDefault="0060770F" w:rsidP="009E2D2E">
      <w:pPr>
        <w:rPr>
          <w:rFonts w:ascii="Arial" w:hAnsi="Arial" w:cs="Arial"/>
        </w:rPr>
      </w:pPr>
    </w:p>
    <w:p w14:paraId="69CF61B5" w14:textId="77777777" w:rsidR="0060770F" w:rsidRPr="00205E25" w:rsidRDefault="0060770F" w:rsidP="009E2D2E">
      <w:pPr>
        <w:rPr>
          <w:rFonts w:ascii="Arial" w:hAnsi="Arial" w:cs="Arial"/>
          <w:b/>
        </w:rPr>
      </w:pPr>
    </w:p>
    <w:p w14:paraId="53E45AC8" w14:textId="77777777" w:rsidR="0060770F" w:rsidRPr="00205E25" w:rsidRDefault="00E278A9" w:rsidP="009E2D2E">
      <w:pPr>
        <w:rPr>
          <w:rFonts w:ascii="Arial" w:hAnsi="Arial" w:cs="Arial"/>
          <w:b/>
        </w:rPr>
      </w:pPr>
      <w:r w:rsidRPr="00205E25">
        <w:rPr>
          <w:rFonts w:ascii="Arial" w:hAnsi="Arial" w:cs="Arial"/>
          <w:b/>
        </w:rPr>
        <w:t>Ont signé :</w:t>
      </w:r>
    </w:p>
    <w:p w14:paraId="7A7B986C" w14:textId="77777777" w:rsidR="0060770F" w:rsidRPr="00205E25" w:rsidRDefault="0060770F" w:rsidP="009E2D2E">
      <w:pPr>
        <w:rPr>
          <w:rFonts w:ascii="Arial" w:hAnsi="Arial" w:cs="Arial"/>
        </w:rPr>
      </w:pPr>
    </w:p>
    <w:p w14:paraId="72936B68" w14:textId="77777777" w:rsidR="0060770F" w:rsidRPr="00205E25" w:rsidRDefault="00E278A9" w:rsidP="009E2D2E">
      <w:pPr>
        <w:rPr>
          <w:rFonts w:ascii="Arial" w:hAnsi="Arial" w:cs="Arial"/>
        </w:rPr>
      </w:pPr>
      <w:r w:rsidRPr="00205E25">
        <w:rPr>
          <w:rFonts w:ascii="Arial" w:hAnsi="Arial" w:cs="Arial"/>
        </w:rPr>
        <w:t>Imani D. ABOUD, Présidente ;</w:t>
      </w:r>
    </w:p>
    <w:p w14:paraId="1C8C5E82" w14:textId="77777777" w:rsidR="0060770F" w:rsidRPr="00205E25" w:rsidRDefault="0060770F" w:rsidP="009E2D2E">
      <w:pPr>
        <w:rPr>
          <w:rFonts w:ascii="Arial" w:hAnsi="Arial" w:cs="Arial"/>
        </w:rPr>
      </w:pPr>
    </w:p>
    <w:p w14:paraId="50126017" w14:textId="77777777" w:rsidR="0060770F" w:rsidRPr="00205E25" w:rsidRDefault="00E278A9" w:rsidP="009E2D2E">
      <w:pPr>
        <w:rPr>
          <w:rFonts w:ascii="Arial" w:hAnsi="Arial" w:cs="Arial"/>
        </w:rPr>
      </w:pPr>
      <w:r w:rsidRPr="00205E25">
        <w:rPr>
          <w:rFonts w:ascii="Arial" w:hAnsi="Arial" w:cs="Arial"/>
        </w:rPr>
        <w:t>Blaise TCHIKAYA, Vice-président ;</w:t>
      </w:r>
    </w:p>
    <w:p w14:paraId="6BFD3B67" w14:textId="77777777" w:rsidR="0060770F" w:rsidRPr="00205E25" w:rsidRDefault="0060770F" w:rsidP="009E2D2E">
      <w:pPr>
        <w:rPr>
          <w:rFonts w:ascii="Arial" w:hAnsi="Arial" w:cs="Arial"/>
        </w:rPr>
      </w:pPr>
    </w:p>
    <w:p w14:paraId="6CDCD195" w14:textId="77777777" w:rsidR="0060770F" w:rsidRPr="00205E25" w:rsidRDefault="00E278A9" w:rsidP="009E2D2E">
      <w:pPr>
        <w:rPr>
          <w:rFonts w:ascii="Arial" w:hAnsi="Arial" w:cs="Arial"/>
        </w:rPr>
      </w:pPr>
      <w:r w:rsidRPr="00205E25">
        <w:rPr>
          <w:rFonts w:ascii="Arial" w:hAnsi="Arial" w:cs="Arial"/>
        </w:rPr>
        <w:t>Ben KIOKO, Juge ;</w:t>
      </w:r>
    </w:p>
    <w:p w14:paraId="6E612202" w14:textId="77777777" w:rsidR="0060770F" w:rsidRPr="00205E25" w:rsidRDefault="0060770F" w:rsidP="009E2D2E">
      <w:pPr>
        <w:rPr>
          <w:rFonts w:ascii="Arial" w:hAnsi="Arial" w:cs="Arial"/>
        </w:rPr>
      </w:pPr>
    </w:p>
    <w:p w14:paraId="1F62A1B0" w14:textId="77777777" w:rsidR="0060770F" w:rsidRPr="00205E25" w:rsidRDefault="00E278A9" w:rsidP="009E2D2E">
      <w:pPr>
        <w:rPr>
          <w:rFonts w:ascii="Arial" w:hAnsi="Arial" w:cs="Arial"/>
        </w:rPr>
      </w:pPr>
      <w:r w:rsidRPr="00205E25">
        <w:rPr>
          <w:rFonts w:ascii="Arial" w:hAnsi="Arial" w:cs="Arial"/>
        </w:rPr>
        <w:t>Rafaâ BEN ACHOUR, Juge ;</w:t>
      </w:r>
    </w:p>
    <w:p w14:paraId="25E19343" w14:textId="77777777" w:rsidR="0060770F" w:rsidRPr="00205E25" w:rsidRDefault="0060770F" w:rsidP="009E2D2E">
      <w:pPr>
        <w:rPr>
          <w:rFonts w:ascii="Arial" w:hAnsi="Arial" w:cs="Arial"/>
        </w:rPr>
      </w:pPr>
    </w:p>
    <w:p w14:paraId="59DB3F44" w14:textId="77777777" w:rsidR="0060770F" w:rsidRPr="00205E25" w:rsidRDefault="00E278A9" w:rsidP="009E2D2E">
      <w:pPr>
        <w:rPr>
          <w:rFonts w:ascii="Arial" w:hAnsi="Arial" w:cs="Arial"/>
        </w:rPr>
      </w:pPr>
      <w:r w:rsidRPr="00205E25">
        <w:rPr>
          <w:rFonts w:ascii="Arial" w:hAnsi="Arial" w:cs="Arial"/>
        </w:rPr>
        <w:t>Suzanne MENGUE, Juge ;</w:t>
      </w:r>
    </w:p>
    <w:p w14:paraId="4B16E9F2" w14:textId="77777777" w:rsidR="0060770F" w:rsidRPr="00205E25" w:rsidRDefault="0060770F" w:rsidP="009E2D2E">
      <w:pPr>
        <w:rPr>
          <w:rFonts w:ascii="Arial" w:hAnsi="Arial" w:cs="Arial"/>
        </w:rPr>
      </w:pPr>
    </w:p>
    <w:p w14:paraId="4919C560" w14:textId="77777777" w:rsidR="0060770F" w:rsidRPr="00205E25" w:rsidRDefault="00E278A9" w:rsidP="009E2D2E">
      <w:pPr>
        <w:rPr>
          <w:rFonts w:ascii="Arial" w:hAnsi="Arial" w:cs="Arial"/>
        </w:rPr>
      </w:pPr>
      <w:r w:rsidRPr="00205E25">
        <w:rPr>
          <w:rFonts w:ascii="Arial" w:hAnsi="Arial" w:cs="Arial"/>
        </w:rPr>
        <w:t>Tujilane R. CHIZUMILA, Juge ;</w:t>
      </w:r>
    </w:p>
    <w:p w14:paraId="7CB5D341" w14:textId="77777777" w:rsidR="0060770F" w:rsidRPr="00205E25" w:rsidRDefault="0060770F" w:rsidP="009E2D2E">
      <w:pPr>
        <w:rPr>
          <w:rFonts w:ascii="Arial" w:hAnsi="Arial" w:cs="Arial"/>
        </w:rPr>
      </w:pPr>
    </w:p>
    <w:p w14:paraId="66766D95" w14:textId="77777777" w:rsidR="0060770F" w:rsidRPr="00205E25" w:rsidRDefault="00E278A9" w:rsidP="009E2D2E">
      <w:pPr>
        <w:rPr>
          <w:rFonts w:ascii="Arial" w:hAnsi="Arial" w:cs="Arial"/>
        </w:rPr>
      </w:pPr>
      <w:r w:rsidRPr="00205E25">
        <w:rPr>
          <w:rFonts w:ascii="Arial" w:hAnsi="Arial" w:cs="Arial"/>
        </w:rPr>
        <w:t>Chafika BENSAOULA, Juge ;</w:t>
      </w:r>
    </w:p>
    <w:p w14:paraId="6856C877" w14:textId="77777777" w:rsidR="0060770F" w:rsidRPr="00205E25" w:rsidRDefault="0060770F" w:rsidP="009E2D2E">
      <w:pPr>
        <w:rPr>
          <w:rFonts w:ascii="Arial" w:hAnsi="Arial" w:cs="Arial"/>
        </w:rPr>
      </w:pPr>
    </w:p>
    <w:p w14:paraId="6455672D" w14:textId="77777777" w:rsidR="0060770F" w:rsidRPr="00205E25" w:rsidRDefault="00E278A9" w:rsidP="009E2D2E">
      <w:pPr>
        <w:rPr>
          <w:rFonts w:ascii="Arial" w:hAnsi="Arial" w:cs="Arial"/>
        </w:rPr>
      </w:pPr>
      <w:r w:rsidRPr="00205E25">
        <w:rPr>
          <w:rFonts w:ascii="Arial" w:hAnsi="Arial" w:cs="Arial"/>
        </w:rPr>
        <w:t>Stella I. ANUKAM, Juge ;</w:t>
      </w:r>
    </w:p>
    <w:p w14:paraId="3B642368" w14:textId="77777777" w:rsidR="0060770F" w:rsidRPr="00205E25" w:rsidRDefault="0060770F" w:rsidP="009E2D2E">
      <w:pPr>
        <w:rPr>
          <w:rFonts w:ascii="Arial" w:hAnsi="Arial" w:cs="Arial"/>
        </w:rPr>
      </w:pPr>
    </w:p>
    <w:p w14:paraId="0BAF2281" w14:textId="77777777" w:rsidR="0060770F" w:rsidRPr="00205E25" w:rsidRDefault="00E278A9" w:rsidP="009E2D2E">
      <w:pPr>
        <w:rPr>
          <w:rFonts w:ascii="Arial" w:hAnsi="Arial" w:cs="Arial"/>
        </w:rPr>
      </w:pPr>
      <w:r w:rsidRPr="00205E25">
        <w:rPr>
          <w:rFonts w:ascii="Arial" w:hAnsi="Arial" w:cs="Arial"/>
        </w:rPr>
        <w:t>Dumisa B. NTSEBEZA, Juge ;</w:t>
      </w:r>
    </w:p>
    <w:p w14:paraId="58CB5A8C" w14:textId="77777777" w:rsidR="0060770F" w:rsidRPr="00205E25" w:rsidRDefault="0060770F" w:rsidP="009E2D2E">
      <w:pPr>
        <w:rPr>
          <w:rFonts w:ascii="Arial" w:hAnsi="Arial" w:cs="Arial"/>
        </w:rPr>
      </w:pPr>
    </w:p>
    <w:p w14:paraId="0C5D82BB" w14:textId="77777777" w:rsidR="0060770F" w:rsidRPr="00205E25" w:rsidRDefault="00E278A9" w:rsidP="009E2D2E">
      <w:pPr>
        <w:rPr>
          <w:rFonts w:ascii="Arial" w:hAnsi="Arial" w:cs="Arial"/>
        </w:rPr>
      </w:pPr>
      <w:r w:rsidRPr="00205E25">
        <w:rPr>
          <w:rFonts w:ascii="Arial" w:hAnsi="Arial" w:cs="Arial"/>
        </w:rPr>
        <w:t>Dennis D. ADJEI, Juge ;</w:t>
      </w:r>
    </w:p>
    <w:p w14:paraId="7A6CF98D" w14:textId="77777777" w:rsidR="0060770F" w:rsidRPr="00205E25" w:rsidRDefault="0060770F" w:rsidP="009E2D2E">
      <w:pPr>
        <w:rPr>
          <w:rFonts w:ascii="Arial" w:hAnsi="Arial" w:cs="Arial"/>
        </w:rPr>
      </w:pPr>
    </w:p>
    <w:p w14:paraId="41AE8A36" w14:textId="42B7F75F" w:rsidR="0060770F" w:rsidRPr="00205E25" w:rsidRDefault="00E278A9" w:rsidP="009E2D2E">
      <w:pPr>
        <w:rPr>
          <w:rFonts w:ascii="Arial" w:hAnsi="Arial" w:cs="Arial"/>
        </w:rPr>
      </w:pPr>
      <w:r w:rsidRPr="00205E25">
        <w:rPr>
          <w:rFonts w:ascii="Arial" w:hAnsi="Arial" w:cs="Arial"/>
        </w:rPr>
        <w:t>et Robert ENO, Greffier.</w:t>
      </w:r>
      <w:r w:rsidR="00B92495" w:rsidRPr="00205E25">
        <w:rPr>
          <w:rFonts w:ascii="Arial" w:hAnsi="Arial" w:cs="Arial"/>
        </w:rPr>
        <w:t xml:space="preserve"> </w:t>
      </w:r>
    </w:p>
    <w:p w14:paraId="5FF91A59" w14:textId="77777777" w:rsidR="0060770F" w:rsidRPr="00205E25" w:rsidRDefault="0060770F" w:rsidP="009E2D2E">
      <w:pPr>
        <w:rPr>
          <w:rFonts w:ascii="Arial" w:hAnsi="Arial" w:cs="Arial"/>
        </w:rPr>
      </w:pPr>
    </w:p>
    <w:p w14:paraId="7274B546" w14:textId="77777777" w:rsidR="0060770F" w:rsidRPr="00205E25" w:rsidRDefault="0060770F" w:rsidP="009E2D2E">
      <w:pPr>
        <w:rPr>
          <w:rFonts w:ascii="Arial" w:hAnsi="Arial" w:cs="Arial"/>
        </w:rPr>
      </w:pPr>
    </w:p>
    <w:p w14:paraId="025B42AF" w14:textId="0C9D23D9" w:rsidR="0060770F" w:rsidRDefault="00E278A9" w:rsidP="009E2D2E">
      <w:pPr>
        <w:rPr>
          <w:rFonts w:ascii="Arial" w:hAnsi="Arial" w:cs="Arial"/>
        </w:rPr>
      </w:pPr>
      <w:r w:rsidRPr="00205E25">
        <w:rPr>
          <w:rFonts w:ascii="Arial" w:hAnsi="Arial" w:cs="Arial"/>
        </w:rPr>
        <w:t>Fait à Arusha, ce premier jour du mois de décembre de l</w:t>
      </w:r>
      <w:r w:rsidR="0009028A">
        <w:rPr>
          <w:rFonts w:ascii="Arial" w:hAnsi="Arial" w:cs="Arial"/>
        </w:rPr>
        <w:t>’</w:t>
      </w:r>
      <w:r w:rsidRPr="00205E25">
        <w:rPr>
          <w:rFonts w:ascii="Arial" w:hAnsi="Arial" w:cs="Arial"/>
        </w:rPr>
        <w:t>an deux mille vingt-deux, en arabe, en anglais et en français, le texte français faisant foi.</w:t>
      </w:r>
    </w:p>
    <w:p w14:paraId="59C7EEFD" w14:textId="35EA990A" w:rsidR="0060770F" w:rsidRDefault="0060770F" w:rsidP="009E2D2E">
      <w:pPr>
        <w:rPr>
          <w:rFonts w:ascii="Arial" w:hAnsi="Arial" w:cs="Arial"/>
        </w:rPr>
      </w:pPr>
    </w:p>
    <w:p w14:paraId="03FDE7E2" w14:textId="3EB57503" w:rsidR="00D94A28" w:rsidRDefault="00D94A28" w:rsidP="009E2D2E">
      <w:pPr>
        <w:rPr>
          <w:rFonts w:ascii="Arial" w:hAnsi="Arial" w:cs="Arial"/>
        </w:rPr>
      </w:pPr>
      <w:r>
        <w:rPr>
          <w:rFonts w:ascii="Arial" w:hAnsi="Arial" w:cs="Arial"/>
        </w:rPr>
        <w:br w:type="page"/>
      </w:r>
    </w:p>
    <w:p w14:paraId="63F0DA1E" w14:textId="77777777" w:rsidR="00D94A28" w:rsidRPr="0072103A" w:rsidRDefault="00D94A28" w:rsidP="009E2D2E">
      <w:pPr>
        <w:rPr>
          <w:rFonts w:ascii="Simplified Arabic" w:hAnsi="Simplified Arabic" w:cs="Simplified Arabic"/>
          <w:sz w:val="28"/>
          <w:szCs w:val="28"/>
          <w:rtl/>
          <w:lang w:bidi="ar-EG"/>
        </w:rPr>
      </w:pPr>
      <w:r w:rsidRPr="00FD7D0C">
        <w:rPr>
          <w:rFonts w:ascii="Simplified Arabic" w:hAnsi="Simplified Arabic" w:cs="Simplified Arabic"/>
          <w:noProof/>
          <w:sz w:val="28"/>
          <w:szCs w:val="28"/>
          <w:rtl/>
          <w:lang w:eastAsia="fr-FR"/>
        </w:rPr>
        <w:lastRenderedPageBreak/>
        <w:drawing>
          <wp:inline distT="0" distB="0" distL="0" distR="0" wp14:anchorId="2D92994A" wp14:editId="6C0F7E9A">
            <wp:extent cx="6057900" cy="775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8814" r="1762"/>
                    <a:stretch/>
                  </pic:blipFill>
                  <pic:spPr bwMode="auto">
                    <a:xfrm>
                      <a:off x="0" y="0"/>
                      <a:ext cx="6057900" cy="7753350"/>
                    </a:xfrm>
                    <a:prstGeom prst="rect">
                      <a:avLst/>
                    </a:prstGeom>
                    <a:noFill/>
                    <a:ln>
                      <a:noFill/>
                    </a:ln>
                    <a:extLst>
                      <a:ext uri="{53640926-AAD7-44D8-BBD7-CCE9431645EC}">
                        <a14:shadowObscured xmlns:a14="http://schemas.microsoft.com/office/drawing/2010/main"/>
                      </a:ext>
                    </a:extLst>
                  </pic:spPr>
                </pic:pic>
              </a:graphicData>
            </a:graphic>
          </wp:inline>
        </w:drawing>
      </w:r>
    </w:p>
    <w:p w14:paraId="29ECA603" w14:textId="77777777" w:rsidR="00D94A28" w:rsidRPr="0072103A" w:rsidRDefault="00D94A28" w:rsidP="009E2D2E">
      <w:pPr>
        <w:rPr>
          <w:rFonts w:ascii="Simplified Arabic" w:hAnsi="Simplified Arabic" w:cs="Simplified Arabic"/>
          <w:sz w:val="28"/>
          <w:szCs w:val="28"/>
          <w:rtl/>
          <w:lang w:bidi="ar-EG"/>
        </w:rPr>
      </w:pPr>
    </w:p>
    <w:p w14:paraId="76A99741" w14:textId="77777777" w:rsidR="00D94A28" w:rsidRDefault="00D94A28" w:rsidP="009E2D2E">
      <w:pPr>
        <w:rPr>
          <w:rFonts w:ascii="Simplified Arabic" w:hAnsi="Simplified Arabic" w:cs="Simplified Arabic"/>
          <w:sz w:val="28"/>
          <w:szCs w:val="28"/>
          <w:rtl/>
          <w:lang w:bidi="ar-EG"/>
        </w:rPr>
      </w:pPr>
    </w:p>
    <w:p w14:paraId="631C9478" w14:textId="77777777" w:rsidR="00D94A28" w:rsidRDefault="00D94A28" w:rsidP="009E2D2E">
      <w:pPr>
        <w:rPr>
          <w:rFonts w:ascii="Simplified Arabic" w:hAnsi="Simplified Arabic" w:cs="Simplified Arabic"/>
          <w:sz w:val="28"/>
          <w:szCs w:val="28"/>
          <w:rtl/>
          <w:lang w:bidi="ar-EG"/>
        </w:rPr>
      </w:pPr>
      <w:r w:rsidRPr="00FD7D0C">
        <w:rPr>
          <w:rFonts w:ascii="Simplified Arabic" w:hAnsi="Simplified Arabic" w:cs="Simplified Arabic"/>
          <w:noProof/>
          <w:sz w:val="28"/>
          <w:szCs w:val="28"/>
          <w:rtl/>
          <w:lang w:eastAsia="fr-FR"/>
        </w:rPr>
        <w:lastRenderedPageBreak/>
        <w:drawing>
          <wp:inline distT="0" distB="0" distL="0" distR="0" wp14:anchorId="2978C82B" wp14:editId="19A3D498">
            <wp:extent cx="5867400" cy="607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8814" r="4648" b="23362"/>
                    <a:stretch/>
                  </pic:blipFill>
                  <pic:spPr bwMode="auto">
                    <a:xfrm>
                      <a:off x="0" y="0"/>
                      <a:ext cx="5867400" cy="6076950"/>
                    </a:xfrm>
                    <a:prstGeom prst="rect">
                      <a:avLst/>
                    </a:prstGeom>
                    <a:noFill/>
                    <a:ln>
                      <a:noFill/>
                    </a:ln>
                    <a:extLst>
                      <a:ext uri="{53640926-AAD7-44D8-BBD7-CCE9431645EC}">
                        <a14:shadowObscured xmlns:a14="http://schemas.microsoft.com/office/drawing/2010/main"/>
                      </a:ext>
                    </a:extLst>
                  </pic:spPr>
                </pic:pic>
              </a:graphicData>
            </a:graphic>
          </wp:inline>
        </w:drawing>
      </w:r>
    </w:p>
    <w:p w14:paraId="5A78A32C" w14:textId="77777777" w:rsidR="00D94A28" w:rsidRDefault="00D94A28" w:rsidP="009E2D2E">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6118B82F" w14:textId="77777777" w:rsidR="00D94A28" w:rsidRDefault="00D94A28" w:rsidP="009E2D2E">
      <w:pPr>
        <w:rPr>
          <w:rFonts w:ascii="Simplified Arabic" w:hAnsi="Simplified Arabic" w:cs="Simplified Arabic"/>
          <w:sz w:val="28"/>
          <w:szCs w:val="28"/>
          <w:rtl/>
          <w:lang w:bidi="ar-EG"/>
        </w:rPr>
      </w:pPr>
      <w:r w:rsidRPr="00FD7D0C">
        <w:rPr>
          <w:rFonts w:ascii="Simplified Arabic" w:hAnsi="Simplified Arabic" w:cs="Simplified Arabic"/>
          <w:noProof/>
          <w:sz w:val="28"/>
          <w:szCs w:val="28"/>
          <w:rtl/>
          <w:lang w:eastAsia="fr-FR"/>
        </w:rPr>
        <w:lastRenderedPageBreak/>
        <w:drawing>
          <wp:inline distT="0" distB="0" distL="0" distR="0" wp14:anchorId="3D1F7CD2" wp14:editId="7C046791">
            <wp:extent cx="6000750" cy="7448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091" r="4808"/>
                    <a:stretch/>
                  </pic:blipFill>
                  <pic:spPr bwMode="auto">
                    <a:xfrm>
                      <a:off x="0" y="0"/>
                      <a:ext cx="6000750" cy="7448550"/>
                    </a:xfrm>
                    <a:prstGeom prst="rect">
                      <a:avLst/>
                    </a:prstGeom>
                    <a:noFill/>
                    <a:ln>
                      <a:noFill/>
                    </a:ln>
                    <a:extLst>
                      <a:ext uri="{53640926-AAD7-44D8-BBD7-CCE9431645EC}">
                        <a14:shadowObscured xmlns:a14="http://schemas.microsoft.com/office/drawing/2010/main"/>
                      </a:ext>
                    </a:extLst>
                  </pic:spPr>
                </pic:pic>
              </a:graphicData>
            </a:graphic>
          </wp:inline>
        </w:drawing>
      </w:r>
    </w:p>
    <w:p w14:paraId="0C5EBDD1" w14:textId="77777777" w:rsidR="00D94A28" w:rsidRDefault="00D94A28" w:rsidP="009E2D2E">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29A4AD21" w14:textId="77777777" w:rsidR="00D94A28" w:rsidRPr="0072103A" w:rsidRDefault="00D94A28" w:rsidP="009E2D2E">
      <w:pPr>
        <w:rPr>
          <w:rFonts w:ascii="Simplified Arabic" w:hAnsi="Simplified Arabic" w:cs="Simplified Arabic"/>
          <w:sz w:val="28"/>
          <w:szCs w:val="28"/>
          <w:lang w:bidi="ar-EG"/>
        </w:rPr>
      </w:pPr>
      <w:r w:rsidRPr="00FD7D0C">
        <w:rPr>
          <w:rFonts w:ascii="Simplified Arabic" w:hAnsi="Simplified Arabic" w:cs="Simplified Arabic"/>
          <w:noProof/>
          <w:sz w:val="28"/>
          <w:szCs w:val="28"/>
          <w:rtl/>
          <w:lang w:eastAsia="fr-FR"/>
        </w:rPr>
        <w:lastRenderedPageBreak/>
        <w:drawing>
          <wp:inline distT="0" distB="0" distL="0" distR="0" wp14:anchorId="5006195D" wp14:editId="1507F003">
            <wp:extent cx="5886450" cy="649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096" r="5288"/>
                    <a:stretch/>
                  </pic:blipFill>
                  <pic:spPr bwMode="auto">
                    <a:xfrm>
                      <a:off x="0" y="0"/>
                      <a:ext cx="5886450" cy="6496050"/>
                    </a:xfrm>
                    <a:prstGeom prst="rect">
                      <a:avLst/>
                    </a:prstGeom>
                    <a:noFill/>
                    <a:ln>
                      <a:noFill/>
                    </a:ln>
                    <a:extLst>
                      <a:ext uri="{53640926-AAD7-44D8-BBD7-CCE9431645EC}">
                        <a14:shadowObscured xmlns:a14="http://schemas.microsoft.com/office/drawing/2010/main"/>
                      </a:ext>
                    </a:extLst>
                  </pic:spPr>
                </pic:pic>
              </a:graphicData>
            </a:graphic>
          </wp:inline>
        </w:drawing>
      </w:r>
    </w:p>
    <w:p w14:paraId="5256B880" w14:textId="77777777" w:rsidR="00D94A28" w:rsidRDefault="00D94A28" w:rsidP="009E2D2E">
      <w:pPr>
        <w:rPr>
          <w:rFonts w:ascii="Arial" w:hAnsi="Arial" w:cs="Arial"/>
        </w:rPr>
      </w:pPr>
    </w:p>
    <w:sectPr w:rsidR="00D94A28" w:rsidSect="00F414DC">
      <w:footerReference w:type="first" r:id="rId18"/>
      <w:pgSz w:w="11906" w:h="16838"/>
      <w:pgMar w:top="1418" w:right="1418" w:bottom="1418"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05801" w14:textId="77777777" w:rsidR="00966566" w:rsidRDefault="00966566">
      <w:pPr>
        <w:spacing w:line="240" w:lineRule="auto"/>
      </w:pPr>
      <w:r>
        <w:separator/>
      </w:r>
    </w:p>
  </w:endnote>
  <w:endnote w:type="continuationSeparator" w:id="0">
    <w:p w14:paraId="24559876" w14:textId="77777777" w:rsidR="00966566" w:rsidRDefault="009665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implified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4"/>
        <w:szCs w:val="24"/>
      </w:rPr>
      <w:id w:val="1450976185"/>
    </w:sdtPr>
    <w:sdtContent>
      <w:p w14:paraId="2C42A0AA" w14:textId="574EE49D" w:rsidR="0060770F" w:rsidRDefault="00E278A9">
        <w:pPr>
          <w:pStyle w:val="Footer"/>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127593">
          <w:rPr>
            <w:rFonts w:ascii="Arial" w:hAnsi="Arial" w:cs="Arial"/>
            <w:noProof/>
            <w:sz w:val="24"/>
            <w:szCs w:val="24"/>
          </w:rPr>
          <w:t>3</w:t>
        </w:r>
        <w:r>
          <w:rPr>
            <w:rFonts w:ascii="Arial" w:hAnsi="Arial" w:cs="Arial"/>
            <w:sz w:val="24"/>
            <w:szCs w:val="24"/>
          </w:rPr>
          <w:fldChar w:fldCharType="end"/>
        </w:r>
      </w:p>
    </w:sdtContent>
  </w:sdt>
  <w:p w14:paraId="131A70AD" w14:textId="77777777" w:rsidR="0060770F" w:rsidRDefault="0060770F">
    <w:pPr>
      <w:pStyle w:val="Footer"/>
      <w:rPr>
        <w:rFonts w:ascii="Arial" w:hAnsi="Arial" w:cs="Arial"/>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4683607"/>
    </w:sdtPr>
    <w:sdtEndPr>
      <w:rPr>
        <w:rFonts w:ascii="Arial" w:hAnsi="Arial" w:cs="Arial"/>
        <w:sz w:val="24"/>
        <w:szCs w:val="24"/>
      </w:rPr>
    </w:sdtEndPr>
    <w:sdtContent>
      <w:p w14:paraId="07AC7972" w14:textId="3C96974D" w:rsidR="0060770F" w:rsidRDefault="00E278A9">
        <w:pPr>
          <w:pStyle w:val="Footer"/>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127593">
          <w:rPr>
            <w:rFonts w:ascii="Arial" w:hAnsi="Arial" w:cs="Arial"/>
            <w:noProof/>
            <w:sz w:val="24"/>
            <w:szCs w:val="24"/>
          </w:rPr>
          <w:t>i</w:t>
        </w:r>
        <w:r>
          <w:rPr>
            <w:rFonts w:ascii="Arial" w:hAnsi="Arial" w:cs="Arial"/>
            <w:sz w:val="24"/>
            <w:szCs w:val="24"/>
          </w:rPr>
          <w:fldChar w:fldCharType="end"/>
        </w:r>
      </w:p>
    </w:sdtContent>
  </w:sdt>
  <w:p w14:paraId="7EBBC96D" w14:textId="77777777" w:rsidR="0060770F" w:rsidRDefault="00607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01190"/>
    </w:sdtPr>
    <w:sdtEndPr>
      <w:rPr>
        <w:rFonts w:ascii="Arial" w:hAnsi="Arial" w:cs="Arial"/>
        <w:sz w:val="24"/>
        <w:szCs w:val="24"/>
      </w:rPr>
    </w:sdtEndPr>
    <w:sdtContent>
      <w:p w14:paraId="02C9709B" w14:textId="7BFB5183" w:rsidR="0060770F" w:rsidRDefault="00E278A9">
        <w:pPr>
          <w:pStyle w:val="Footer"/>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127593">
          <w:rPr>
            <w:rFonts w:ascii="Arial" w:hAnsi="Arial" w:cs="Arial"/>
            <w:noProof/>
            <w:sz w:val="24"/>
            <w:szCs w:val="24"/>
          </w:rPr>
          <w:t>1</w:t>
        </w:r>
        <w:r>
          <w:rPr>
            <w:rFonts w:ascii="Arial" w:hAnsi="Arial" w:cs="Arial"/>
            <w:sz w:val="24"/>
            <w:szCs w:val="24"/>
          </w:rPr>
          <w:fldChar w:fldCharType="end"/>
        </w:r>
      </w:p>
    </w:sdtContent>
  </w:sdt>
  <w:p w14:paraId="04F1A761" w14:textId="77777777" w:rsidR="0060770F" w:rsidRDefault="0060770F">
    <w:pPr>
      <w:pStyle w:val="Foo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D4203" w14:textId="77777777" w:rsidR="00966566" w:rsidRDefault="00966566">
      <w:pPr>
        <w:spacing w:after="0"/>
      </w:pPr>
      <w:r>
        <w:separator/>
      </w:r>
    </w:p>
  </w:footnote>
  <w:footnote w:type="continuationSeparator" w:id="0">
    <w:p w14:paraId="339CF9B6" w14:textId="77777777" w:rsidR="00966566" w:rsidRDefault="00966566">
      <w:pPr>
        <w:spacing w:after="0"/>
      </w:pPr>
      <w:r>
        <w:continuationSeparator/>
      </w:r>
    </w:p>
  </w:footnote>
  <w:footnote w:id="1">
    <w:p w14:paraId="546F8EC4" w14:textId="77777777" w:rsidR="0060770F" w:rsidRPr="00B34106" w:rsidRDefault="00E278A9" w:rsidP="00B34106">
      <w:pPr>
        <w:pStyle w:val="FootnoteText"/>
        <w:jc w:val="both"/>
        <w:rPr>
          <w:rFonts w:ascii="Arial" w:hAnsi="Arial" w:cs="Arial"/>
          <w:rtl/>
        </w:rPr>
      </w:pPr>
      <w:r w:rsidRPr="00B34106">
        <w:rPr>
          <w:rStyle w:val="FootnoteReference"/>
          <w:rFonts w:ascii="Arial" w:hAnsi="Arial" w:cs="Arial"/>
          <w:lang w:val="en-GB"/>
        </w:rPr>
        <w:footnoteRef/>
      </w:r>
      <w:r w:rsidRPr="00B34106">
        <w:rPr>
          <w:rFonts w:ascii="Arial" w:hAnsi="Arial" w:cs="Arial"/>
        </w:rPr>
        <w:t xml:space="preserve"> Article 8(2) du Règlement intérieur de la Cour du 2 juin 2010.</w:t>
      </w:r>
    </w:p>
  </w:footnote>
  <w:footnote w:id="2">
    <w:p w14:paraId="56C4C946" w14:textId="670DDDC4" w:rsidR="0060770F" w:rsidRPr="00B34106" w:rsidRDefault="00E278A9" w:rsidP="00B34106">
      <w:pPr>
        <w:pStyle w:val="FootnoteText"/>
        <w:jc w:val="both"/>
        <w:rPr>
          <w:rFonts w:ascii="Arial" w:hAnsi="Arial" w:cs="Arial"/>
        </w:rPr>
      </w:pPr>
      <w:r w:rsidRPr="00B34106">
        <w:rPr>
          <w:rStyle w:val="FootnoteReference"/>
          <w:rFonts w:ascii="Arial" w:hAnsi="Arial" w:cs="Arial"/>
        </w:rPr>
        <w:footnoteRef/>
      </w:r>
      <w:r w:rsidRPr="00B34106">
        <w:rPr>
          <w:rFonts w:ascii="Arial" w:hAnsi="Arial" w:cs="Arial"/>
        </w:rPr>
        <w:t xml:space="preserve"> Voir la liste des travailleurs en annexe</w:t>
      </w:r>
      <w:r w:rsidR="005A237D">
        <w:rPr>
          <w:rFonts w:ascii="Arial" w:hAnsi="Arial" w:cs="Arial"/>
        </w:rPr>
        <w:t>.</w:t>
      </w:r>
    </w:p>
  </w:footnote>
  <w:footnote w:id="3">
    <w:p w14:paraId="566A54A0" w14:textId="6262149B" w:rsidR="0060770F" w:rsidRPr="00B34106" w:rsidRDefault="00E278A9" w:rsidP="00B34106">
      <w:pPr>
        <w:pStyle w:val="FootnoteText"/>
        <w:jc w:val="both"/>
        <w:rPr>
          <w:rFonts w:ascii="Arial" w:hAnsi="Arial" w:cs="Arial"/>
          <w:rtl/>
        </w:rPr>
      </w:pPr>
      <w:r w:rsidRPr="00B34106">
        <w:rPr>
          <w:rStyle w:val="FootnoteReference"/>
          <w:rFonts w:ascii="Arial" w:hAnsi="Arial" w:cs="Arial"/>
          <w:lang w:val="en-GB"/>
        </w:rPr>
        <w:footnoteRef/>
      </w:r>
      <w:r w:rsidRPr="00B34106">
        <w:rPr>
          <w:rFonts w:ascii="Arial" w:hAnsi="Arial" w:cs="Arial"/>
        </w:rPr>
        <w:t xml:space="preserve"> L</w:t>
      </w:r>
      <w:r w:rsidR="0009028A">
        <w:rPr>
          <w:rFonts w:ascii="Arial" w:hAnsi="Arial" w:cs="Arial"/>
        </w:rPr>
        <w:t>’</w:t>
      </w:r>
      <w:r w:rsidRPr="00B34106">
        <w:rPr>
          <w:rFonts w:ascii="Arial" w:hAnsi="Arial" w:cs="Arial"/>
        </w:rPr>
        <w:t>État défendeur est devenu partie à la Convention de l</w:t>
      </w:r>
      <w:r w:rsidR="0009028A">
        <w:rPr>
          <w:rFonts w:ascii="Arial" w:hAnsi="Arial" w:cs="Arial"/>
        </w:rPr>
        <w:t>’</w:t>
      </w:r>
      <w:r w:rsidRPr="00B34106">
        <w:rPr>
          <w:rFonts w:ascii="Arial" w:hAnsi="Arial" w:cs="Arial"/>
        </w:rPr>
        <w:t>OIT sur la liberté d</w:t>
      </w:r>
      <w:r w:rsidR="0009028A">
        <w:rPr>
          <w:rFonts w:ascii="Arial" w:hAnsi="Arial" w:cs="Arial"/>
        </w:rPr>
        <w:t>’</w:t>
      </w:r>
      <w:r w:rsidRPr="00B34106">
        <w:rPr>
          <w:rFonts w:ascii="Arial" w:hAnsi="Arial" w:cs="Arial"/>
        </w:rPr>
        <w:t>association de 1948 en 1960.</w:t>
      </w:r>
    </w:p>
  </w:footnote>
  <w:footnote w:id="4">
    <w:p w14:paraId="483D61EE" w14:textId="77777777" w:rsidR="0060770F" w:rsidRPr="00B34106" w:rsidRDefault="00E278A9" w:rsidP="00B34106">
      <w:pPr>
        <w:pStyle w:val="FootnoteText"/>
        <w:jc w:val="both"/>
        <w:rPr>
          <w:rFonts w:ascii="Arial" w:hAnsi="Arial" w:cs="Arial"/>
          <w:rtl/>
        </w:rPr>
      </w:pPr>
      <w:r w:rsidRPr="00B34106">
        <w:rPr>
          <w:rStyle w:val="FootnoteReference"/>
          <w:rFonts w:ascii="Arial" w:hAnsi="Arial" w:cs="Arial"/>
          <w:lang w:val="en-GB"/>
        </w:rPr>
        <w:footnoteRef/>
      </w:r>
      <w:r w:rsidRPr="00B34106">
        <w:rPr>
          <w:rFonts w:ascii="Arial" w:hAnsi="Arial" w:cs="Arial"/>
        </w:rPr>
        <w:t xml:space="preserve"> Article 39(1) du Règlement intérieur de la Cour du 2 juin 2010.</w:t>
      </w:r>
    </w:p>
  </w:footnote>
  <w:footnote w:id="5">
    <w:p w14:paraId="75E2BF33" w14:textId="2608AB39" w:rsidR="0060770F" w:rsidRPr="00B34106" w:rsidRDefault="00E278A9" w:rsidP="00B34106">
      <w:pPr>
        <w:pStyle w:val="FootnoteText"/>
        <w:jc w:val="both"/>
        <w:rPr>
          <w:rFonts w:ascii="Arial" w:hAnsi="Arial" w:cs="Arial"/>
        </w:rPr>
      </w:pPr>
      <w:r w:rsidRPr="00B34106">
        <w:rPr>
          <w:rStyle w:val="FootnoteReference"/>
          <w:rFonts w:ascii="Arial" w:hAnsi="Arial" w:cs="Arial"/>
          <w:lang w:val="en-GB"/>
        </w:rPr>
        <w:footnoteRef/>
      </w:r>
      <w:r w:rsidR="00FF13A8">
        <w:rPr>
          <w:rFonts w:ascii="Arial" w:hAnsi="Arial" w:cs="Arial"/>
        </w:rPr>
        <w:t xml:space="preserve"> Article </w:t>
      </w:r>
      <w:r w:rsidRPr="00B34106">
        <w:rPr>
          <w:rFonts w:ascii="Arial" w:hAnsi="Arial" w:cs="Arial"/>
        </w:rPr>
        <w:t>40 du Règlement intérieur de la Cour du 2 juin 2010.</w:t>
      </w:r>
    </w:p>
  </w:footnote>
  <w:footnote w:id="6">
    <w:p w14:paraId="16CDFC45" w14:textId="6FE122FF" w:rsidR="0060770F" w:rsidRPr="00B34106" w:rsidRDefault="00E278A9" w:rsidP="00B34106">
      <w:pPr>
        <w:pStyle w:val="FootnoteText"/>
        <w:jc w:val="both"/>
        <w:rPr>
          <w:rFonts w:ascii="Arial" w:hAnsi="Arial" w:cs="Arial"/>
        </w:rPr>
      </w:pPr>
      <w:r w:rsidRPr="00B34106">
        <w:rPr>
          <w:rStyle w:val="FootnoteReference"/>
          <w:rFonts w:ascii="Arial" w:hAnsi="Arial" w:cs="Arial"/>
        </w:rPr>
        <w:footnoteRef/>
      </w:r>
      <w:r w:rsidR="00FF13A8">
        <w:rPr>
          <w:rFonts w:ascii="Arial" w:hAnsi="Arial" w:cs="Arial"/>
        </w:rPr>
        <w:t xml:space="preserve"> R</w:t>
      </w:r>
      <w:r w:rsidRPr="00B34106">
        <w:rPr>
          <w:rFonts w:ascii="Arial" w:hAnsi="Arial" w:cs="Arial"/>
        </w:rPr>
        <w:t>éférences n°s 0263/DRT-K du 13 juillet 2012 et 0348/DRT-K du 24 août 2012</w:t>
      </w:r>
    </w:p>
  </w:footnote>
  <w:footnote w:id="7">
    <w:p w14:paraId="7753968A" w14:textId="3B1C271E" w:rsidR="0060770F" w:rsidRPr="00B34106" w:rsidRDefault="00E278A9" w:rsidP="00B34106">
      <w:pPr>
        <w:pStyle w:val="FootnoteText"/>
        <w:jc w:val="both"/>
        <w:rPr>
          <w:rFonts w:ascii="Arial" w:hAnsi="Arial" w:cs="Arial"/>
        </w:rPr>
      </w:pPr>
      <w:r w:rsidRPr="00B34106">
        <w:rPr>
          <w:rStyle w:val="FootnoteReference"/>
          <w:rFonts w:ascii="Arial" w:hAnsi="Arial" w:cs="Arial"/>
          <w:lang w:val="en-GB"/>
        </w:rPr>
        <w:footnoteRef/>
      </w:r>
      <w:r w:rsidRPr="00B34106">
        <w:rPr>
          <w:rFonts w:ascii="Arial" w:hAnsi="Arial" w:cs="Arial"/>
        </w:rPr>
        <w:t xml:space="preserve"> Article L.277 : L</w:t>
      </w:r>
      <w:r w:rsidR="0009028A">
        <w:rPr>
          <w:rFonts w:ascii="Arial" w:hAnsi="Arial" w:cs="Arial"/>
        </w:rPr>
        <w:t>’</w:t>
      </w:r>
      <w:r w:rsidRPr="00B34106">
        <w:rPr>
          <w:rFonts w:ascii="Arial" w:hAnsi="Arial" w:cs="Arial"/>
        </w:rPr>
        <w:t>autorisation de l</w:t>
      </w:r>
      <w:r w:rsidR="0009028A">
        <w:rPr>
          <w:rFonts w:ascii="Arial" w:hAnsi="Arial" w:cs="Arial"/>
        </w:rPr>
        <w:t>’</w:t>
      </w:r>
      <w:r w:rsidRPr="00B34106">
        <w:rPr>
          <w:rFonts w:ascii="Arial" w:hAnsi="Arial" w:cs="Arial"/>
        </w:rPr>
        <w:t>inspecteur du travail est requise, avant tout licenciement d</w:t>
      </w:r>
      <w:r w:rsidR="0009028A">
        <w:rPr>
          <w:rFonts w:ascii="Arial" w:hAnsi="Arial" w:cs="Arial"/>
        </w:rPr>
        <w:t>’</w:t>
      </w:r>
      <w:r w:rsidRPr="00B34106">
        <w:rPr>
          <w:rFonts w:ascii="Arial" w:hAnsi="Arial" w:cs="Arial"/>
        </w:rPr>
        <w:t>un délégué du personnel, titulaire ou suppléant, envisagé par l</w:t>
      </w:r>
      <w:r w:rsidR="0009028A">
        <w:rPr>
          <w:rFonts w:ascii="Arial" w:hAnsi="Arial" w:cs="Arial"/>
        </w:rPr>
        <w:t>’</w:t>
      </w:r>
      <w:r w:rsidRPr="00B34106">
        <w:rPr>
          <w:rFonts w:ascii="Arial" w:hAnsi="Arial" w:cs="Arial"/>
        </w:rPr>
        <w:t>employeur ou son représentant. L</w:t>
      </w:r>
      <w:r w:rsidR="0009028A">
        <w:rPr>
          <w:rFonts w:ascii="Arial" w:hAnsi="Arial" w:cs="Arial"/>
        </w:rPr>
        <w:t>’</w:t>
      </w:r>
      <w:r w:rsidRPr="00B34106">
        <w:rPr>
          <w:rFonts w:ascii="Arial" w:hAnsi="Arial" w:cs="Arial"/>
        </w:rPr>
        <w:t>autorisation ou le refus de cette autorisation doit être notifié à l</w:t>
      </w:r>
      <w:r w:rsidR="0009028A">
        <w:rPr>
          <w:rFonts w:ascii="Arial" w:hAnsi="Arial" w:cs="Arial"/>
        </w:rPr>
        <w:t>’</w:t>
      </w:r>
      <w:r w:rsidRPr="00B34106">
        <w:rPr>
          <w:rFonts w:ascii="Arial" w:hAnsi="Arial" w:cs="Arial"/>
        </w:rPr>
        <w:t>employeur ou au délégué du personnel concerne</w:t>
      </w:r>
      <w:r w:rsidR="0009028A">
        <w:rPr>
          <w:rFonts w:ascii="Arial" w:hAnsi="Arial" w:cs="Arial"/>
        </w:rPr>
        <w:t>’</w:t>
      </w:r>
      <w:r w:rsidRPr="00B34106">
        <w:rPr>
          <w:rFonts w:ascii="Arial" w:hAnsi="Arial" w:cs="Arial"/>
        </w:rPr>
        <w:t>. Le défaut de réponse de l</w:t>
      </w:r>
      <w:r w:rsidR="0009028A">
        <w:rPr>
          <w:rFonts w:ascii="Arial" w:hAnsi="Arial" w:cs="Arial"/>
        </w:rPr>
        <w:t>’</w:t>
      </w:r>
      <w:r w:rsidRPr="00B34106">
        <w:rPr>
          <w:rFonts w:ascii="Arial" w:hAnsi="Arial" w:cs="Arial"/>
        </w:rPr>
        <w:t>inspecteur du Travail dans les quinze (15) jours du dépôt de la demande vaut autorisation de licenciement, sauf dans les cas où l</w:t>
      </w:r>
      <w:r w:rsidR="0009028A">
        <w:rPr>
          <w:rFonts w:ascii="Arial" w:hAnsi="Arial" w:cs="Arial"/>
        </w:rPr>
        <w:t>’</w:t>
      </w:r>
      <w:r w:rsidRPr="00B34106">
        <w:rPr>
          <w:rFonts w:ascii="Arial" w:hAnsi="Arial" w:cs="Arial"/>
        </w:rPr>
        <w:t>inspecteur du Travail juge qu</w:t>
      </w:r>
      <w:r w:rsidR="0009028A">
        <w:rPr>
          <w:rFonts w:ascii="Arial" w:hAnsi="Arial" w:cs="Arial"/>
        </w:rPr>
        <w:t>’</w:t>
      </w:r>
      <w:r w:rsidRPr="00B34106">
        <w:rPr>
          <w:rFonts w:ascii="Arial" w:hAnsi="Arial" w:cs="Arial"/>
        </w:rPr>
        <w:t>une expertise est nécessaire. Dans ce cas, le délai est à 30 jours et l</w:t>
      </w:r>
      <w:r w:rsidR="0009028A">
        <w:rPr>
          <w:rFonts w:ascii="Arial" w:hAnsi="Arial" w:cs="Arial"/>
        </w:rPr>
        <w:t>’</w:t>
      </w:r>
      <w:r w:rsidRPr="00B34106">
        <w:rPr>
          <w:rFonts w:ascii="Arial" w:hAnsi="Arial" w:cs="Arial"/>
        </w:rPr>
        <w:t>inspecteur doit informer par écrit l</w:t>
      </w:r>
      <w:r w:rsidR="0009028A">
        <w:rPr>
          <w:rFonts w:ascii="Arial" w:hAnsi="Arial" w:cs="Arial"/>
        </w:rPr>
        <w:t>’</w:t>
      </w:r>
      <w:r w:rsidRPr="00B34106">
        <w:rPr>
          <w:rFonts w:ascii="Arial" w:hAnsi="Arial" w:cs="Arial"/>
        </w:rPr>
        <w:t>employeur, avant l</w:t>
      </w:r>
      <w:r w:rsidR="0009028A">
        <w:rPr>
          <w:rFonts w:ascii="Arial" w:hAnsi="Arial" w:cs="Arial"/>
        </w:rPr>
        <w:t>’</w:t>
      </w:r>
      <w:r w:rsidRPr="00B34106">
        <w:rPr>
          <w:rFonts w:ascii="Arial" w:hAnsi="Arial" w:cs="Arial"/>
        </w:rPr>
        <w:t xml:space="preserve">expiration des 15 jours, de sa décision de prolonger le délai. </w:t>
      </w:r>
    </w:p>
    <w:p w14:paraId="5CC3242B" w14:textId="5A530DCB" w:rsidR="0060770F" w:rsidRPr="00B34106" w:rsidRDefault="00E278A9" w:rsidP="00B34106">
      <w:pPr>
        <w:pStyle w:val="FootnoteText"/>
        <w:jc w:val="both"/>
        <w:rPr>
          <w:rFonts w:ascii="Arial" w:hAnsi="Arial" w:cs="Arial"/>
        </w:rPr>
      </w:pPr>
      <w:r w:rsidRPr="00B34106">
        <w:rPr>
          <w:rFonts w:ascii="Arial" w:hAnsi="Arial" w:cs="Arial"/>
        </w:rPr>
        <w:t>Tout licenciement intervenu en violation de la procédure prévue à l</w:t>
      </w:r>
      <w:r w:rsidR="0009028A">
        <w:rPr>
          <w:rFonts w:ascii="Arial" w:hAnsi="Arial" w:cs="Arial"/>
        </w:rPr>
        <w:t>’</w:t>
      </w:r>
      <w:r w:rsidRPr="00B34106">
        <w:rPr>
          <w:rFonts w:ascii="Arial" w:hAnsi="Arial" w:cs="Arial"/>
        </w:rPr>
        <w:t>alinéa précédent est nul de plein droit et le délégué est rétabli dans ses droits et réintégré dans l</w:t>
      </w:r>
      <w:r w:rsidR="0009028A">
        <w:rPr>
          <w:rFonts w:ascii="Arial" w:hAnsi="Arial" w:cs="Arial"/>
        </w:rPr>
        <w:t>’</w:t>
      </w:r>
      <w:r w:rsidRPr="00B34106">
        <w:rPr>
          <w:rFonts w:ascii="Arial" w:hAnsi="Arial" w:cs="Arial"/>
        </w:rPr>
        <w:t xml:space="preserve">entreprise. </w:t>
      </w:r>
    </w:p>
    <w:p w14:paraId="454F5F29" w14:textId="661F4D10" w:rsidR="0060770F" w:rsidRPr="00B34106" w:rsidRDefault="00E278A9" w:rsidP="00B34106">
      <w:pPr>
        <w:pStyle w:val="FootnoteText"/>
        <w:jc w:val="both"/>
        <w:rPr>
          <w:rFonts w:ascii="Arial" w:hAnsi="Arial" w:cs="Arial"/>
        </w:rPr>
      </w:pPr>
      <w:r w:rsidRPr="00B34106">
        <w:rPr>
          <w:rFonts w:ascii="Arial" w:hAnsi="Arial" w:cs="Arial"/>
        </w:rPr>
        <w:t>Toutefois, en cas de faute lourde, l</w:t>
      </w:r>
      <w:r w:rsidR="0009028A">
        <w:rPr>
          <w:rFonts w:ascii="Arial" w:hAnsi="Arial" w:cs="Arial"/>
        </w:rPr>
        <w:t>’</w:t>
      </w:r>
      <w:r w:rsidRPr="00B34106">
        <w:rPr>
          <w:rFonts w:ascii="Arial" w:hAnsi="Arial" w:cs="Arial"/>
        </w:rPr>
        <w:t>employeur peut prononcer immédiatement la mise à pied provisoire de l</w:t>
      </w:r>
      <w:r w:rsidR="0009028A">
        <w:rPr>
          <w:rFonts w:ascii="Arial" w:hAnsi="Arial" w:cs="Arial"/>
        </w:rPr>
        <w:t>’</w:t>
      </w:r>
      <w:r w:rsidRPr="00B34106">
        <w:rPr>
          <w:rFonts w:ascii="Arial" w:hAnsi="Arial" w:cs="Arial"/>
        </w:rPr>
        <w:t xml:space="preserve">intéressé en attendant la décision définitive. </w:t>
      </w:r>
    </w:p>
    <w:p w14:paraId="1102840F" w14:textId="737E4D6B" w:rsidR="0060770F" w:rsidRPr="00B34106" w:rsidRDefault="00E278A9" w:rsidP="00B34106">
      <w:pPr>
        <w:pStyle w:val="FootnoteText"/>
        <w:jc w:val="both"/>
        <w:rPr>
          <w:rFonts w:ascii="Arial" w:hAnsi="Arial" w:cs="Arial"/>
        </w:rPr>
      </w:pPr>
      <w:r w:rsidRPr="00B34106">
        <w:rPr>
          <w:rFonts w:ascii="Arial" w:hAnsi="Arial" w:cs="Arial"/>
        </w:rPr>
        <w:t>En cas de refus d</w:t>
      </w:r>
      <w:r w:rsidR="0009028A">
        <w:rPr>
          <w:rFonts w:ascii="Arial" w:hAnsi="Arial" w:cs="Arial"/>
        </w:rPr>
        <w:t>’</w:t>
      </w:r>
      <w:r w:rsidRPr="00B34106">
        <w:rPr>
          <w:rFonts w:ascii="Arial" w:hAnsi="Arial" w:cs="Arial"/>
        </w:rPr>
        <w:t xml:space="preserve">autorisation de licenciement, la mise à pied est privée de tout effet. </w:t>
      </w:r>
    </w:p>
    <w:p w14:paraId="2890F6F6" w14:textId="389C8EE2" w:rsidR="0060770F" w:rsidRPr="00B34106" w:rsidRDefault="00E278A9" w:rsidP="00B34106">
      <w:pPr>
        <w:pStyle w:val="FootnoteText"/>
        <w:jc w:val="both"/>
        <w:rPr>
          <w:rFonts w:ascii="Arial" w:hAnsi="Arial" w:cs="Arial"/>
        </w:rPr>
      </w:pPr>
      <w:r w:rsidRPr="00B34106">
        <w:rPr>
          <w:rFonts w:ascii="Arial" w:hAnsi="Arial" w:cs="Arial"/>
        </w:rPr>
        <w:t>Les dispositions ci-dessus sont applicables aux travailleurs candidats aux fonctions de délégués pendant la période comprise entre la date d</w:t>
      </w:r>
      <w:r w:rsidR="0009028A">
        <w:rPr>
          <w:rFonts w:ascii="Arial" w:hAnsi="Arial" w:cs="Arial"/>
        </w:rPr>
        <w:t>’</w:t>
      </w:r>
      <w:r w:rsidRPr="00B34106">
        <w:rPr>
          <w:rFonts w:ascii="Arial" w:hAnsi="Arial" w:cs="Arial"/>
        </w:rPr>
        <w:t>affichage des listes et celle du scrutin, ainsi qu</w:t>
      </w:r>
      <w:r w:rsidR="0009028A">
        <w:rPr>
          <w:rFonts w:ascii="Arial" w:hAnsi="Arial" w:cs="Arial"/>
        </w:rPr>
        <w:t>’</w:t>
      </w:r>
      <w:r w:rsidRPr="00B34106">
        <w:rPr>
          <w:rFonts w:ascii="Arial" w:hAnsi="Arial" w:cs="Arial"/>
        </w:rPr>
        <w:t>aux délégués élus jusqu</w:t>
      </w:r>
      <w:r w:rsidR="0009028A">
        <w:rPr>
          <w:rFonts w:ascii="Arial" w:hAnsi="Arial" w:cs="Arial"/>
        </w:rPr>
        <w:t>’</w:t>
      </w:r>
      <w:r w:rsidRPr="00B34106">
        <w:rPr>
          <w:rFonts w:ascii="Arial" w:hAnsi="Arial" w:cs="Arial"/>
        </w:rPr>
        <w:t>à la date des nouvelles élections et pendant une période de 6 mois consécutive à l</w:t>
      </w:r>
      <w:r w:rsidR="0009028A">
        <w:rPr>
          <w:rFonts w:ascii="Arial" w:hAnsi="Arial" w:cs="Arial"/>
        </w:rPr>
        <w:t>’</w:t>
      </w:r>
      <w:r w:rsidRPr="00B34106">
        <w:rPr>
          <w:rFonts w:ascii="Arial" w:hAnsi="Arial" w:cs="Arial"/>
        </w:rPr>
        <w:t>expiration du mandat du délégué.</w:t>
      </w:r>
    </w:p>
  </w:footnote>
  <w:footnote w:id="8">
    <w:p w14:paraId="5C5F0818" w14:textId="77777777" w:rsidR="0060770F" w:rsidRPr="00B34106" w:rsidRDefault="00E278A9" w:rsidP="00B34106">
      <w:pPr>
        <w:pStyle w:val="FootnoteText"/>
        <w:jc w:val="both"/>
        <w:rPr>
          <w:rFonts w:ascii="Arial" w:hAnsi="Arial" w:cs="Arial"/>
        </w:rPr>
      </w:pPr>
      <w:r w:rsidRPr="00B34106">
        <w:rPr>
          <w:rStyle w:val="FootnoteReference"/>
          <w:rFonts w:ascii="Arial" w:hAnsi="Arial" w:cs="Arial"/>
        </w:rPr>
        <w:footnoteRef/>
      </w:r>
      <w:r w:rsidRPr="00B34106">
        <w:rPr>
          <w:rFonts w:ascii="Arial" w:hAnsi="Arial" w:cs="Arial"/>
        </w:rPr>
        <w:t xml:space="preserve"> Réf. n°s 0263/DRT-K du 13 juillet 2012 et 0348/DRT-K du 24 août 2012</w:t>
      </w:r>
    </w:p>
  </w:footnote>
  <w:footnote w:id="9">
    <w:p w14:paraId="44C65A8F" w14:textId="03F3A253" w:rsidR="0060770F" w:rsidRPr="00B34106" w:rsidRDefault="00E278A9" w:rsidP="00B34106">
      <w:pPr>
        <w:pStyle w:val="FootnoteText"/>
        <w:jc w:val="both"/>
        <w:rPr>
          <w:rFonts w:ascii="Arial" w:hAnsi="Arial" w:cs="Arial"/>
        </w:rPr>
      </w:pPr>
      <w:r w:rsidRPr="00B34106">
        <w:rPr>
          <w:rStyle w:val="FootnoteReference"/>
          <w:rFonts w:ascii="Arial" w:hAnsi="Arial" w:cs="Arial"/>
          <w:lang w:val="en-GB"/>
        </w:rPr>
        <w:footnoteRef/>
      </w:r>
      <w:r w:rsidRPr="00B34106">
        <w:rPr>
          <w:rFonts w:ascii="Arial" w:hAnsi="Arial" w:cs="Arial"/>
          <w:i/>
        </w:rPr>
        <w:t xml:space="preserve"> </w:t>
      </w:r>
      <w:r w:rsidRPr="00B34106">
        <w:rPr>
          <w:rFonts w:ascii="Arial" w:hAnsi="Arial" w:cs="Arial"/>
          <w:i/>
          <w:iCs/>
        </w:rPr>
        <w:t>Commission africaine des droits de l</w:t>
      </w:r>
      <w:r w:rsidR="0009028A">
        <w:rPr>
          <w:rFonts w:ascii="Arial" w:hAnsi="Arial" w:cs="Arial"/>
          <w:i/>
          <w:iCs/>
        </w:rPr>
        <w:t>’</w:t>
      </w:r>
      <w:r w:rsidRPr="00B34106">
        <w:rPr>
          <w:rFonts w:ascii="Arial" w:hAnsi="Arial" w:cs="Arial"/>
          <w:i/>
          <w:iCs/>
        </w:rPr>
        <w:t>homme et des peuples c. République du Kenya</w:t>
      </w:r>
      <w:r w:rsidRPr="00B34106">
        <w:rPr>
          <w:rFonts w:ascii="Arial" w:hAnsi="Arial" w:cs="Arial"/>
          <w:iCs/>
        </w:rPr>
        <w:t xml:space="preserve"> (fond)</w:t>
      </w:r>
      <w:r w:rsidR="00E204B5">
        <w:rPr>
          <w:rFonts w:ascii="Arial" w:hAnsi="Arial" w:cs="Arial"/>
          <w:iCs/>
        </w:rPr>
        <w:t xml:space="preserve"> (</w:t>
      </w:r>
      <w:r w:rsidRPr="00B34106">
        <w:rPr>
          <w:rFonts w:ascii="Arial" w:hAnsi="Arial" w:cs="Arial"/>
          <w:iCs/>
        </w:rPr>
        <w:t>26 mai 2017</w:t>
      </w:r>
      <w:r w:rsidR="00E204B5">
        <w:rPr>
          <w:rFonts w:ascii="Arial" w:hAnsi="Arial" w:cs="Arial"/>
          <w:iCs/>
        </w:rPr>
        <w:t>) 2 RJCA 9,</w:t>
      </w:r>
      <w:r w:rsidRPr="00B34106">
        <w:rPr>
          <w:rFonts w:ascii="Arial" w:hAnsi="Arial" w:cs="Arial"/>
          <w:iCs/>
        </w:rPr>
        <w:t xml:space="preserve"> §§ 93 à 94.</w:t>
      </w:r>
    </w:p>
  </w:footnote>
  <w:footnote w:id="10">
    <w:p w14:paraId="088CF1A0" w14:textId="7F4878BC" w:rsidR="0060770F" w:rsidRPr="00B34106" w:rsidRDefault="00E278A9" w:rsidP="00B34106">
      <w:pPr>
        <w:pStyle w:val="FootnoteText"/>
        <w:jc w:val="both"/>
        <w:rPr>
          <w:rFonts w:ascii="Arial" w:hAnsi="Arial" w:cs="Arial"/>
        </w:rPr>
      </w:pPr>
      <w:r w:rsidRPr="00B34106">
        <w:rPr>
          <w:rStyle w:val="FootnoteReference"/>
          <w:rFonts w:ascii="Arial" w:hAnsi="Arial" w:cs="Arial"/>
        </w:rPr>
        <w:footnoteRef/>
      </w:r>
      <w:r w:rsidRPr="00B34106">
        <w:rPr>
          <w:rFonts w:ascii="Arial" w:hAnsi="Arial" w:cs="Arial"/>
        </w:rPr>
        <w:t xml:space="preserve"> </w:t>
      </w:r>
      <w:r w:rsidRPr="00B34106">
        <w:rPr>
          <w:rFonts w:ascii="Arial" w:hAnsi="Arial" w:cs="Arial"/>
          <w:bCs/>
        </w:rPr>
        <w:t>Article 229 :</w:t>
      </w:r>
      <w:r w:rsidRPr="00B34106">
        <w:rPr>
          <w:rFonts w:ascii="Arial" w:hAnsi="Arial" w:cs="Arial"/>
        </w:rPr>
        <w:t xml:space="preserve"> La décision du conseil d</w:t>
      </w:r>
      <w:r w:rsidR="0009028A">
        <w:rPr>
          <w:rFonts w:ascii="Arial" w:hAnsi="Arial" w:cs="Arial"/>
        </w:rPr>
        <w:t>’</w:t>
      </w:r>
      <w:r w:rsidRPr="00B34106">
        <w:rPr>
          <w:rFonts w:ascii="Arial" w:hAnsi="Arial" w:cs="Arial"/>
        </w:rPr>
        <w:t>arbitrage est immédiatement notifiée et commentée aux parties par le président du conseil d</w:t>
      </w:r>
      <w:r w:rsidR="0009028A">
        <w:rPr>
          <w:rFonts w:ascii="Arial" w:hAnsi="Arial" w:cs="Arial"/>
        </w:rPr>
        <w:t>’</w:t>
      </w:r>
      <w:r w:rsidRPr="00B34106">
        <w:rPr>
          <w:rFonts w:ascii="Arial" w:hAnsi="Arial" w:cs="Arial"/>
        </w:rPr>
        <w:t xml:space="preserve">arbitrage. </w:t>
      </w:r>
    </w:p>
    <w:p w14:paraId="221E3A27" w14:textId="0F0F892F" w:rsidR="0060770F" w:rsidRPr="00B34106" w:rsidRDefault="00E278A9" w:rsidP="00B34106">
      <w:pPr>
        <w:pStyle w:val="FootnoteText"/>
        <w:jc w:val="both"/>
        <w:rPr>
          <w:rFonts w:ascii="Arial" w:hAnsi="Arial" w:cs="Arial"/>
        </w:rPr>
      </w:pPr>
      <w:r w:rsidRPr="00B34106">
        <w:rPr>
          <w:rFonts w:ascii="Arial" w:hAnsi="Arial" w:cs="Arial"/>
        </w:rPr>
        <w:t>Si dans les 8 jours francs suivant cette notification aux parties, aucune de celles</w:t>
      </w:r>
      <w:r w:rsidRPr="00B34106">
        <w:rPr>
          <w:rFonts w:ascii="Cambria Math" w:hAnsi="Cambria Math" w:cs="Cambria Math"/>
        </w:rPr>
        <w:t>‐</w:t>
      </w:r>
      <w:r w:rsidRPr="00B34106">
        <w:rPr>
          <w:rFonts w:ascii="Arial" w:hAnsi="Arial" w:cs="Arial"/>
        </w:rPr>
        <w:t>ci n</w:t>
      </w:r>
      <w:r w:rsidR="0009028A">
        <w:rPr>
          <w:rFonts w:ascii="Arial" w:hAnsi="Arial" w:cs="Arial"/>
        </w:rPr>
        <w:t>’</w:t>
      </w:r>
      <w:r w:rsidRPr="00B34106">
        <w:rPr>
          <w:rFonts w:ascii="Arial" w:hAnsi="Arial" w:cs="Arial"/>
        </w:rPr>
        <w:t>a manifesté son opposition, la décision acquiert force exécutoire.</w:t>
      </w:r>
    </w:p>
    <w:p w14:paraId="7CA9B864" w14:textId="570D7BCA" w:rsidR="0060770F" w:rsidRPr="00B34106" w:rsidRDefault="00E278A9" w:rsidP="00B34106">
      <w:pPr>
        <w:pStyle w:val="FootnoteText"/>
        <w:jc w:val="both"/>
        <w:rPr>
          <w:rFonts w:ascii="Arial" w:hAnsi="Arial" w:cs="Arial"/>
        </w:rPr>
      </w:pPr>
      <w:r w:rsidRPr="00B34106">
        <w:rPr>
          <w:rFonts w:ascii="Arial" w:hAnsi="Arial" w:cs="Arial"/>
        </w:rPr>
        <w:t>Pour les conflits intéressant les services essentiels dont l</w:t>
      </w:r>
      <w:r w:rsidR="0009028A">
        <w:rPr>
          <w:rFonts w:ascii="Arial" w:hAnsi="Arial" w:cs="Arial"/>
        </w:rPr>
        <w:t>’</w:t>
      </w:r>
      <w:r w:rsidRPr="00B34106">
        <w:rPr>
          <w:rFonts w:ascii="Arial" w:hAnsi="Arial" w:cs="Arial"/>
        </w:rPr>
        <w:t>interruption risquerait de mettre en danger la vie, la sécurité ou la santé des personnes, de compromettre le déroulement normal de l</w:t>
      </w:r>
      <w:r w:rsidR="0009028A">
        <w:rPr>
          <w:rFonts w:ascii="Arial" w:hAnsi="Arial" w:cs="Arial"/>
        </w:rPr>
        <w:t>’</w:t>
      </w:r>
      <w:r w:rsidRPr="00B34106">
        <w:rPr>
          <w:rFonts w:ascii="Arial" w:hAnsi="Arial" w:cs="Arial"/>
        </w:rPr>
        <w:t>économie nationale, ou intéressant un secteur vital des professions, le Ministre chargé du travail en cas de désaccord de l</w:t>
      </w:r>
      <w:r w:rsidR="0009028A">
        <w:rPr>
          <w:rFonts w:ascii="Arial" w:hAnsi="Arial" w:cs="Arial"/>
        </w:rPr>
        <w:t>’</w:t>
      </w:r>
      <w:r w:rsidRPr="00B34106">
        <w:rPr>
          <w:rFonts w:ascii="Arial" w:hAnsi="Arial" w:cs="Arial"/>
        </w:rPr>
        <w:t>une ou des deux parties, porte le conflit devant le conseil des Ministres qui peut rendre exécutoire la décision du conseil d</w:t>
      </w:r>
      <w:r w:rsidR="0009028A">
        <w:rPr>
          <w:rFonts w:ascii="Arial" w:hAnsi="Arial" w:cs="Arial"/>
        </w:rPr>
        <w:t>’</w:t>
      </w:r>
      <w:r w:rsidRPr="00B34106">
        <w:rPr>
          <w:rFonts w:ascii="Arial" w:hAnsi="Arial" w:cs="Arial"/>
        </w:rPr>
        <w:t>arbitrage.</w:t>
      </w:r>
    </w:p>
  </w:footnote>
  <w:footnote w:id="11">
    <w:p w14:paraId="1613C672" w14:textId="01CAC750" w:rsidR="0060770F" w:rsidRPr="00B34106" w:rsidRDefault="00E278A9" w:rsidP="00B34106">
      <w:pPr>
        <w:pStyle w:val="FootnoteText"/>
        <w:jc w:val="both"/>
        <w:rPr>
          <w:rFonts w:ascii="Arial" w:hAnsi="Arial" w:cs="Arial"/>
        </w:rPr>
      </w:pPr>
      <w:r w:rsidRPr="00B34106">
        <w:rPr>
          <w:rStyle w:val="FootnoteReference"/>
          <w:rFonts w:ascii="Arial" w:hAnsi="Arial" w:cs="Arial"/>
          <w:lang w:val="en-GB"/>
        </w:rPr>
        <w:footnoteRef/>
      </w:r>
      <w:r w:rsidRPr="00B34106">
        <w:rPr>
          <w:rFonts w:ascii="Arial" w:hAnsi="Arial" w:cs="Arial"/>
        </w:rPr>
        <w:t xml:space="preserve"> </w:t>
      </w:r>
      <w:r w:rsidRPr="00B34106">
        <w:rPr>
          <w:rFonts w:ascii="Arial" w:hAnsi="Arial" w:cs="Arial"/>
          <w:bCs/>
        </w:rPr>
        <w:t>Article L.229 nouveau</w:t>
      </w:r>
      <w:r w:rsidRPr="00B34106">
        <w:rPr>
          <w:rFonts w:ascii="Arial" w:hAnsi="Arial" w:cs="Arial"/>
          <w:b/>
          <w:bCs/>
        </w:rPr>
        <w:t xml:space="preserve"> :</w:t>
      </w:r>
      <w:r w:rsidRPr="00B34106">
        <w:rPr>
          <w:rFonts w:ascii="Arial" w:hAnsi="Arial" w:cs="Arial"/>
        </w:rPr>
        <w:t xml:space="preserve"> Le Conseil d</w:t>
      </w:r>
      <w:r w:rsidR="0009028A">
        <w:rPr>
          <w:rFonts w:ascii="Arial" w:hAnsi="Arial" w:cs="Arial"/>
        </w:rPr>
        <w:t>’</w:t>
      </w:r>
      <w:r w:rsidRPr="00B34106">
        <w:rPr>
          <w:rFonts w:ascii="Arial" w:hAnsi="Arial" w:cs="Arial"/>
        </w:rPr>
        <w:t>arbitrage dispose d</w:t>
      </w:r>
      <w:r w:rsidR="0009028A">
        <w:rPr>
          <w:rFonts w:ascii="Arial" w:hAnsi="Arial" w:cs="Arial"/>
        </w:rPr>
        <w:t>’</w:t>
      </w:r>
      <w:r w:rsidRPr="00B34106">
        <w:rPr>
          <w:rFonts w:ascii="Arial" w:hAnsi="Arial" w:cs="Arial"/>
        </w:rPr>
        <w:t>un délai de 15 jours pour rendre sa sentence. La décision du Conseil est immédiatement notifiée et commentée aux Parties par le Président qui en adresse une copie au ministre chargé du Travail. La formule exécutoire est apposée sur la décision du Conseil, par ordonnance du Président du tribunal compétent, à la requête de la partie la plus diligente. La sentence arbitrale ne peut faire l</w:t>
      </w:r>
      <w:r w:rsidR="0009028A">
        <w:rPr>
          <w:rFonts w:ascii="Arial" w:hAnsi="Arial" w:cs="Arial"/>
        </w:rPr>
        <w:t>’</w:t>
      </w:r>
      <w:r w:rsidRPr="00B34106">
        <w:rPr>
          <w:rFonts w:ascii="Arial" w:hAnsi="Arial" w:cs="Arial"/>
        </w:rPr>
        <w:t>objet de recours que pour excès de pouvoir, violation de la loi ou violation des règles de procédure, portés devant la chambre sociale de la Cour suprême. Le recours en annulation de la sentence arbitrale est ouvert : si le conseil d</w:t>
      </w:r>
      <w:r w:rsidR="0009028A">
        <w:rPr>
          <w:rFonts w:ascii="Arial" w:hAnsi="Arial" w:cs="Arial"/>
        </w:rPr>
        <w:t>’</w:t>
      </w:r>
      <w:r w:rsidRPr="00B34106">
        <w:rPr>
          <w:rFonts w:ascii="Arial" w:hAnsi="Arial" w:cs="Arial"/>
        </w:rPr>
        <w:t>arbitrage a été régulièrement constitué ; si l</w:t>
      </w:r>
      <w:r w:rsidR="0009028A">
        <w:rPr>
          <w:rFonts w:ascii="Arial" w:hAnsi="Arial" w:cs="Arial"/>
        </w:rPr>
        <w:t>’</w:t>
      </w:r>
      <w:r w:rsidRPr="00B34106">
        <w:rPr>
          <w:rFonts w:ascii="Arial" w:hAnsi="Arial" w:cs="Arial"/>
        </w:rPr>
        <w:t>arbitre a statué sans se conformer à la mission qui lui a été assignée ; s</w:t>
      </w:r>
      <w:r w:rsidR="0009028A">
        <w:rPr>
          <w:rFonts w:ascii="Arial" w:hAnsi="Arial" w:cs="Arial"/>
        </w:rPr>
        <w:t>’</w:t>
      </w:r>
      <w:r w:rsidRPr="00B34106">
        <w:rPr>
          <w:rFonts w:ascii="Arial" w:hAnsi="Arial" w:cs="Arial"/>
        </w:rPr>
        <w:t>il a violé une règle d</w:t>
      </w:r>
      <w:r w:rsidR="0009028A">
        <w:rPr>
          <w:rFonts w:ascii="Arial" w:hAnsi="Arial" w:cs="Arial"/>
        </w:rPr>
        <w:t>’</w:t>
      </w:r>
      <w:r w:rsidRPr="00B34106">
        <w:rPr>
          <w:rFonts w:ascii="Arial" w:hAnsi="Arial" w:cs="Arial"/>
        </w:rPr>
        <w:t>ordre public ; lorsque le principe du débat contradictoire n</w:t>
      </w:r>
      <w:r w:rsidR="0009028A">
        <w:rPr>
          <w:rFonts w:ascii="Arial" w:hAnsi="Arial" w:cs="Arial"/>
        </w:rPr>
        <w:t>’</w:t>
      </w:r>
      <w:r w:rsidRPr="00B34106">
        <w:rPr>
          <w:rFonts w:ascii="Arial" w:hAnsi="Arial" w:cs="Arial"/>
        </w:rPr>
        <w:t>a pas été respecté. Le recours doit être exercé dans les 8 jours francs suivant la signification de la sentence. Il est suspensif de l</w:t>
      </w:r>
      <w:r w:rsidR="0009028A">
        <w:rPr>
          <w:rFonts w:ascii="Arial" w:hAnsi="Arial" w:cs="Arial"/>
        </w:rPr>
        <w:t>’</w:t>
      </w:r>
      <w:r w:rsidRPr="00B34106">
        <w:rPr>
          <w:rFonts w:ascii="Arial" w:hAnsi="Arial" w:cs="Arial"/>
        </w:rPr>
        <w:t>exécution de la sentence arbitrale. En cas d</w:t>
      </w:r>
      <w:r w:rsidR="0009028A">
        <w:rPr>
          <w:rFonts w:ascii="Arial" w:hAnsi="Arial" w:cs="Arial"/>
        </w:rPr>
        <w:t>’</w:t>
      </w:r>
      <w:r w:rsidRPr="00B34106">
        <w:rPr>
          <w:rFonts w:ascii="Arial" w:hAnsi="Arial" w:cs="Arial"/>
        </w:rPr>
        <w:t>annulation de tout ou partie de la sentence arbitrale, la Cour Suprême, dans le délai de trois jours francs suivant la date de sa saisine par la partie la plus diligente, renvoie l</w:t>
      </w:r>
      <w:r w:rsidR="0009028A">
        <w:rPr>
          <w:rFonts w:ascii="Arial" w:hAnsi="Arial" w:cs="Arial"/>
        </w:rPr>
        <w:t>’</w:t>
      </w:r>
      <w:r w:rsidRPr="00B34106">
        <w:rPr>
          <w:rFonts w:ascii="Arial" w:hAnsi="Arial" w:cs="Arial"/>
        </w:rPr>
        <w:t>affaire aux parties qui proposent au ministre chargé du Travail, la constitution d</w:t>
      </w:r>
      <w:r w:rsidR="0009028A">
        <w:rPr>
          <w:rFonts w:ascii="Arial" w:hAnsi="Arial" w:cs="Arial"/>
        </w:rPr>
        <w:t>’</w:t>
      </w:r>
      <w:r w:rsidRPr="00B34106">
        <w:rPr>
          <w:rFonts w:ascii="Arial" w:hAnsi="Arial" w:cs="Arial"/>
        </w:rPr>
        <w:t>un nouveau conseil d</w:t>
      </w:r>
      <w:r w:rsidR="0009028A">
        <w:rPr>
          <w:rFonts w:ascii="Arial" w:hAnsi="Arial" w:cs="Arial"/>
        </w:rPr>
        <w:t>’</w:t>
      </w:r>
      <w:r w:rsidRPr="00B34106">
        <w:rPr>
          <w:rFonts w:ascii="Arial" w:hAnsi="Arial" w:cs="Arial"/>
        </w:rPr>
        <w:t>arbitrage. Dans le cas où la nouvelle sentence est annulée, la Cour Suprême rend, dans les 15 jours suivants le 2</w:t>
      </w:r>
      <w:r w:rsidRPr="00B34106">
        <w:rPr>
          <w:rFonts w:ascii="Arial" w:hAnsi="Arial" w:cs="Arial"/>
          <w:vertAlign w:val="superscript"/>
        </w:rPr>
        <w:t>e</w:t>
      </w:r>
      <w:r w:rsidRPr="00B34106">
        <w:rPr>
          <w:rFonts w:ascii="Arial" w:hAnsi="Arial" w:cs="Arial"/>
        </w:rPr>
        <w:t xml:space="preserve"> arrêt d</w:t>
      </w:r>
      <w:r w:rsidR="0009028A">
        <w:rPr>
          <w:rFonts w:ascii="Arial" w:hAnsi="Arial" w:cs="Arial"/>
        </w:rPr>
        <w:t>’</w:t>
      </w:r>
      <w:r w:rsidRPr="00B34106">
        <w:rPr>
          <w:rFonts w:ascii="Arial" w:hAnsi="Arial" w:cs="Arial"/>
        </w:rPr>
        <w:t>annulation, avec les mêmes pouvoirs qu</w:t>
      </w:r>
      <w:r w:rsidR="0009028A">
        <w:rPr>
          <w:rFonts w:ascii="Arial" w:hAnsi="Arial" w:cs="Arial"/>
        </w:rPr>
        <w:t>’</w:t>
      </w:r>
      <w:r w:rsidRPr="00B34106">
        <w:rPr>
          <w:rFonts w:ascii="Arial" w:hAnsi="Arial" w:cs="Arial"/>
        </w:rPr>
        <w:t>un arbitre, une sentence qui ne peut faire l</w:t>
      </w:r>
      <w:r w:rsidR="0009028A">
        <w:rPr>
          <w:rFonts w:ascii="Arial" w:hAnsi="Arial" w:cs="Arial"/>
        </w:rPr>
        <w:t>’</w:t>
      </w:r>
      <w:r w:rsidRPr="00B34106">
        <w:rPr>
          <w:rFonts w:ascii="Arial" w:hAnsi="Arial" w:cs="Arial"/>
        </w:rPr>
        <w:t>objet d</w:t>
      </w:r>
      <w:r w:rsidR="0009028A">
        <w:rPr>
          <w:rFonts w:ascii="Arial" w:hAnsi="Arial" w:cs="Arial"/>
        </w:rPr>
        <w:t>’</w:t>
      </w:r>
      <w:r w:rsidRPr="00B34106">
        <w:rPr>
          <w:rFonts w:ascii="Arial" w:hAnsi="Arial" w:cs="Arial"/>
        </w:rPr>
        <w:t>aucun recours.</w:t>
      </w:r>
    </w:p>
  </w:footnote>
  <w:footnote w:id="12">
    <w:p w14:paraId="0FB0CF78" w14:textId="1DC22528" w:rsidR="0060770F" w:rsidRPr="00B34106" w:rsidRDefault="00E278A9" w:rsidP="00B34106">
      <w:pPr>
        <w:pStyle w:val="FootnoteText"/>
        <w:jc w:val="both"/>
        <w:rPr>
          <w:rFonts w:ascii="Arial" w:hAnsi="Arial" w:cs="Arial"/>
        </w:rPr>
      </w:pPr>
      <w:r w:rsidRPr="00B34106">
        <w:rPr>
          <w:rStyle w:val="FootnoteReference"/>
          <w:rFonts w:ascii="Arial" w:hAnsi="Arial" w:cs="Arial"/>
          <w:lang w:val="en-GB"/>
        </w:rPr>
        <w:footnoteRef/>
      </w:r>
      <w:r w:rsidRPr="00B34106">
        <w:rPr>
          <w:rFonts w:ascii="Arial" w:hAnsi="Arial" w:cs="Arial"/>
        </w:rPr>
        <w:t xml:space="preserve"> </w:t>
      </w:r>
      <w:r w:rsidRPr="00B34106">
        <w:rPr>
          <w:rFonts w:ascii="Arial" w:hAnsi="Arial" w:cs="Arial"/>
          <w:i/>
        </w:rPr>
        <w:t>Mariam Kouma et Ousmane Diabaté c. République du Mali</w:t>
      </w:r>
      <w:r w:rsidRPr="00B34106">
        <w:rPr>
          <w:rFonts w:ascii="Arial" w:hAnsi="Arial" w:cs="Arial"/>
        </w:rPr>
        <w:t xml:space="preserve"> (compétence et recevabilité) (21 mars 2018) 2 RJCA 246, § 63 ; </w:t>
      </w:r>
      <w:r w:rsidRPr="00B34106">
        <w:rPr>
          <w:rFonts w:ascii="Arial" w:hAnsi="Arial" w:cs="Arial"/>
          <w:i/>
        </w:rPr>
        <w:t>Rutabingwa Chrysanthe c. République du Rwanda</w:t>
      </w:r>
      <w:r w:rsidRPr="00B34106">
        <w:rPr>
          <w:rFonts w:ascii="Arial" w:hAnsi="Arial" w:cs="Arial"/>
        </w:rPr>
        <w:t xml:space="preserve"> (compétence et recevabilité) (11 mai 2018) 2 RJCA 373, § 48 ; </w:t>
      </w:r>
      <w:r w:rsidRPr="00B34106">
        <w:rPr>
          <w:rFonts w:ascii="Arial" w:hAnsi="Arial" w:cs="Arial"/>
          <w:i/>
        </w:rPr>
        <w:t>Collectif des anciens travailleurs ALS c. République du Mali</w:t>
      </w:r>
      <w:r w:rsidR="009838DF">
        <w:rPr>
          <w:rFonts w:ascii="Arial" w:hAnsi="Arial" w:cs="Arial"/>
          <w:i/>
        </w:rPr>
        <w:t xml:space="preserve"> </w:t>
      </w:r>
      <w:r w:rsidR="009838DF">
        <w:rPr>
          <w:rFonts w:ascii="Arial" w:hAnsi="Arial" w:cs="Arial"/>
        </w:rPr>
        <w:t>(compétence et recevabilité) (28 mars 2019) 3 RJCA 77</w:t>
      </w:r>
      <w:r w:rsidRPr="00B34106">
        <w:rPr>
          <w:rFonts w:ascii="Arial" w:hAnsi="Arial" w:cs="Arial"/>
        </w:rPr>
        <w:t>, § 3</w:t>
      </w:r>
      <w:r w:rsidR="009838DF">
        <w:rPr>
          <w:rFonts w:ascii="Arial" w:hAnsi="Arial" w:cs="Arial"/>
        </w:rPr>
        <w:t>8</w:t>
      </w:r>
      <w:r w:rsidRPr="00B34106">
        <w:rPr>
          <w:rFonts w:ascii="Arial" w:hAnsi="Arial" w:cs="Arial"/>
        </w:rPr>
        <w:t>.</w:t>
      </w:r>
    </w:p>
  </w:footnote>
  <w:footnote w:id="13">
    <w:p w14:paraId="0D13F016" w14:textId="77777777" w:rsidR="0060770F" w:rsidRPr="00B34106" w:rsidRDefault="00E278A9" w:rsidP="00B34106">
      <w:pPr>
        <w:pStyle w:val="FootnoteText"/>
        <w:jc w:val="both"/>
        <w:rPr>
          <w:rFonts w:ascii="Arial" w:hAnsi="Arial" w:cs="Arial"/>
        </w:rPr>
      </w:pPr>
      <w:r w:rsidRPr="00B34106">
        <w:rPr>
          <w:rStyle w:val="FootnoteReference"/>
          <w:rFonts w:ascii="Arial" w:hAnsi="Arial" w:cs="Arial"/>
          <w:lang w:val="en-GB"/>
        </w:rPr>
        <w:footnoteRef/>
      </w:r>
      <w:r w:rsidRPr="00B34106">
        <w:rPr>
          <w:rFonts w:ascii="Arial" w:hAnsi="Arial" w:cs="Arial"/>
        </w:rPr>
        <w:t xml:space="preserve"> </w:t>
      </w:r>
      <w:r w:rsidRPr="00B34106">
        <w:rPr>
          <w:rFonts w:ascii="Arial" w:hAnsi="Arial" w:cs="Arial"/>
          <w:i/>
        </w:rPr>
        <w:t>Ibid</w:t>
      </w:r>
      <w:r w:rsidRPr="00B34106">
        <w:rPr>
          <w:rFonts w:ascii="Arial" w:hAnsi="Arial" w:cs="Arial"/>
        </w:rPr>
        <w:t>.</w:t>
      </w:r>
    </w:p>
  </w:footnote>
  <w:footnote w:id="14">
    <w:p w14:paraId="50EE2607" w14:textId="77777777" w:rsidR="0060770F" w:rsidRPr="00B34106" w:rsidRDefault="00E278A9" w:rsidP="00B34106">
      <w:pPr>
        <w:pStyle w:val="FootnoteText"/>
        <w:jc w:val="both"/>
        <w:rPr>
          <w:rFonts w:ascii="Arial" w:hAnsi="Arial" w:cs="Arial"/>
        </w:rPr>
      </w:pPr>
      <w:r w:rsidRPr="00B34106">
        <w:rPr>
          <w:rStyle w:val="FootnoteReference"/>
          <w:rFonts w:ascii="Arial" w:hAnsi="Arial" w:cs="Arial"/>
          <w:lang w:val="en-GB"/>
        </w:rPr>
        <w:footnoteRef/>
      </w:r>
      <w:r w:rsidRPr="00B34106">
        <w:rPr>
          <w:rFonts w:ascii="Arial" w:hAnsi="Arial" w:cs="Arial"/>
        </w:rPr>
        <w:t xml:space="preserve"> Article 30(2) du Règlement intérieur de la Cour du 2 juin 2010.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1204"/>
    <w:multiLevelType w:val="multilevel"/>
    <w:tmpl w:val="002E1204"/>
    <w:lvl w:ilvl="0">
      <w:start w:val="1"/>
      <w:numFmt w:val="lowerRoman"/>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B2E222E"/>
    <w:multiLevelType w:val="multilevel"/>
    <w:tmpl w:val="0B2E222E"/>
    <w:lvl w:ilvl="0">
      <w:start w:val="1"/>
      <w:numFmt w:val="lowerRoman"/>
      <w:lvlText w:val="%1."/>
      <w:lvlJc w:val="left"/>
      <w:pPr>
        <w:ind w:left="643" w:hanging="36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 w15:restartNumberingAfterBreak="0">
    <w:nsid w:val="13E03535"/>
    <w:multiLevelType w:val="multilevel"/>
    <w:tmpl w:val="13E03535"/>
    <w:lvl w:ilvl="0">
      <w:start w:val="1"/>
      <w:numFmt w:val="decimal"/>
      <w:lvlText w:val="%1."/>
      <w:lvlJc w:val="left"/>
      <w:pPr>
        <w:ind w:left="720" w:hanging="360"/>
      </w:pPr>
      <w:rPr>
        <w:b w:val="0"/>
        <w:lang w:val="e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E41F60"/>
    <w:multiLevelType w:val="multilevel"/>
    <w:tmpl w:val="18E41F60"/>
    <w:lvl w:ilvl="0">
      <w:start w:val="1"/>
      <w:numFmt w:val="lowerRoman"/>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AE2018"/>
    <w:multiLevelType w:val="multilevel"/>
    <w:tmpl w:val="2AAE2018"/>
    <w:lvl w:ilvl="0">
      <w:start w:val="1"/>
      <w:numFmt w:val="lowerRoman"/>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294536"/>
    <w:multiLevelType w:val="multilevel"/>
    <w:tmpl w:val="38294536"/>
    <w:lvl w:ilvl="0">
      <w:start w:val="1"/>
      <w:numFmt w:val="lowerLetter"/>
      <w:lvlText w:val="%1."/>
      <w:lvlJc w:val="left"/>
      <w:pPr>
        <w:ind w:left="1571" w:hanging="360"/>
      </w:pPr>
      <w:rPr>
        <w:rFonts w:hint="default"/>
        <w:b w:val="0"/>
        <w:sz w:val="22"/>
        <w:szCs w:val="22"/>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 w15:restartNumberingAfterBreak="0">
    <w:nsid w:val="416E548A"/>
    <w:multiLevelType w:val="multilevel"/>
    <w:tmpl w:val="416E548A"/>
    <w:lvl w:ilvl="0">
      <w:start w:val="1"/>
      <w:numFmt w:val="lowerRoman"/>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58B96B70"/>
    <w:multiLevelType w:val="multilevel"/>
    <w:tmpl w:val="58B96B70"/>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F04539"/>
    <w:multiLevelType w:val="multilevel"/>
    <w:tmpl w:val="5FF04539"/>
    <w:lvl w:ilvl="0">
      <w:start w:val="1"/>
      <w:numFmt w:val="upperLetter"/>
      <w:lvlText w:val="%1."/>
      <w:lvlJc w:val="left"/>
      <w:pPr>
        <w:ind w:left="720" w:hanging="360"/>
      </w:pPr>
      <w:rPr>
        <w:rFonts w:ascii="Arial" w:eastAsia="Arial" w:hAnsi="Arial" w:cs="Arial" w:hint="default"/>
        <w:b/>
        <w:bCs/>
        <w:i w:val="0"/>
        <w:iCs w:val="0"/>
        <w:spacing w:val="-6"/>
        <w:w w:val="99"/>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30B6068"/>
    <w:multiLevelType w:val="multilevel"/>
    <w:tmpl w:val="630B6068"/>
    <w:lvl w:ilvl="0">
      <w:start w:val="1"/>
      <w:numFmt w:val="lowerRoman"/>
      <w:lvlText w:val="%1."/>
      <w:lvlJc w:val="left"/>
      <w:pPr>
        <w:ind w:left="2160" w:hanging="360"/>
      </w:pPr>
      <w:rPr>
        <w:rFonts w:hint="default"/>
        <w:b w:val="0"/>
        <w:i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653446AE"/>
    <w:multiLevelType w:val="multilevel"/>
    <w:tmpl w:val="653446AE"/>
    <w:lvl w:ilvl="0">
      <w:start w:val="1"/>
      <w:numFmt w:val="upperLetter"/>
      <w:lvlText w:val="%1."/>
      <w:lvlJc w:val="left"/>
      <w:pPr>
        <w:ind w:left="1287" w:hanging="360"/>
      </w:pPr>
      <w:rPr>
        <w:rFonts w:ascii="Arial" w:eastAsia="Arial" w:hAnsi="Arial" w:cs="Arial" w:hint="default"/>
        <w:b/>
        <w:bCs/>
        <w:i w:val="0"/>
        <w:iCs w:val="0"/>
        <w:spacing w:val="-6"/>
        <w:w w:val="99"/>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78687FAF"/>
    <w:multiLevelType w:val="multilevel"/>
    <w:tmpl w:val="78687FAF"/>
    <w:lvl w:ilvl="0">
      <w:start w:val="1"/>
      <w:numFmt w:val="upperRoman"/>
      <w:pStyle w:val="Heading1"/>
      <w:lvlText w:val="%1."/>
      <w:lvlJc w:val="left"/>
      <w:pPr>
        <w:ind w:left="720" w:hanging="360"/>
      </w:pPr>
      <w:rPr>
        <w:rFonts w:ascii="Arial" w:hAnsi="Arial" w:cs="Arial" w:hint="default"/>
        <w:b/>
        <w:i w:val="0"/>
        <w:strike w:val="0"/>
        <w:dstrike w:val="0"/>
        <w:vanish w:val="0"/>
        <w:spacing w:val="0"/>
        <w:sz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CCB454A"/>
    <w:multiLevelType w:val="multilevel"/>
    <w:tmpl w:val="7CCB454A"/>
    <w:lvl w:ilvl="0">
      <w:start w:val="1"/>
      <w:numFmt w:val="lowerRoman"/>
      <w:lvlText w:val="%1."/>
      <w:lvlJc w:val="right"/>
      <w:pPr>
        <w:ind w:left="1575" w:hanging="360"/>
      </w:pPr>
    </w:lvl>
    <w:lvl w:ilvl="1">
      <w:start w:val="1"/>
      <w:numFmt w:val="lowerRoman"/>
      <w:lvlText w:val="%2."/>
      <w:lvlJc w:val="left"/>
      <w:pPr>
        <w:ind w:left="720" w:hanging="360"/>
      </w:pPr>
      <w:rPr>
        <w:rFonts w:hint="default"/>
      </w:rPr>
    </w:lvl>
    <w:lvl w:ilvl="2">
      <w:start w:val="1"/>
      <w:numFmt w:val="arabicAlpha"/>
      <w:lvlText w:val="%3."/>
      <w:lvlJc w:val="left"/>
      <w:pPr>
        <w:ind w:left="3195" w:hanging="360"/>
      </w:pPr>
      <w:rPr>
        <w:rFonts w:hint="default"/>
      </w:rPr>
    </w:lvl>
    <w:lvl w:ilvl="3">
      <w:start w:val="1"/>
      <w:numFmt w:val="decimal"/>
      <w:lvlText w:val="%4."/>
      <w:lvlJc w:val="left"/>
      <w:pPr>
        <w:ind w:left="3735" w:hanging="360"/>
      </w:pPr>
    </w:lvl>
    <w:lvl w:ilvl="4">
      <w:start w:val="1"/>
      <w:numFmt w:val="lowerLetter"/>
      <w:lvlText w:val="%5."/>
      <w:lvlJc w:val="left"/>
      <w:pPr>
        <w:ind w:left="4455" w:hanging="360"/>
      </w:pPr>
    </w:lvl>
    <w:lvl w:ilvl="5">
      <w:start w:val="1"/>
      <w:numFmt w:val="lowerRoman"/>
      <w:lvlText w:val="%6."/>
      <w:lvlJc w:val="right"/>
      <w:pPr>
        <w:ind w:left="5175" w:hanging="180"/>
      </w:pPr>
    </w:lvl>
    <w:lvl w:ilvl="6">
      <w:start w:val="1"/>
      <w:numFmt w:val="decimal"/>
      <w:lvlText w:val="%7."/>
      <w:lvlJc w:val="left"/>
      <w:pPr>
        <w:ind w:left="5895" w:hanging="360"/>
      </w:pPr>
    </w:lvl>
    <w:lvl w:ilvl="7">
      <w:start w:val="1"/>
      <w:numFmt w:val="lowerLetter"/>
      <w:lvlText w:val="%8."/>
      <w:lvlJc w:val="left"/>
      <w:pPr>
        <w:ind w:left="6615" w:hanging="360"/>
      </w:pPr>
    </w:lvl>
    <w:lvl w:ilvl="8">
      <w:start w:val="1"/>
      <w:numFmt w:val="lowerRoman"/>
      <w:lvlText w:val="%9."/>
      <w:lvlJc w:val="right"/>
      <w:pPr>
        <w:ind w:left="7335" w:hanging="180"/>
      </w:pPr>
    </w:lvl>
  </w:abstractNum>
  <w:num w:numId="1" w16cid:durableId="597059826">
    <w:abstractNumId w:val="11"/>
  </w:num>
  <w:num w:numId="2" w16cid:durableId="15616776">
    <w:abstractNumId w:val="7"/>
  </w:num>
  <w:num w:numId="3" w16cid:durableId="1330252894">
    <w:abstractNumId w:val="6"/>
  </w:num>
  <w:num w:numId="4" w16cid:durableId="1672173189">
    <w:abstractNumId w:val="2"/>
  </w:num>
  <w:num w:numId="5" w16cid:durableId="1877620642">
    <w:abstractNumId w:val="10"/>
  </w:num>
  <w:num w:numId="6" w16cid:durableId="5140314">
    <w:abstractNumId w:val="12"/>
  </w:num>
  <w:num w:numId="7" w16cid:durableId="1708674926">
    <w:abstractNumId w:val="1"/>
  </w:num>
  <w:num w:numId="8" w16cid:durableId="2067365416">
    <w:abstractNumId w:val="4"/>
  </w:num>
  <w:num w:numId="9" w16cid:durableId="149560410">
    <w:abstractNumId w:val="3"/>
  </w:num>
  <w:num w:numId="10" w16cid:durableId="1592548579">
    <w:abstractNumId w:val="0"/>
  </w:num>
  <w:num w:numId="11" w16cid:durableId="797146125">
    <w:abstractNumId w:val="5"/>
  </w:num>
  <w:num w:numId="12" w16cid:durableId="306516987">
    <w:abstractNumId w:val="8"/>
  </w:num>
  <w:num w:numId="13" w16cid:durableId="63113595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02A"/>
    <w:rsid w:val="0000266D"/>
    <w:rsid w:val="00004FFE"/>
    <w:rsid w:val="000129C8"/>
    <w:rsid w:val="00016864"/>
    <w:rsid w:val="0001757C"/>
    <w:rsid w:val="00021431"/>
    <w:rsid w:val="000237FC"/>
    <w:rsid w:val="000241C9"/>
    <w:rsid w:val="00044FA3"/>
    <w:rsid w:val="0004635E"/>
    <w:rsid w:val="00046A0E"/>
    <w:rsid w:val="0005505C"/>
    <w:rsid w:val="000650DE"/>
    <w:rsid w:val="00073B92"/>
    <w:rsid w:val="0007656A"/>
    <w:rsid w:val="00081C5E"/>
    <w:rsid w:val="000870AA"/>
    <w:rsid w:val="0009028A"/>
    <w:rsid w:val="0009039B"/>
    <w:rsid w:val="000945FF"/>
    <w:rsid w:val="00096684"/>
    <w:rsid w:val="000A071C"/>
    <w:rsid w:val="000A31EE"/>
    <w:rsid w:val="000A369E"/>
    <w:rsid w:val="000A5BD4"/>
    <w:rsid w:val="000A7DBF"/>
    <w:rsid w:val="000B1417"/>
    <w:rsid w:val="000B2621"/>
    <w:rsid w:val="000B3799"/>
    <w:rsid w:val="000B755A"/>
    <w:rsid w:val="000C0078"/>
    <w:rsid w:val="000C3BD4"/>
    <w:rsid w:val="000D294C"/>
    <w:rsid w:val="000D4C0F"/>
    <w:rsid w:val="000E09C1"/>
    <w:rsid w:val="000E65A3"/>
    <w:rsid w:val="000F118D"/>
    <w:rsid w:val="000F2906"/>
    <w:rsid w:val="000F5B31"/>
    <w:rsid w:val="000F5EDD"/>
    <w:rsid w:val="000F7C14"/>
    <w:rsid w:val="00103C15"/>
    <w:rsid w:val="00105DE5"/>
    <w:rsid w:val="00107B41"/>
    <w:rsid w:val="00115BB0"/>
    <w:rsid w:val="00116F0C"/>
    <w:rsid w:val="00117CBA"/>
    <w:rsid w:val="001239D6"/>
    <w:rsid w:val="00125835"/>
    <w:rsid w:val="00126B02"/>
    <w:rsid w:val="00127593"/>
    <w:rsid w:val="00127A9A"/>
    <w:rsid w:val="00131C1E"/>
    <w:rsid w:val="001324C2"/>
    <w:rsid w:val="0013305D"/>
    <w:rsid w:val="00151D2B"/>
    <w:rsid w:val="00152B62"/>
    <w:rsid w:val="00155165"/>
    <w:rsid w:val="001615DA"/>
    <w:rsid w:val="00166CC3"/>
    <w:rsid w:val="00171A5C"/>
    <w:rsid w:val="0017288A"/>
    <w:rsid w:val="00173A37"/>
    <w:rsid w:val="001770E9"/>
    <w:rsid w:val="00177B61"/>
    <w:rsid w:val="00184FCB"/>
    <w:rsid w:val="001878E8"/>
    <w:rsid w:val="00187B30"/>
    <w:rsid w:val="00192754"/>
    <w:rsid w:val="00196448"/>
    <w:rsid w:val="00196884"/>
    <w:rsid w:val="001A2F64"/>
    <w:rsid w:val="001A7C46"/>
    <w:rsid w:val="001D4111"/>
    <w:rsid w:val="001D5467"/>
    <w:rsid w:val="001E7AE0"/>
    <w:rsid w:val="002042BF"/>
    <w:rsid w:val="00205E25"/>
    <w:rsid w:val="0021193A"/>
    <w:rsid w:val="00212FC5"/>
    <w:rsid w:val="002137D3"/>
    <w:rsid w:val="0021777F"/>
    <w:rsid w:val="002318D3"/>
    <w:rsid w:val="00241057"/>
    <w:rsid w:val="00246D19"/>
    <w:rsid w:val="0025002A"/>
    <w:rsid w:val="00251629"/>
    <w:rsid w:val="0025241E"/>
    <w:rsid w:val="00261D42"/>
    <w:rsid w:val="00271DB5"/>
    <w:rsid w:val="0027218B"/>
    <w:rsid w:val="002724D5"/>
    <w:rsid w:val="002725D5"/>
    <w:rsid w:val="00276CFD"/>
    <w:rsid w:val="00280E29"/>
    <w:rsid w:val="00281709"/>
    <w:rsid w:val="0028632D"/>
    <w:rsid w:val="00290CB5"/>
    <w:rsid w:val="002A2144"/>
    <w:rsid w:val="002A47EE"/>
    <w:rsid w:val="002A63A0"/>
    <w:rsid w:val="002B0054"/>
    <w:rsid w:val="002C69DF"/>
    <w:rsid w:val="002D1239"/>
    <w:rsid w:val="002D20E2"/>
    <w:rsid w:val="002D5952"/>
    <w:rsid w:val="002E7D5A"/>
    <w:rsid w:val="002F417A"/>
    <w:rsid w:val="00304D52"/>
    <w:rsid w:val="00305329"/>
    <w:rsid w:val="00314ED0"/>
    <w:rsid w:val="00336A43"/>
    <w:rsid w:val="00344865"/>
    <w:rsid w:val="00347385"/>
    <w:rsid w:val="0035450D"/>
    <w:rsid w:val="0035585A"/>
    <w:rsid w:val="00360FA0"/>
    <w:rsid w:val="00364DEC"/>
    <w:rsid w:val="00372B60"/>
    <w:rsid w:val="003813B9"/>
    <w:rsid w:val="0038517E"/>
    <w:rsid w:val="00385B72"/>
    <w:rsid w:val="003929FE"/>
    <w:rsid w:val="003940DB"/>
    <w:rsid w:val="00396BF4"/>
    <w:rsid w:val="003B3EBE"/>
    <w:rsid w:val="003B4CB9"/>
    <w:rsid w:val="003C0BBE"/>
    <w:rsid w:val="003C2769"/>
    <w:rsid w:val="003C504A"/>
    <w:rsid w:val="003C56A5"/>
    <w:rsid w:val="003C7F9C"/>
    <w:rsid w:val="003D3D03"/>
    <w:rsid w:val="003D40D7"/>
    <w:rsid w:val="003D42C3"/>
    <w:rsid w:val="003D4492"/>
    <w:rsid w:val="003D6A5E"/>
    <w:rsid w:val="003E72F3"/>
    <w:rsid w:val="00416607"/>
    <w:rsid w:val="00417A3D"/>
    <w:rsid w:val="00422FB7"/>
    <w:rsid w:val="00435783"/>
    <w:rsid w:val="00436061"/>
    <w:rsid w:val="00440F39"/>
    <w:rsid w:val="00440F4A"/>
    <w:rsid w:val="00446F4B"/>
    <w:rsid w:val="00451119"/>
    <w:rsid w:val="004512D3"/>
    <w:rsid w:val="00456AF3"/>
    <w:rsid w:val="00462103"/>
    <w:rsid w:val="00462A48"/>
    <w:rsid w:val="00462B10"/>
    <w:rsid w:val="004631BA"/>
    <w:rsid w:val="00470D7F"/>
    <w:rsid w:val="00474E40"/>
    <w:rsid w:val="004842C2"/>
    <w:rsid w:val="00485CE0"/>
    <w:rsid w:val="0048696E"/>
    <w:rsid w:val="00487C24"/>
    <w:rsid w:val="004908EB"/>
    <w:rsid w:val="00493F4F"/>
    <w:rsid w:val="00496688"/>
    <w:rsid w:val="004A6C85"/>
    <w:rsid w:val="004B1EEE"/>
    <w:rsid w:val="004B62CA"/>
    <w:rsid w:val="004C047C"/>
    <w:rsid w:val="004C2315"/>
    <w:rsid w:val="004D0DF4"/>
    <w:rsid w:val="004D1935"/>
    <w:rsid w:val="004D2C99"/>
    <w:rsid w:val="004D2DA9"/>
    <w:rsid w:val="004D40E5"/>
    <w:rsid w:val="004D5FF6"/>
    <w:rsid w:val="004D7CAB"/>
    <w:rsid w:val="00500B35"/>
    <w:rsid w:val="00500C26"/>
    <w:rsid w:val="005133E6"/>
    <w:rsid w:val="005210B0"/>
    <w:rsid w:val="00523AC3"/>
    <w:rsid w:val="00532020"/>
    <w:rsid w:val="00535122"/>
    <w:rsid w:val="00535A8B"/>
    <w:rsid w:val="00537A71"/>
    <w:rsid w:val="00545CEF"/>
    <w:rsid w:val="0055025D"/>
    <w:rsid w:val="00552218"/>
    <w:rsid w:val="00554ADC"/>
    <w:rsid w:val="0057244B"/>
    <w:rsid w:val="00573EDF"/>
    <w:rsid w:val="00576D16"/>
    <w:rsid w:val="005909FF"/>
    <w:rsid w:val="005912C9"/>
    <w:rsid w:val="00597D38"/>
    <w:rsid w:val="005A1D95"/>
    <w:rsid w:val="005A237D"/>
    <w:rsid w:val="005B0B48"/>
    <w:rsid w:val="005B27B2"/>
    <w:rsid w:val="005B3DEE"/>
    <w:rsid w:val="005B40A8"/>
    <w:rsid w:val="005B569D"/>
    <w:rsid w:val="005C068A"/>
    <w:rsid w:val="005C345D"/>
    <w:rsid w:val="005C448E"/>
    <w:rsid w:val="005D0658"/>
    <w:rsid w:val="005D6DC4"/>
    <w:rsid w:val="005E0F1B"/>
    <w:rsid w:val="005E174C"/>
    <w:rsid w:val="005E63FD"/>
    <w:rsid w:val="005F1986"/>
    <w:rsid w:val="005F2773"/>
    <w:rsid w:val="005F492B"/>
    <w:rsid w:val="00600CFC"/>
    <w:rsid w:val="00607646"/>
    <w:rsid w:val="0060770F"/>
    <w:rsid w:val="0061054B"/>
    <w:rsid w:val="00621280"/>
    <w:rsid w:val="006220ED"/>
    <w:rsid w:val="00627FE1"/>
    <w:rsid w:val="0063011D"/>
    <w:rsid w:val="006404FC"/>
    <w:rsid w:val="006444BD"/>
    <w:rsid w:val="0065182B"/>
    <w:rsid w:val="006518F7"/>
    <w:rsid w:val="00652248"/>
    <w:rsid w:val="00653E70"/>
    <w:rsid w:val="0066559D"/>
    <w:rsid w:val="00683D57"/>
    <w:rsid w:val="00692C70"/>
    <w:rsid w:val="00693F6F"/>
    <w:rsid w:val="00694E2C"/>
    <w:rsid w:val="006A1397"/>
    <w:rsid w:val="006C2A43"/>
    <w:rsid w:val="006C3047"/>
    <w:rsid w:val="006D7890"/>
    <w:rsid w:val="006E4B8E"/>
    <w:rsid w:val="006F170E"/>
    <w:rsid w:val="006F6336"/>
    <w:rsid w:val="00700E50"/>
    <w:rsid w:val="007060B8"/>
    <w:rsid w:val="007109B0"/>
    <w:rsid w:val="00713A04"/>
    <w:rsid w:val="00723D2D"/>
    <w:rsid w:val="0073736C"/>
    <w:rsid w:val="00741942"/>
    <w:rsid w:val="00750CE3"/>
    <w:rsid w:val="00751D6C"/>
    <w:rsid w:val="00753D0A"/>
    <w:rsid w:val="0075738D"/>
    <w:rsid w:val="00770C03"/>
    <w:rsid w:val="007715FE"/>
    <w:rsid w:val="00774BD5"/>
    <w:rsid w:val="00780EDC"/>
    <w:rsid w:val="007816E6"/>
    <w:rsid w:val="007928FB"/>
    <w:rsid w:val="00793401"/>
    <w:rsid w:val="007A26B0"/>
    <w:rsid w:val="007A469E"/>
    <w:rsid w:val="007B13DB"/>
    <w:rsid w:val="007B1E42"/>
    <w:rsid w:val="007B2385"/>
    <w:rsid w:val="007B285E"/>
    <w:rsid w:val="007C69F5"/>
    <w:rsid w:val="007D032D"/>
    <w:rsid w:val="007D0A84"/>
    <w:rsid w:val="007E208F"/>
    <w:rsid w:val="007F1DA4"/>
    <w:rsid w:val="007F31C3"/>
    <w:rsid w:val="007F4600"/>
    <w:rsid w:val="007F4D5E"/>
    <w:rsid w:val="007F5B34"/>
    <w:rsid w:val="007F6A7E"/>
    <w:rsid w:val="007F6F25"/>
    <w:rsid w:val="008168B0"/>
    <w:rsid w:val="00817B99"/>
    <w:rsid w:val="008249B4"/>
    <w:rsid w:val="00824A55"/>
    <w:rsid w:val="00835C30"/>
    <w:rsid w:val="008375CD"/>
    <w:rsid w:val="00842DCE"/>
    <w:rsid w:val="00855E97"/>
    <w:rsid w:val="008663E0"/>
    <w:rsid w:val="00877836"/>
    <w:rsid w:val="00883EE0"/>
    <w:rsid w:val="008901B8"/>
    <w:rsid w:val="00890DFE"/>
    <w:rsid w:val="0089308B"/>
    <w:rsid w:val="008A3D85"/>
    <w:rsid w:val="008B24B7"/>
    <w:rsid w:val="008B5A00"/>
    <w:rsid w:val="008B5BB8"/>
    <w:rsid w:val="008C23B3"/>
    <w:rsid w:val="008C28BC"/>
    <w:rsid w:val="008D0AA0"/>
    <w:rsid w:val="008D30CF"/>
    <w:rsid w:val="008D41BF"/>
    <w:rsid w:val="008D489B"/>
    <w:rsid w:val="008D6B21"/>
    <w:rsid w:val="008E6275"/>
    <w:rsid w:val="008F0679"/>
    <w:rsid w:val="008F152F"/>
    <w:rsid w:val="008F6ED7"/>
    <w:rsid w:val="00901929"/>
    <w:rsid w:val="009050B4"/>
    <w:rsid w:val="00906BED"/>
    <w:rsid w:val="00907C9E"/>
    <w:rsid w:val="00915E16"/>
    <w:rsid w:val="0092109C"/>
    <w:rsid w:val="00924847"/>
    <w:rsid w:val="009277B9"/>
    <w:rsid w:val="00933B60"/>
    <w:rsid w:val="009362DC"/>
    <w:rsid w:val="00936545"/>
    <w:rsid w:val="00951626"/>
    <w:rsid w:val="00955319"/>
    <w:rsid w:val="009554C8"/>
    <w:rsid w:val="0095708E"/>
    <w:rsid w:val="00966566"/>
    <w:rsid w:val="009667C9"/>
    <w:rsid w:val="00971C1D"/>
    <w:rsid w:val="009752C2"/>
    <w:rsid w:val="00980D48"/>
    <w:rsid w:val="009838DF"/>
    <w:rsid w:val="009908D4"/>
    <w:rsid w:val="00991052"/>
    <w:rsid w:val="0099219C"/>
    <w:rsid w:val="009949C4"/>
    <w:rsid w:val="00996D5C"/>
    <w:rsid w:val="009A30FF"/>
    <w:rsid w:val="009A55F7"/>
    <w:rsid w:val="009A719E"/>
    <w:rsid w:val="009A7456"/>
    <w:rsid w:val="009B470D"/>
    <w:rsid w:val="009B73CD"/>
    <w:rsid w:val="009C106B"/>
    <w:rsid w:val="009C3A58"/>
    <w:rsid w:val="009C7FD4"/>
    <w:rsid w:val="009D3E18"/>
    <w:rsid w:val="009E2D2E"/>
    <w:rsid w:val="009E49A6"/>
    <w:rsid w:val="009E50A0"/>
    <w:rsid w:val="00A1089C"/>
    <w:rsid w:val="00A129B0"/>
    <w:rsid w:val="00A14B93"/>
    <w:rsid w:val="00A239F2"/>
    <w:rsid w:val="00A23C8E"/>
    <w:rsid w:val="00A267E4"/>
    <w:rsid w:val="00A3246E"/>
    <w:rsid w:val="00A42F45"/>
    <w:rsid w:val="00A43A41"/>
    <w:rsid w:val="00A511E9"/>
    <w:rsid w:val="00A5445C"/>
    <w:rsid w:val="00A553BC"/>
    <w:rsid w:val="00A63F6D"/>
    <w:rsid w:val="00A65DBD"/>
    <w:rsid w:val="00A67C77"/>
    <w:rsid w:val="00A75180"/>
    <w:rsid w:val="00A75A71"/>
    <w:rsid w:val="00A75E26"/>
    <w:rsid w:val="00A8449F"/>
    <w:rsid w:val="00A9314E"/>
    <w:rsid w:val="00A95A2E"/>
    <w:rsid w:val="00A97EA7"/>
    <w:rsid w:val="00AA7C3F"/>
    <w:rsid w:val="00AB2B39"/>
    <w:rsid w:val="00AB6D11"/>
    <w:rsid w:val="00AC0594"/>
    <w:rsid w:val="00AC2C53"/>
    <w:rsid w:val="00AC48A6"/>
    <w:rsid w:val="00AC5754"/>
    <w:rsid w:val="00AC6557"/>
    <w:rsid w:val="00AD21EC"/>
    <w:rsid w:val="00AD3CDD"/>
    <w:rsid w:val="00AD7593"/>
    <w:rsid w:val="00AE1111"/>
    <w:rsid w:val="00AE6A11"/>
    <w:rsid w:val="00AF573E"/>
    <w:rsid w:val="00AF6945"/>
    <w:rsid w:val="00B00074"/>
    <w:rsid w:val="00B05488"/>
    <w:rsid w:val="00B12153"/>
    <w:rsid w:val="00B12F62"/>
    <w:rsid w:val="00B17558"/>
    <w:rsid w:val="00B17C3E"/>
    <w:rsid w:val="00B20202"/>
    <w:rsid w:val="00B22F61"/>
    <w:rsid w:val="00B27DD0"/>
    <w:rsid w:val="00B32BBE"/>
    <w:rsid w:val="00B34106"/>
    <w:rsid w:val="00B4126B"/>
    <w:rsid w:val="00B465CD"/>
    <w:rsid w:val="00B4769E"/>
    <w:rsid w:val="00B50E12"/>
    <w:rsid w:val="00B52FFB"/>
    <w:rsid w:val="00B60671"/>
    <w:rsid w:val="00B66FCB"/>
    <w:rsid w:val="00B80EDC"/>
    <w:rsid w:val="00B87593"/>
    <w:rsid w:val="00B90A81"/>
    <w:rsid w:val="00B92495"/>
    <w:rsid w:val="00B92869"/>
    <w:rsid w:val="00B97E99"/>
    <w:rsid w:val="00BA0B92"/>
    <w:rsid w:val="00BB1783"/>
    <w:rsid w:val="00BB2206"/>
    <w:rsid w:val="00BB39B8"/>
    <w:rsid w:val="00BB5C1A"/>
    <w:rsid w:val="00BB7FCA"/>
    <w:rsid w:val="00BC0060"/>
    <w:rsid w:val="00BC33E4"/>
    <w:rsid w:val="00BD1F35"/>
    <w:rsid w:val="00BD4B16"/>
    <w:rsid w:val="00BD587A"/>
    <w:rsid w:val="00BD7F0C"/>
    <w:rsid w:val="00BE0C79"/>
    <w:rsid w:val="00BE4F64"/>
    <w:rsid w:val="00BF2E69"/>
    <w:rsid w:val="00BF4BA7"/>
    <w:rsid w:val="00BF5ABA"/>
    <w:rsid w:val="00C0047F"/>
    <w:rsid w:val="00C00A10"/>
    <w:rsid w:val="00C01580"/>
    <w:rsid w:val="00C0668E"/>
    <w:rsid w:val="00C133B8"/>
    <w:rsid w:val="00C20442"/>
    <w:rsid w:val="00C30A02"/>
    <w:rsid w:val="00C32946"/>
    <w:rsid w:val="00C35D36"/>
    <w:rsid w:val="00C43D93"/>
    <w:rsid w:val="00C468CB"/>
    <w:rsid w:val="00C6180C"/>
    <w:rsid w:val="00C62F3B"/>
    <w:rsid w:val="00C661E4"/>
    <w:rsid w:val="00C66E28"/>
    <w:rsid w:val="00C70AC8"/>
    <w:rsid w:val="00C7295F"/>
    <w:rsid w:val="00C73BA2"/>
    <w:rsid w:val="00C80258"/>
    <w:rsid w:val="00C805F8"/>
    <w:rsid w:val="00C849A6"/>
    <w:rsid w:val="00C872D7"/>
    <w:rsid w:val="00C954BB"/>
    <w:rsid w:val="00C96647"/>
    <w:rsid w:val="00CA3369"/>
    <w:rsid w:val="00CA54C3"/>
    <w:rsid w:val="00CB08FC"/>
    <w:rsid w:val="00CB678D"/>
    <w:rsid w:val="00CB76BB"/>
    <w:rsid w:val="00CB7FBE"/>
    <w:rsid w:val="00CC222E"/>
    <w:rsid w:val="00CD7AE9"/>
    <w:rsid w:val="00CD7B3A"/>
    <w:rsid w:val="00CD7E6E"/>
    <w:rsid w:val="00CE13EB"/>
    <w:rsid w:val="00CE303E"/>
    <w:rsid w:val="00CE3DE1"/>
    <w:rsid w:val="00CE65C7"/>
    <w:rsid w:val="00D01944"/>
    <w:rsid w:val="00D02120"/>
    <w:rsid w:val="00D069A4"/>
    <w:rsid w:val="00D10D44"/>
    <w:rsid w:val="00D17FA1"/>
    <w:rsid w:val="00D40844"/>
    <w:rsid w:val="00D4282F"/>
    <w:rsid w:val="00D432A5"/>
    <w:rsid w:val="00D46C33"/>
    <w:rsid w:val="00D544AE"/>
    <w:rsid w:val="00D57CC9"/>
    <w:rsid w:val="00D605BF"/>
    <w:rsid w:val="00D609F3"/>
    <w:rsid w:val="00D624B1"/>
    <w:rsid w:val="00D65D0B"/>
    <w:rsid w:val="00D731B4"/>
    <w:rsid w:val="00D73E01"/>
    <w:rsid w:val="00D75930"/>
    <w:rsid w:val="00D80E75"/>
    <w:rsid w:val="00D840FB"/>
    <w:rsid w:val="00D85F8B"/>
    <w:rsid w:val="00D8620E"/>
    <w:rsid w:val="00D87478"/>
    <w:rsid w:val="00D94A28"/>
    <w:rsid w:val="00D964C0"/>
    <w:rsid w:val="00DA0E68"/>
    <w:rsid w:val="00DA1405"/>
    <w:rsid w:val="00DA1772"/>
    <w:rsid w:val="00DA5A56"/>
    <w:rsid w:val="00DB6C93"/>
    <w:rsid w:val="00DB74E9"/>
    <w:rsid w:val="00DC6DF7"/>
    <w:rsid w:val="00DD664D"/>
    <w:rsid w:val="00DE1396"/>
    <w:rsid w:val="00DE1C71"/>
    <w:rsid w:val="00DE1D24"/>
    <w:rsid w:val="00DE448E"/>
    <w:rsid w:val="00DF2ECD"/>
    <w:rsid w:val="00DF65D1"/>
    <w:rsid w:val="00E0178D"/>
    <w:rsid w:val="00E07B7C"/>
    <w:rsid w:val="00E115C7"/>
    <w:rsid w:val="00E1207B"/>
    <w:rsid w:val="00E204B5"/>
    <w:rsid w:val="00E21E16"/>
    <w:rsid w:val="00E278A9"/>
    <w:rsid w:val="00E35938"/>
    <w:rsid w:val="00E36A5E"/>
    <w:rsid w:val="00E440BA"/>
    <w:rsid w:val="00E568C7"/>
    <w:rsid w:val="00E67200"/>
    <w:rsid w:val="00E67260"/>
    <w:rsid w:val="00E67BFA"/>
    <w:rsid w:val="00E7422C"/>
    <w:rsid w:val="00E7627E"/>
    <w:rsid w:val="00E81C16"/>
    <w:rsid w:val="00E8336F"/>
    <w:rsid w:val="00E86937"/>
    <w:rsid w:val="00E91670"/>
    <w:rsid w:val="00E92E3B"/>
    <w:rsid w:val="00E95D06"/>
    <w:rsid w:val="00EA27F5"/>
    <w:rsid w:val="00EA6C01"/>
    <w:rsid w:val="00EB1700"/>
    <w:rsid w:val="00EB2AC8"/>
    <w:rsid w:val="00EB35D2"/>
    <w:rsid w:val="00EB5956"/>
    <w:rsid w:val="00EC329E"/>
    <w:rsid w:val="00EC47B2"/>
    <w:rsid w:val="00EC6E37"/>
    <w:rsid w:val="00ED5BED"/>
    <w:rsid w:val="00ED6371"/>
    <w:rsid w:val="00EE68AA"/>
    <w:rsid w:val="00EF2B75"/>
    <w:rsid w:val="00EF37E3"/>
    <w:rsid w:val="00F009FF"/>
    <w:rsid w:val="00F01A5E"/>
    <w:rsid w:val="00F071F6"/>
    <w:rsid w:val="00F11737"/>
    <w:rsid w:val="00F16459"/>
    <w:rsid w:val="00F17C45"/>
    <w:rsid w:val="00F17FF3"/>
    <w:rsid w:val="00F2067A"/>
    <w:rsid w:val="00F20FAC"/>
    <w:rsid w:val="00F21BD3"/>
    <w:rsid w:val="00F2498B"/>
    <w:rsid w:val="00F27EEF"/>
    <w:rsid w:val="00F414DC"/>
    <w:rsid w:val="00F43CB1"/>
    <w:rsid w:val="00F47055"/>
    <w:rsid w:val="00F47F7A"/>
    <w:rsid w:val="00F55F76"/>
    <w:rsid w:val="00F572CE"/>
    <w:rsid w:val="00F60C04"/>
    <w:rsid w:val="00F6133B"/>
    <w:rsid w:val="00F62CDC"/>
    <w:rsid w:val="00F64192"/>
    <w:rsid w:val="00F71745"/>
    <w:rsid w:val="00F85785"/>
    <w:rsid w:val="00F86A22"/>
    <w:rsid w:val="00F91FA6"/>
    <w:rsid w:val="00F9277E"/>
    <w:rsid w:val="00F96B7A"/>
    <w:rsid w:val="00FA0ED4"/>
    <w:rsid w:val="00FB072D"/>
    <w:rsid w:val="00FB11AE"/>
    <w:rsid w:val="00FB4DAC"/>
    <w:rsid w:val="00FC01E8"/>
    <w:rsid w:val="00FC60A9"/>
    <w:rsid w:val="00FD2BB4"/>
    <w:rsid w:val="00FD3DBE"/>
    <w:rsid w:val="00FD6A2D"/>
    <w:rsid w:val="00FE5973"/>
    <w:rsid w:val="00FF13A8"/>
    <w:rsid w:val="00FF7750"/>
    <w:rsid w:val="09161215"/>
    <w:rsid w:val="196B6037"/>
    <w:rsid w:val="683C0B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5D22466"/>
  <w15:docId w15:val="{B1CCBBC0-D5A6-4283-9C5C-A5B37A1BC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numPr>
        <w:numId w:val="1"/>
      </w:numPr>
      <w:spacing w:after="0" w:line="360" w:lineRule="auto"/>
      <w:ind w:left="567" w:hanging="567"/>
      <w:jc w:val="both"/>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200" w:after="0" w:line="240" w:lineRule="auto"/>
      <w:ind w:left="170" w:right="57" w:firstLine="2693"/>
      <w:jc w:val="center"/>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pPr>
      <w:keepNext/>
      <w:keepLines/>
      <w:spacing w:before="200" w:after="0" w:line="240" w:lineRule="auto"/>
      <w:ind w:left="170" w:right="57" w:firstLine="2693"/>
      <w:jc w:val="center"/>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pPr>
      <w:keepNext/>
      <w:keepLines/>
      <w:spacing w:before="200" w:after="0" w:line="240" w:lineRule="auto"/>
      <w:ind w:left="170" w:right="57" w:firstLine="2693"/>
      <w:jc w:val="center"/>
      <w:outlineLvl w:val="4"/>
    </w:pPr>
    <w:rPr>
      <w:rFonts w:asciiTheme="majorHAnsi" w:eastAsiaTheme="majorEastAsia" w:hAnsiTheme="majorHAnsi" w:cstheme="majorBidi"/>
      <w:color w:val="1F3864" w:themeColor="accent1" w:themeShade="80"/>
    </w:rPr>
  </w:style>
  <w:style w:type="paragraph" w:styleId="Heading6">
    <w:name w:val="heading 6"/>
    <w:basedOn w:val="Normal"/>
    <w:next w:val="Normal"/>
    <w:link w:val="Heading6Char"/>
    <w:uiPriority w:val="9"/>
    <w:semiHidden/>
    <w:unhideWhenUsed/>
    <w:qFormat/>
    <w:pPr>
      <w:keepNext/>
      <w:keepLines/>
      <w:spacing w:before="200" w:after="0" w:line="240" w:lineRule="auto"/>
      <w:ind w:left="170" w:right="57" w:firstLine="2693"/>
      <w:jc w:val="center"/>
      <w:outlineLvl w:val="5"/>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pPr>
      <w:keepNext/>
      <w:keepLines/>
      <w:spacing w:before="200" w:after="0" w:line="240" w:lineRule="auto"/>
      <w:ind w:left="170" w:right="57" w:firstLine="2693"/>
      <w:jc w:val="center"/>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qFormat/>
  </w:style>
  <w:style w:type="character" w:styleId="Hyperlink">
    <w:name w:val="Hyperlink"/>
    <w:basedOn w:val="DefaultParagraphFont"/>
    <w:uiPriority w:val="99"/>
    <w:unhideWhenUsed/>
    <w:qFormat/>
    <w:rPr>
      <w:color w:val="0563C1" w:themeColor="hyperlink"/>
      <w:u w:val="single"/>
    </w:rPr>
  </w:style>
  <w:style w:type="character" w:styleId="FootnoteReference">
    <w:name w:val="footnote reference"/>
    <w:basedOn w:val="DefaultParagraphFont"/>
    <w:uiPriority w:val="99"/>
    <w:semiHidden/>
    <w:unhideWhenUsed/>
    <w:qFormat/>
    <w:rPr>
      <w:vertAlign w:val="superscript"/>
    </w:rPr>
  </w:style>
  <w:style w:type="character" w:styleId="CommentReference">
    <w:name w:val="annotation reference"/>
    <w:basedOn w:val="DefaultParagraphFont"/>
    <w:uiPriority w:val="99"/>
    <w:semiHidden/>
    <w:unhideWhenUsed/>
    <w:qFormat/>
    <w:rPr>
      <w:sz w:val="16"/>
      <w:szCs w:val="16"/>
    </w:rPr>
  </w:style>
  <w:style w:type="paragraph" w:styleId="TOC9">
    <w:name w:val="toc 9"/>
    <w:basedOn w:val="Normal"/>
    <w:next w:val="Normal"/>
    <w:uiPriority w:val="39"/>
    <w:unhideWhenUsed/>
    <w:qFormat/>
    <w:pPr>
      <w:spacing w:after="0"/>
      <w:ind w:left="1540"/>
    </w:pPr>
    <w:rPr>
      <w:rFonts w:cstheme="minorHAnsi"/>
      <w:sz w:val="20"/>
      <w:szCs w:val="20"/>
    </w:rPr>
  </w:style>
  <w:style w:type="paragraph" w:styleId="TOC5">
    <w:name w:val="toc 5"/>
    <w:basedOn w:val="Normal"/>
    <w:next w:val="Normal"/>
    <w:uiPriority w:val="39"/>
    <w:unhideWhenUsed/>
    <w:qFormat/>
    <w:pPr>
      <w:spacing w:after="0"/>
      <w:ind w:left="660"/>
    </w:pPr>
    <w:rPr>
      <w:rFonts w:cstheme="minorHAnsi"/>
      <w:sz w:val="20"/>
      <w:szCs w:val="20"/>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TOC8">
    <w:name w:val="toc 8"/>
    <w:basedOn w:val="Normal"/>
    <w:next w:val="Normal"/>
    <w:uiPriority w:val="39"/>
    <w:unhideWhenUsed/>
    <w:qFormat/>
    <w:pPr>
      <w:spacing w:after="0"/>
      <w:ind w:left="1320"/>
    </w:pPr>
    <w:rPr>
      <w:rFonts w:cstheme="minorHAnsi"/>
      <w:sz w:val="20"/>
      <w:szCs w:val="20"/>
    </w:rPr>
  </w:style>
  <w:style w:type="paragraph" w:styleId="TOC4">
    <w:name w:val="toc 4"/>
    <w:basedOn w:val="Normal"/>
    <w:next w:val="Normal"/>
    <w:uiPriority w:val="39"/>
    <w:unhideWhenUsed/>
    <w:qFormat/>
    <w:pPr>
      <w:spacing w:after="0"/>
      <w:ind w:left="440"/>
    </w:pPr>
    <w:rPr>
      <w:rFonts w:cstheme="minorHAnsi"/>
      <w:sz w:val="20"/>
      <w:szCs w:val="20"/>
    </w:rPr>
  </w:style>
  <w:style w:type="paragraph" w:styleId="TOC7">
    <w:name w:val="toc 7"/>
    <w:basedOn w:val="Normal"/>
    <w:next w:val="Normal"/>
    <w:uiPriority w:val="39"/>
    <w:unhideWhenUsed/>
    <w:qFormat/>
    <w:pPr>
      <w:spacing w:after="0"/>
      <w:ind w:left="1100"/>
    </w:pPr>
    <w:rPr>
      <w:rFonts w:cstheme="minorHAnsi"/>
      <w:sz w:val="20"/>
      <w:szCs w:val="20"/>
    </w:rPr>
  </w:style>
  <w:style w:type="paragraph" w:styleId="TOC3">
    <w:name w:val="toc 3"/>
    <w:basedOn w:val="Normal"/>
    <w:next w:val="Normal"/>
    <w:uiPriority w:val="39"/>
    <w:unhideWhenUsed/>
    <w:qFormat/>
    <w:pPr>
      <w:spacing w:after="0"/>
      <w:ind w:left="220"/>
    </w:pPr>
    <w:rPr>
      <w:rFonts w:cstheme="minorHAnsi"/>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TOC6">
    <w:name w:val="toc 6"/>
    <w:basedOn w:val="Normal"/>
    <w:next w:val="Normal"/>
    <w:uiPriority w:val="39"/>
    <w:unhideWhenUsed/>
    <w:qFormat/>
    <w:pPr>
      <w:spacing w:after="0"/>
      <w:ind w:left="880"/>
    </w:pPr>
    <w:rPr>
      <w:rFonts w:cstheme="minorHAnsi"/>
      <w:sz w:val="20"/>
      <w:szCs w:val="20"/>
    </w:rPr>
  </w:style>
  <w:style w:type="paragraph" w:styleId="TOC2">
    <w:name w:val="toc 2"/>
    <w:basedOn w:val="Normal"/>
    <w:next w:val="Normal"/>
    <w:uiPriority w:val="39"/>
    <w:unhideWhenUsed/>
    <w:qFormat/>
    <w:pPr>
      <w:tabs>
        <w:tab w:val="right" w:leader="dot" w:pos="9060"/>
      </w:tabs>
      <w:spacing w:before="240" w:after="0"/>
      <w:ind w:left="709" w:hanging="425"/>
    </w:pPr>
    <w:rPr>
      <w:rFonts w:cstheme="minorHAnsi"/>
      <w:b/>
      <w:bCs/>
      <w:sz w:val="20"/>
      <w:szCs w:val="20"/>
    </w:rPr>
  </w:style>
  <w:style w:type="paragraph" w:styleId="Title">
    <w:name w:val="Title"/>
    <w:basedOn w:val="Normal"/>
    <w:link w:val="TitleChar"/>
    <w:uiPriority w:val="10"/>
    <w:qFormat/>
    <w:pPr>
      <w:pBdr>
        <w:bottom w:val="single" w:sz="8" w:space="4" w:color="4472C4" w:themeColor="accent1"/>
      </w:pBdr>
      <w:spacing w:after="300" w:line="240" w:lineRule="auto"/>
      <w:ind w:left="170" w:right="57" w:firstLine="2693"/>
      <w:contextualSpacing/>
      <w:jc w:val="center"/>
    </w:pPr>
    <w:rPr>
      <w:rFonts w:asciiTheme="majorHAnsi" w:eastAsiaTheme="majorEastAsia" w:hAnsiTheme="majorHAnsi" w:cstheme="majorBidi"/>
      <w:color w:val="323E4F" w:themeColor="text2" w:themeShade="BF"/>
      <w:spacing w:val="5"/>
      <w:kern w:val="28"/>
      <w:sz w:val="52"/>
      <w:szCs w:val="52"/>
    </w:rPr>
  </w:style>
  <w:style w:type="paragraph" w:styleId="TOC1">
    <w:name w:val="toc 1"/>
    <w:basedOn w:val="Normal"/>
    <w:next w:val="Normal"/>
    <w:uiPriority w:val="39"/>
    <w:unhideWhenUsed/>
    <w:qFormat/>
    <w:pPr>
      <w:tabs>
        <w:tab w:val="left" w:pos="284"/>
        <w:tab w:val="right" w:leader="dot" w:pos="9060"/>
      </w:tabs>
      <w:spacing w:after="0" w:line="360" w:lineRule="auto"/>
    </w:pPr>
    <w:rPr>
      <w:rFonts w:asciiTheme="majorHAnsi" w:hAnsiTheme="majorHAnsi" w:cstheme="majorHAnsi"/>
      <w:b/>
      <w:bCs/>
      <w:caps/>
      <w:sz w:val="24"/>
      <w:szCs w:val="24"/>
    </w:rPr>
  </w:style>
  <w:style w:type="character" w:customStyle="1" w:styleId="Heading1Char">
    <w:name w:val="Heading 1 Char"/>
    <w:basedOn w:val="DefaultParagraphFont"/>
    <w:link w:val="Heading1"/>
    <w:uiPriority w:val="9"/>
    <w:qFormat/>
    <w:rPr>
      <w:rFonts w:ascii="Arial" w:eastAsiaTheme="majorEastAsia" w:hAnsi="Arial" w:cstheme="majorBidi"/>
      <w:b/>
      <w:sz w:val="24"/>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lang w:val="fr-FR"/>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472C4" w:themeColor="accent1"/>
      <w:lang w:val="fr-FR"/>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472C4" w:themeColor="accent1"/>
      <w:lang w:val="fr-FR"/>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1F3864" w:themeColor="accent1" w:themeShade="80"/>
      <w:lang w:val="fr-FR"/>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1F3864" w:themeColor="accent1" w:themeShade="80"/>
      <w:lang w:val="fr-FR"/>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04040" w:themeColor="text1" w:themeTint="BF"/>
      <w:sz w:val="20"/>
      <w:szCs w:val="20"/>
      <w:lang w:val="fr-FR"/>
    </w:rPr>
  </w:style>
  <w:style w:type="paragraph" w:styleId="ListParagraph">
    <w:name w:val="List Paragraph"/>
    <w:basedOn w:val="Normal"/>
    <w:link w:val="ListParagraphChar"/>
    <w:uiPriority w:val="34"/>
    <w:qFormat/>
    <w:pPr>
      <w:ind w:left="720"/>
      <w:contextualSpacing/>
    </w:pPr>
  </w:style>
  <w:style w:type="character" w:customStyle="1" w:styleId="FootnoteTextChar">
    <w:name w:val="Footnote Text Char"/>
    <w:basedOn w:val="DefaultParagraphFont"/>
    <w:link w:val="FootnoteText"/>
    <w:uiPriority w:val="99"/>
    <w:semiHidden/>
    <w:qFormat/>
    <w:rPr>
      <w:sz w:val="20"/>
      <w:szCs w:val="20"/>
      <w:lang w:val="fr-FR"/>
    </w:rPr>
  </w:style>
  <w:style w:type="character" w:customStyle="1" w:styleId="HeaderChar">
    <w:name w:val="Header Char"/>
    <w:basedOn w:val="DefaultParagraphFont"/>
    <w:link w:val="Header"/>
    <w:uiPriority w:val="99"/>
    <w:qFormat/>
    <w:rPr>
      <w:lang w:val="fr-FR"/>
    </w:rPr>
  </w:style>
  <w:style w:type="character" w:customStyle="1" w:styleId="FooterChar">
    <w:name w:val="Footer Char"/>
    <w:basedOn w:val="DefaultParagraphFont"/>
    <w:link w:val="Footer"/>
    <w:uiPriority w:val="99"/>
    <w:qFormat/>
    <w:rPr>
      <w:lang w:val="fr-FR"/>
    </w:rPr>
  </w:style>
  <w:style w:type="character" w:customStyle="1" w:styleId="q4iawc">
    <w:name w:val="q4iawc"/>
    <w:basedOn w:val="DefaultParagraphFont"/>
    <w:qFormat/>
  </w:style>
  <w:style w:type="paragraph" w:customStyle="1" w:styleId="TOCHeading1">
    <w:name w:val="TOC Heading1"/>
    <w:basedOn w:val="Heading1"/>
    <w:next w:val="Normal"/>
    <w:uiPriority w:val="39"/>
    <w:unhideWhenUsed/>
    <w:qFormat/>
    <w:pPr>
      <w:spacing w:line="259" w:lineRule="auto"/>
      <w:outlineLvl w:val="9"/>
    </w:pPr>
  </w:style>
  <w:style w:type="character" w:customStyle="1" w:styleId="TitleChar">
    <w:name w:val="Title Char"/>
    <w:basedOn w:val="DefaultParagraphFont"/>
    <w:link w:val="Title"/>
    <w:uiPriority w:val="10"/>
    <w:qFormat/>
    <w:rPr>
      <w:rFonts w:asciiTheme="majorHAnsi" w:eastAsiaTheme="majorEastAsia" w:hAnsiTheme="majorHAnsi" w:cstheme="majorBidi"/>
      <w:color w:val="323E4F" w:themeColor="text2" w:themeShade="BF"/>
      <w:spacing w:val="5"/>
      <w:kern w:val="28"/>
      <w:sz w:val="52"/>
      <w:szCs w:val="52"/>
      <w:lang w:val="fr-FR"/>
    </w:rPr>
  </w:style>
  <w:style w:type="character" w:styleId="PlaceholderText">
    <w:name w:val="Placeholder Text"/>
    <w:basedOn w:val="DefaultParagraphFont"/>
    <w:uiPriority w:val="99"/>
    <w:semiHidden/>
    <w:qFormat/>
    <w:rPr>
      <w:color w:val="808080"/>
    </w:rPr>
  </w:style>
  <w:style w:type="character" w:customStyle="1" w:styleId="ListParagraphChar">
    <w:name w:val="List Paragraph Char"/>
    <w:link w:val="ListParagraph"/>
    <w:uiPriority w:val="34"/>
    <w:qFormat/>
    <w:locked/>
    <w:rPr>
      <w:lang w:val="fr-FR"/>
    </w:rPr>
  </w:style>
  <w:style w:type="character" w:customStyle="1" w:styleId="rynqvb">
    <w:name w:val="rynqvb"/>
    <w:basedOn w:val="DefaultParagraphFont"/>
    <w:qFormat/>
  </w:style>
  <w:style w:type="paragraph" w:customStyle="1" w:styleId="Revision1">
    <w:name w:val="Revision1"/>
    <w:hidden/>
    <w:uiPriority w:val="99"/>
    <w:semiHidden/>
    <w:qFormat/>
    <w:rPr>
      <w:sz w:val="22"/>
      <w:szCs w:val="22"/>
      <w:lang w:eastAsia="en-US"/>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let">
    <w:name w:val="complet"/>
    <w:basedOn w:val="DefaultParagraphFont"/>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Revision">
    <w:name w:val="Revision"/>
    <w:hidden/>
    <w:uiPriority w:val="99"/>
    <w:semiHidden/>
    <w:rsid w:val="00422FB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560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void(0)" TargetMode="Externa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2050"/>
  </customShpExts>
</s:customData>
</file>

<file path=customXml/itemProps1.xml><?xml version="1.0" encoding="utf-8"?>
<ds:datastoreItem xmlns:ds="http://schemas.openxmlformats.org/officeDocument/2006/customXml" ds:itemID="{D29A1A2D-E627-44C8-938E-3604EE1F1F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25</Pages>
  <Words>4322</Words>
  <Characters>24639</Characters>
  <Application>Microsoft Office Word</Application>
  <DocSecurity>0</DocSecurity>
  <Lines>205</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Abu E. Suleiman</dc:creator>
  <cp:lastModifiedBy>sathish mohan</cp:lastModifiedBy>
  <cp:revision>8</cp:revision>
  <cp:lastPrinted>2022-11-16T07:53:00Z</cp:lastPrinted>
  <dcterms:created xsi:type="dcterms:W3CDTF">2022-12-03T02:32:00Z</dcterms:created>
  <dcterms:modified xsi:type="dcterms:W3CDTF">2025-06-26T20:41:00Z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398772455c8a65bc00962158a689c00ae2efdb72a9b85989a6ceaff84ca3e32a</vt:lpwstr>
  </property>
  <property fmtid="{D5CDD505-2E9C-101B-9397-08002B2CF9AE}" pid="3" name="KSOProductBuildVer">
    <vt:lpwstr>1036-11.2.0.11380</vt:lpwstr>
  </property>
  <property fmtid="{D5CDD505-2E9C-101B-9397-08002B2CF9AE}" pid="4" name="ICV">
    <vt:lpwstr>BB47D8AED75B4A4C9A6C3EA37DD3AC2B</vt:lpwstr>
  </property>
</Properties>
</file>