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C969" w14:textId="772EC97D" w:rsidR="00FB6E80" w:rsidRPr="001D4D9A" w:rsidRDefault="00FB6E80" w:rsidP="00D02498"/>
    <w:tbl>
      <w:tblPr>
        <w:tblW w:w="8931"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00"/>
        <w:gridCol w:w="2167"/>
        <w:gridCol w:w="3164"/>
      </w:tblGrid>
      <w:tr w:rsidR="00977283" w:rsidRPr="00841D89" w14:paraId="16AD5D08" w14:textId="77777777" w:rsidTr="00977283">
        <w:trPr>
          <w:cantSplit/>
          <w:trHeight w:val="1340"/>
          <w:jc w:val="center"/>
        </w:trPr>
        <w:tc>
          <w:tcPr>
            <w:tcW w:w="3600" w:type="dxa"/>
            <w:tcBorders>
              <w:top w:val="single" w:sz="4" w:space="0" w:color="auto"/>
              <w:left w:val="single" w:sz="4" w:space="0" w:color="auto"/>
              <w:bottom w:val="single" w:sz="4" w:space="0" w:color="auto"/>
              <w:right w:val="single" w:sz="4" w:space="0" w:color="auto"/>
            </w:tcBorders>
          </w:tcPr>
          <w:p w14:paraId="190D3526" w14:textId="377AA62C" w:rsidR="00977283" w:rsidRPr="001427EF" w:rsidRDefault="00977283" w:rsidP="00D02498">
            <w:pPr>
              <w:rPr>
                <w:rFonts w:ascii="Arial" w:hAnsi="Arial" w:cs="Arial"/>
                <w:b/>
                <w:bCs/>
                <w:sz w:val="24"/>
                <w:szCs w:val="24"/>
              </w:rPr>
            </w:pPr>
            <w:r w:rsidRPr="001427EF">
              <w:rPr>
                <w:sz w:val="24"/>
                <w:szCs w:val="24"/>
              </w:rPr>
              <w:br w:type="page"/>
            </w:r>
          </w:p>
          <w:p w14:paraId="2ABCA396" w14:textId="77777777" w:rsidR="00977283" w:rsidRPr="001427EF" w:rsidRDefault="00977283" w:rsidP="00D02498">
            <w:pPr>
              <w:rPr>
                <w:rFonts w:ascii="Arial" w:hAnsi="Arial" w:cs="Arial"/>
                <w:b/>
                <w:bCs/>
                <w:sz w:val="24"/>
                <w:szCs w:val="24"/>
              </w:rPr>
            </w:pPr>
            <w:r w:rsidRPr="001427EF">
              <w:rPr>
                <w:rFonts w:ascii="Arial" w:hAnsi="Arial"/>
                <w:b/>
                <w:sz w:val="24"/>
                <w:szCs w:val="24"/>
              </w:rPr>
              <w:t>AFRICAN UNION</w:t>
            </w:r>
          </w:p>
        </w:tc>
        <w:tc>
          <w:tcPr>
            <w:tcW w:w="2167" w:type="dxa"/>
            <w:vMerge w:val="restart"/>
            <w:tcBorders>
              <w:top w:val="single" w:sz="4" w:space="0" w:color="auto"/>
              <w:left w:val="single" w:sz="4" w:space="0" w:color="auto"/>
              <w:bottom w:val="single" w:sz="4" w:space="0" w:color="auto"/>
              <w:right w:val="single" w:sz="4" w:space="0" w:color="auto"/>
            </w:tcBorders>
          </w:tcPr>
          <w:p w14:paraId="21DC6E7C" w14:textId="77777777" w:rsidR="00977283" w:rsidRPr="001427EF" w:rsidRDefault="00977283" w:rsidP="00D02498">
            <w:pPr>
              <w:rPr>
                <w:rFonts w:ascii="Arial" w:hAnsi="Arial" w:cs="Arial"/>
                <w:sz w:val="24"/>
                <w:szCs w:val="24"/>
              </w:rPr>
            </w:pPr>
          </w:p>
          <w:p w14:paraId="20875F58" w14:textId="77777777" w:rsidR="00977283" w:rsidRPr="001427EF" w:rsidRDefault="00977283" w:rsidP="00D02498">
            <w:pPr>
              <w:rPr>
                <w:rFonts w:ascii="Arial" w:hAnsi="Arial" w:cs="Arial"/>
                <w:sz w:val="24"/>
                <w:szCs w:val="24"/>
              </w:rPr>
            </w:pPr>
            <w:r w:rsidRPr="001427EF">
              <w:rPr>
                <w:rFonts w:ascii="Arial" w:hAnsi="Arial"/>
                <w:noProof/>
                <w:sz w:val="24"/>
                <w:szCs w:val="24"/>
                <w:lang w:eastAsia="fr-FR"/>
              </w:rPr>
              <w:drawing>
                <wp:anchor distT="0" distB="0" distL="114300" distR="114300" simplePos="0" relativeHeight="251655680" behindDoc="1" locked="0" layoutInCell="1" allowOverlap="1" wp14:anchorId="223770FC" wp14:editId="43F6472B">
                  <wp:simplePos x="0" y="0"/>
                  <wp:positionH relativeFrom="column">
                    <wp:posOffset>182880</wp:posOffset>
                  </wp:positionH>
                  <wp:positionV relativeFrom="paragraph">
                    <wp:posOffset>38100</wp:posOffset>
                  </wp:positionV>
                  <wp:extent cx="933450" cy="914400"/>
                  <wp:effectExtent l="0" t="0" r="0" b="0"/>
                  <wp:wrapNone/>
                  <wp:docPr id="1" name="Picture 1" descr="AU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U Cour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4" w:type="dxa"/>
            <w:tcBorders>
              <w:top w:val="single" w:sz="4" w:space="0" w:color="auto"/>
              <w:left w:val="single" w:sz="4" w:space="0" w:color="auto"/>
              <w:bottom w:val="single" w:sz="4" w:space="0" w:color="auto"/>
              <w:right w:val="single" w:sz="4" w:space="0" w:color="auto"/>
            </w:tcBorders>
          </w:tcPr>
          <w:p w14:paraId="046173B6" w14:textId="77777777" w:rsidR="00977283" w:rsidRPr="001427EF" w:rsidRDefault="00977283" w:rsidP="00D02498">
            <w:pPr>
              <w:rPr>
                <w:rFonts w:ascii="Arial" w:hAnsi="Arial" w:cs="Arial"/>
                <w:b/>
                <w:bCs/>
                <w:sz w:val="24"/>
                <w:szCs w:val="24"/>
              </w:rPr>
            </w:pPr>
          </w:p>
          <w:p w14:paraId="29A0BE32" w14:textId="77777777" w:rsidR="00977283" w:rsidRPr="001427EF" w:rsidRDefault="00977283" w:rsidP="00D02498">
            <w:pPr>
              <w:rPr>
                <w:rFonts w:ascii="Arial" w:hAnsi="Arial" w:cs="Arial"/>
                <w:b/>
                <w:bCs/>
                <w:sz w:val="24"/>
                <w:szCs w:val="24"/>
              </w:rPr>
            </w:pPr>
            <w:r w:rsidRPr="001427EF">
              <w:rPr>
                <w:rFonts w:ascii="Arial" w:hAnsi="Arial"/>
                <w:b/>
                <w:sz w:val="24"/>
                <w:szCs w:val="24"/>
              </w:rPr>
              <w:t>UNION AFRICAINE</w:t>
            </w:r>
          </w:p>
        </w:tc>
      </w:tr>
      <w:tr w:rsidR="00977283" w:rsidRPr="00841D89" w14:paraId="25615226" w14:textId="77777777" w:rsidTr="00977283">
        <w:trPr>
          <w:cantSplit/>
          <w:trHeight w:val="1061"/>
          <w:jc w:val="center"/>
        </w:trPr>
        <w:tc>
          <w:tcPr>
            <w:tcW w:w="3600" w:type="dxa"/>
            <w:tcBorders>
              <w:top w:val="single" w:sz="4" w:space="0" w:color="auto"/>
              <w:left w:val="single" w:sz="4" w:space="0" w:color="auto"/>
              <w:bottom w:val="single" w:sz="4" w:space="0" w:color="auto"/>
              <w:right w:val="single" w:sz="4" w:space="0" w:color="auto"/>
            </w:tcBorders>
            <w:hideMark/>
          </w:tcPr>
          <w:p w14:paraId="13D6BFB8" w14:textId="4EF8DE37" w:rsidR="00977283" w:rsidRPr="001427EF" w:rsidRDefault="00977283" w:rsidP="00D02498">
            <w:pPr>
              <w:rPr>
                <w:rFonts w:ascii="Arial" w:hAnsi="Arial" w:cs="Arial"/>
                <w:sz w:val="24"/>
                <w:szCs w:val="24"/>
              </w:rPr>
            </w:pPr>
            <w:r w:rsidRPr="001427EF">
              <w:rPr>
                <w:rFonts w:ascii="Arial" w:hAnsi="Arial"/>
                <w:noProof/>
                <w:sz w:val="24"/>
                <w:szCs w:val="24"/>
                <w:lang w:eastAsia="fr-FR"/>
              </w:rPr>
              <w:drawing>
                <wp:anchor distT="0" distB="0" distL="114300" distR="114300" simplePos="0" relativeHeight="251656704" behindDoc="1" locked="0" layoutInCell="1" allowOverlap="1" wp14:anchorId="75AD6BCB" wp14:editId="3210F0F6">
                  <wp:simplePos x="0" y="0"/>
                  <wp:positionH relativeFrom="column">
                    <wp:posOffset>296545</wp:posOffset>
                  </wp:positionH>
                  <wp:positionV relativeFrom="paragraph">
                    <wp:posOffset>121920</wp:posOffset>
                  </wp:positionV>
                  <wp:extent cx="1196340" cy="3581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358140"/>
                          </a:xfrm>
                          <a:prstGeom prst="rect">
                            <a:avLst/>
                          </a:prstGeom>
                          <a:noFill/>
                        </pic:spPr>
                      </pic:pic>
                    </a:graphicData>
                  </a:graphic>
                  <wp14:sizeRelH relativeFrom="page">
                    <wp14:pctWidth>0</wp14:pctWidth>
                  </wp14:sizeRelH>
                  <wp14:sizeRelV relativeFrom="page">
                    <wp14:pctHeight>0</wp14:pctHeight>
                  </wp14:sizeRelV>
                </wp:anchor>
              </w:drawing>
            </w: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3085B815" w14:textId="77777777" w:rsidR="00977283" w:rsidRPr="001427EF" w:rsidRDefault="00977283" w:rsidP="00D02498">
            <w:pPr>
              <w:rPr>
                <w:rFonts w:ascii="Arial" w:hAnsi="Arial" w:cs="Arial"/>
                <w:sz w:val="24"/>
                <w:szCs w:val="24"/>
              </w:rPr>
            </w:pPr>
          </w:p>
        </w:tc>
        <w:tc>
          <w:tcPr>
            <w:tcW w:w="3164" w:type="dxa"/>
            <w:tcBorders>
              <w:top w:val="single" w:sz="4" w:space="0" w:color="auto"/>
              <w:left w:val="single" w:sz="4" w:space="0" w:color="auto"/>
              <w:bottom w:val="single" w:sz="4" w:space="0" w:color="auto"/>
              <w:right w:val="single" w:sz="4" w:space="0" w:color="auto"/>
            </w:tcBorders>
          </w:tcPr>
          <w:p w14:paraId="14F3C6FD" w14:textId="77777777" w:rsidR="00977283" w:rsidRPr="001427EF" w:rsidRDefault="00977283" w:rsidP="00D02498">
            <w:pPr>
              <w:rPr>
                <w:rFonts w:ascii="Arial" w:hAnsi="Arial" w:cs="Arial"/>
                <w:b/>
                <w:bCs/>
                <w:sz w:val="24"/>
                <w:szCs w:val="24"/>
              </w:rPr>
            </w:pPr>
          </w:p>
          <w:p w14:paraId="672584B7" w14:textId="77777777" w:rsidR="00977283" w:rsidRPr="001427EF" w:rsidRDefault="00977283" w:rsidP="00D02498">
            <w:pPr>
              <w:rPr>
                <w:rFonts w:ascii="Arial" w:hAnsi="Arial" w:cs="Arial"/>
                <w:b/>
                <w:bCs/>
                <w:sz w:val="24"/>
                <w:szCs w:val="24"/>
              </w:rPr>
            </w:pPr>
            <w:r w:rsidRPr="001427EF">
              <w:rPr>
                <w:rFonts w:ascii="Arial" w:hAnsi="Arial"/>
                <w:b/>
                <w:sz w:val="24"/>
                <w:szCs w:val="24"/>
              </w:rPr>
              <w:t>UNIÃO AFRICANA</w:t>
            </w:r>
          </w:p>
        </w:tc>
      </w:tr>
      <w:tr w:rsidR="00977283" w:rsidRPr="00841D89" w14:paraId="09050FAF" w14:textId="77777777" w:rsidTr="00977283">
        <w:trPr>
          <w:cantSplit/>
          <w:trHeight w:val="1169"/>
          <w:jc w:val="center"/>
        </w:trPr>
        <w:tc>
          <w:tcPr>
            <w:tcW w:w="8931" w:type="dxa"/>
            <w:gridSpan w:val="3"/>
            <w:tcBorders>
              <w:top w:val="single" w:sz="4" w:space="0" w:color="auto"/>
              <w:left w:val="single" w:sz="4" w:space="0" w:color="auto"/>
              <w:bottom w:val="single" w:sz="4" w:space="0" w:color="auto"/>
              <w:right w:val="single" w:sz="4" w:space="0" w:color="auto"/>
            </w:tcBorders>
            <w:vAlign w:val="center"/>
            <w:hideMark/>
          </w:tcPr>
          <w:p w14:paraId="21994456" w14:textId="7462B16D" w:rsidR="00977283" w:rsidRPr="001427EF" w:rsidRDefault="00977283" w:rsidP="00D02498">
            <w:pPr>
              <w:rPr>
                <w:rFonts w:ascii="Arial" w:hAnsi="Arial" w:cs="Arial"/>
                <w:b/>
                <w:sz w:val="24"/>
                <w:szCs w:val="24"/>
                <w:lang w:val="en-US"/>
              </w:rPr>
            </w:pPr>
            <w:r w:rsidRPr="001427EF">
              <w:rPr>
                <w:rFonts w:ascii="Arial" w:hAnsi="Arial"/>
                <w:b/>
                <w:sz w:val="24"/>
                <w:szCs w:val="24"/>
                <w:lang w:val="en-US"/>
              </w:rPr>
              <w:t>AFRICAN COURT ON HUMAN AND PEOPLES’ RIGHTS</w:t>
            </w:r>
          </w:p>
          <w:p w14:paraId="0FDF6A7E" w14:textId="1AB879F3" w:rsidR="00977283" w:rsidRPr="001427EF" w:rsidRDefault="00977283" w:rsidP="00D02498">
            <w:pPr>
              <w:rPr>
                <w:rFonts w:ascii="Arial" w:hAnsi="Arial" w:cs="Arial"/>
                <w:b/>
                <w:sz w:val="24"/>
                <w:szCs w:val="24"/>
              </w:rPr>
            </w:pPr>
            <w:r w:rsidRPr="001427EF">
              <w:rPr>
                <w:rFonts w:ascii="Arial" w:hAnsi="Arial"/>
                <w:b/>
                <w:sz w:val="24"/>
                <w:szCs w:val="24"/>
              </w:rPr>
              <w:t>COUR AFRICAINE DES DROITS DE L’HOMME ET DES PEUPLES</w:t>
            </w:r>
          </w:p>
        </w:tc>
      </w:tr>
    </w:tbl>
    <w:p w14:paraId="4EE821B9" w14:textId="77777777" w:rsidR="00FD4D40" w:rsidRPr="00841D89" w:rsidRDefault="00FD4D40" w:rsidP="00D02498">
      <w:pPr>
        <w:rPr>
          <w:rFonts w:ascii="Arial" w:hAnsi="Arial" w:cs="Arial"/>
          <w:b/>
          <w:sz w:val="28"/>
          <w:szCs w:val="28"/>
        </w:rPr>
      </w:pPr>
    </w:p>
    <w:p w14:paraId="3A629EE2" w14:textId="77777777" w:rsidR="008C6B4B" w:rsidRPr="00841D89" w:rsidRDefault="008C6B4B" w:rsidP="00D02498">
      <w:pPr>
        <w:rPr>
          <w:rFonts w:ascii="Arial" w:hAnsi="Arial" w:cs="Arial"/>
          <w:b/>
          <w:sz w:val="28"/>
          <w:szCs w:val="28"/>
        </w:rPr>
      </w:pPr>
    </w:p>
    <w:p w14:paraId="7476146C" w14:textId="77777777" w:rsidR="001F011A" w:rsidRPr="00841D89" w:rsidRDefault="001F011A" w:rsidP="00D02498">
      <w:pPr>
        <w:rPr>
          <w:rFonts w:ascii="Arial" w:hAnsi="Arial" w:cs="Arial"/>
          <w:b/>
          <w:sz w:val="24"/>
          <w:szCs w:val="24"/>
        </w:rPr>
      </w:pPr>
      <w:bookmarkStart w:id="0" w:name="_Hlk118474591"/>
      <w:r w:rsidRPr="00841D89">
        <w:rPr>
          <w:rFonts w:ascii="Arial" w:hAnsi="Arial" w:cs="Arial"/>
          <w:b/>
          <w:sz w:val="24"/>
        </w:rPr>
        <w:t>AFFAIRE</w:t>
      </w:r>
    </w:p>
    <w:p w14:paraId="70FA68A5" w14:textId="77777777" w:rsidR="001F011A" w:rsidRPr="00841D89" w:rsidRDefault="001F011A" w:rsidP="00D02498">
      <w:pPr>
        <w:rPr>
          <w:rFonts w:ascii="Arial" w:hAnsi="Arial" w:cs="Arial"/>
          <w:b/>
          <w:sz w:val="24"/>
          <w:szCs w:val="24"/>
        </w:rPr>
      </w:pPr>
    </w:p>
    <w:p w14:paraId="3AAA2F81" w14:textId="77777777" w:rsidR="006242A8" w:rsidRPr="00841D89" w:rsidRDefault="006242A8" w:rsidP="00D02498">
      <w:pPr>
        <w:rPr>
          <w:rFonts w:ascii="Arial" w:hAnsi="Arial" w:cs="Arial"/>
          <w:b/>
          <w:sz w:val="24"/>
          <w:szCs w:val="24"/>
        </w:rPr>
      </w:pPr>
    </w:p>
    <w:p w14:paraId="2DED295A" w14:textId="14EE341C" w:rsidR="001F011A" w:rsidRPr="00841D89" w:rsidRDefault="00CA49D9" w:rsidP="00D02498">
      <w:pPr>
        <w:rPr>
          <w:rFonts w:ascii="Arial" w:hAnsi="Arial" w:cs="Arial"/>
          <w:b/>
          <w:sz w:val="24"/>
          <w:szCs w:val="24"/>
        </w:rPr>
      </w:pPr>
      <w:r w:rsidRPr="00841D89">
        <w:rPr>
          <w:rFonts w:ascii="Arial" w:hAnsi="Arial" w:cs="Arial"/>
          <w:b/>
          <w:sz w:val="24"/>
        </w:rPr>
        <w:t>IGOLA IGUNA</w:t>
      </w:r>
    </w:p>
    <w:p w14:paraId="7E583217" w14:textId="77777777" w:rsidR="00365EF7" w:rsidRPr="00841D89" w:rsidRDefault="00365EF7" w:rsidP="00D02498">
      <w:pPr>
        <w:rPr>
          <w:rFonts w:ascii="Arial" w:hAnsi="Arial" w:cs="Arial"/>
          <w:b/>
          <w:sz w:val="24"/>
          <w:szCs w:val="24"/>
        </w:rPr>
      </w:pPr>
    </w:p>
    <w:p w14:paraId="188698BD" w14:textId="67597255" w:rsidR="001F011A" w:rsidRPr="00841D89" w:rsidRDefault="0069053B" w:rsidP="00D02498">
      <w:pPr>
        <w:rPr>
          <w:rFonts w:ascii="Arial" w:hAnsi="Arial" w:cs="Arial"/>
          <w:b/>
          <w:sz w:val="24"/>
          <w:szCs w:val="24"/>
        </w:rPr>
      </w:pPr>
      <w:r w:rsidRPr="00841D89">
        <w:rPr>
          <w:rFonts w:ascii="Arial" w:hAnsi="Arial" w:cs="Arial"/>
          <w:b/>
          <w:sz w:val="24"/>
        </w:rPr>
        <w:t>C.</w:t>
      </w:r>
    </w:p>
    <w:p w14:paraId="7E9E5237" w14:textId="77777777" w:rsidR="001F011A" w:rsidRPr="00841D89" w:rsidRDefault="001F011A" w:rsidP="00D02498">
      <w:pPr>
        <w:rPr>
          <w:rFonts w:ascii="Arial" w:hAnsi="Arial" w:cs="Arial"/>
          <w:b/>
          <w:sz w:val="24"/>
          <w:szCs w:val="24"/>
        </w:rPr>
      </w:pPr>
    </w:p>
    <w:p w14:paraId="1AC4F3BB" w14:textId="77777777" w:rsidR="001F011A" w:rsidRPr="00841D89" w:rsidRDefault="001F011A" w:rsidP="00D02498">
      <w:pPr>
        <w:rPr>
          <w:rFonts w:ascii="Arial" w:hAnsi="Arial" w:cs="Arial"/>
          <w:b/>
          <w:sz w:val="24"/>
          <w:szCs w:val="24"/>
        </w:rPr>
      </w:pPr>
      <w:r w:rsidRPr="00841D89">
        <w:rPr>
          <w:rFonts w:ascii="Arial" w:hAnsi="Arial" w:cs="Arial"/>
          <w:b/>
          <w:sz w:val="24"/>
        </w:rPr>
        <w:t>RÉPUBLIQUE-UNIE DE TANZANIE</w:t>
      </w:r>
    </w:p>
    <w:p w14:paraId="10C70835" w14:textId="77777777" w:rsidR="001F011A" w:rsidRPr="00841D89" w:rsidRDefault="001F011A" w:rsidP="00D02498">
      <w:pPr>
        <w:rPr>
          <w:rFonts w:ascii="Arial" w:hAnsi="Arial" w:cs="Arial"/>
          <w:b/>
          <w:sz w:val="24"/>
          <w:szCs w:val="24"/>
        </w:rPr>
      </w:pPr>
    </w:p>
    <w:p w14:paraId="155368F2" w14:textId="77777777" w:rsidR="006242A8" w:rsidRPr="00841D89" w:rsidRDefault="006242A8" w:rsidP="00D02498">
      <w:pPr>
        <w:rPr>
          <w:rFonts w:ascii="Arial" w:hAnsi="Arial" w:cs="Arial"/>
          <w:b/>
          <w:sz w:val="24"/>
          <w:szCs w:val="24"/>
        </w:rPr>
      </w:pPr>
    </w:p>
    <w:p w14:paraId="3BEDDABD" w14:textId="17F580E1" w:rsidR="001F011A" w:rsidRPr="00841D89" w:rsidRDefault="00D856FC" w:rsidP="00D02498">
      <w:pPr>
        <w:rPr>
          <w:rFonts w:ascii="Arial" w:hAnsi="Arial" w:cs="Arial"/>
          <w:b/>
          <w:sz w:val="24"/>
          <w:szCs w:val="24"/>
        </w:rPr>
      </w:pPr>
      <w:r w:rsidRPr="00841D89">
        <w:rPr>
          <w:rFonts w:ascii="Arial" w:hAnsi="Arial" w:cs="Arial"/>
          <w:b/>
          <w:sz w:val="24"/>
        </w:rPr>
        <w:t>REQUÊTE N° 020/2017</w:t>
      </w:r>
    </w:p>
    <w:bookmarkEnd w:id="0"/>
    <w:p w14:paraId="2EED61CC" w14:textId="77777777" w:rsidR="00467B28" w:rsidRPr="00841D89" w:rsidRDefault="00467B28" w:rsidP="00D02498">
      <w:pPr>
        <w:rPr>
          <w:rFonts w:ascii="Arial" w:hAnsi="Arial" w:cs="Arial"/>
          <w:b/>
          <w:sz w:val="24"/>
          <w:szCs w:val="24"/>
        </w:rPr>
      </w:pPr>
    </w:p>
    <w:p w14:paraId="0D276148" w14:textId="0D872DF5" w:rsidR="006F2BC1" w:rsidRPr="00841D89" w:rsidRDefault="006B5FF2" w:rsidP="00D02498">
      <w:pPr>
        <w:rPr>
          <w:rFonts w:ascii="Arial" w:hAnsi="Arial" w:cs="Arial"/>
          <w:b/>
          <w:sz w:val="24"/>
          <w:szCs w:val="24"/>
        </w:rPr>
      </w:pPr>
      <w:r w:rsidRPr="00841D89">
        <w:rPr>
          <w:rFonts w:ascii="Arial" w:hAnsi="Arial" w:cs="Arial"/>
          <w:b/>
          <w:sz w:val="24"/>
        </w:rPr>
        <w:t xml:space="preserve"> </w:t>
      </w:r>
    </w:p>
    <w:p w14:paraId="2741DD06" w14:textId="24DC20C2" w:rsidR="00467B28" w:rsidRPr="00841D89" w:rsidRDefault="00643C00" w:rsidP="00D02498">
      <w:pPr>
        <w:rPr>
          <w:rFonts w:ascii="Arial" w:hAnsi="Arial" w:cs="Arial"/>
          <w:b/>
          <w:sz w:val="24"/>
          <w:szCs w:val="24"/>
        </w:rPr>
      </w:pPr>
      <w:r w:rsidRPr="00841D89">
        <w:rPr>
          <w:rFonts w:ascii="Arial" w:hAnsi="Arial" w:cs="Arial"/>
          <w:b/>
          <w:sz w:val="24"/>
        </w:rPr>
        <w:t>ARRÊT</w:t>
      </w:r>
    </w:p>
    <w:p w14:paraId="7950D398" w14:textId="77777777" w:rsidR="004A3D9C" w:rsidRPr="00841D89" w:rsidRDefault="004A3D9C" w:rsidP="00D02498">
      <w:pPr>
        <w:rPr>
          <w:rFonts w:ascii="Arial" w:hAnsi="Arial" w:cs="Arial"/>
          <w:b/>
          <w:sz w:val="24"/>
          <w:szCs w:val="24"/>
        </w:rPr>
      </w:pPr>
    </w:p>
    <w:p w14:paraId="1D031817" w14:textId="77777777" w:rsidR="004A3D9C" w:rsidRPr="00841D89" w:rsidRDefault="004A3D9C" w:rsidP="00D02498">
      <w:pPr>
        <w:rPr>
          <w:rFonts w:ascii="Arial" w:hAnsi="Arial" w:cs="Arial"/>
          <w:b/>
          <w:bCs/>
          <w:sz w:val="24"/>
          <w:szCs w:val="24"/>
        </w:rPr>
      </w:pPr>
    </w:p>
    <w:p w14:paraId="5DDA498A" w14:textId="5C98B065" w:rsidR="008C6B4B" w:rsidRPr="00841D89" w:rsidRDefault="00CA49D9" w:rsidP="00D02498">
      <w:pPr>
        <w:rPr>
          <w:rFonts w:ascii="Arial" w:hAnsi="Arial" w:cs="Arial"/>
          <w:b/>
          <w:bCs/>
          <w:sz w:val="24"/>
          <w:szCs w:val="24"/>
        </w:rPr>
      </w:pPr>
      <w:r w:rsidRPr="00841D89">
        <w:rPr>
          <w:rFonts w:ascii="Arial" w:hAnsi="Arial" w:cs="Arial"/>
          <w:b/>
          <w:sz w:val="24"/>
        </w:rPr>
        <w:t>1</w:t>
      </w:r>
      <w:r w:rsidR="00A03A89" w:rsidRPr="00841D89">
        <w:rPr>
          <w:rFonts w:ascii="Arial" w:hAnsi="Arial" w:cs="Arial"/>
          <w:b/>
          <w:sz w:val="24"/>
          <w:vertAlign w:val="superscript"/>
        </w:rPr>
        <w:t>er</w:t>
      </w:r>
      <w:r w:rsidRPr="00841D89">
        <w:rPr>
          <w:rFonts w:ascii="Arial" w:hAnsi="Arial" w:cs="Arial"/>
          <w:b/>
          <w:sz w:val="24"/>
        </w:rPr>
        <w:t xml:space="preserve"> </w:t>
      </w:r>
      <w:r w:rsidR="00A03A89" w:rsidRPr="00841D89">
        <w:rPr>
          <w:rFonts w:ascii="Arial" w:hAnsi="Arial" w:cs="Arial"/>
          <w:b/>
          <w:sz w:val="24"/>
        </w:rPr>
        <w:t xml:space="preserve">DÉCEMBRE </w:t>
      </w:r>
      <w:r w:rsidRPr="00841D89">
        <w:rPr>
          <w:rFonts w:ascii="Arial" w:hAnsi="Arial" w:cs="Arial"/>
          <w:b/>
          <w:sz w:val="24"/>
        </w:rPr>
        <w:t>2022</w:t>
      </w:r>
    </w:p>
    <w:p w14:paraId="1A442686" w14:textId="1F818EEA" w:rsidR="008C6B4B" w:rsidRPr="00841D89" w:rsidRDefault="008C6B4B" w:rsidP="00D02498">
      <w:pPr>
        <w:rPr>
          <w:rFonts w:ascii="Arial" w:hAnsi="Arial" w:cs="Arial"/>
          <w:b/>
          <w:bCs/>
        </w:rPr>
      </w:pPr>
    </w:p>
    <w:p w14:paraId="4854766E" w14:textId="6B50487A" w:rsidR="00977283" w:rsidRPr="00841D89" w:rsidRDefault="00977283" w:rsidP="00D02498">
      <w:pPr>
        <w:rPr>
          <w:rFonts w:ascii="Arial" w:hAnsi="Arial" w:cs="Arial"/>
          <w:b/>
          <w:bCs/>
        </w:rPr>
      </w:pPr>
    </w:p>
    <w:p w14:paraId="01F96D74" w14:textId="58E8BBCD" w:rsidR="00977283" w:rsidRPr="00841D89" w:rsidRDefault="00977283" w:rsidP="00D02498">
      <w:pPr>
        <w:rPr>
          <w:rFonts w:ascii="Arial" w:hAnsi="Arial" w:cs="Arial"/>
          <w:b/>
          <w:bCs/>
        </w:rPr>
      </w:pPr>
    </w:p>
    <w:p w14:paraId="73799E4F" w14:textId="77777777" w:rsidR="00977283" w:rsidRPr="00841D89" w:rsidRDefault="00977283" w:rsidP="00D02498">
      <w:pPr>
        <w:rPr>
          <w:rFonts w:ascii="Arial" w:hAnsi="Arial" w:cs="Arial"/>
          <w:b/>
          <w:bCs/>
        </w:rPr>
      </w:pPr>
    </w:p>
    <w:p w14:paraId="4386B207" w14:textId="0268DC6A" w:rsidR="00A20BF5" w:rsidRPr="00841D89" w:rsidRDefault="00FB6E80" w:rsidP="00D02498">
      <w:pPr>
        <w:rPr>
          <w:rFonts w:ascii="Arial" w:hAnsi="Arial" w:cs="Arial"/>
          <w:b/>
          <w:bCs/>
        </w:rPr>
      </w:pPr>
      <w:r w:rsidRPr="00841D89">
        <w:rPr>
          <w:rFonts w:ascii="Arial" w:hAnsi="Arial" w:cs="Arial"/>
          <w:b/>
          <w:noProof/>
          <w:lang w:eastAsia="fr-FR"/>
        </w:rPr>
        <mc:AlternateContent>
          <mc:Choice Requires="wps">
            <w:drawing>
              <wp:anchor distT="0" distB="0" distL="114300" distR="114300" simplePos="0" relativeHeight="251658752" behindDoc="0" locked="0" layoutInCell="1" allowOverlap="1" wp14:anchorId="0BDC8642" wp14:editId="52FA9822">
                <wp:simplePos x="0" y="0"/>
                <wp:positionH relativeFrom="column">
                  <wp:posOffset>2695575</wp:posOffset>
                </wp:positionH>
                <wp:positionV relativeFrom="paragraph">
                  <wp:posOffset>567690</wp:posOffset>
                </wp:positionV>
                <wp:extent cx="409575" cy="276225"/>
                <wp:effectExtent l="0" t="0" r="9525" b="9525"/>
                <wp:wrapNone/>
                <wp:docPr id="3" name="Rectangle 3"/>
                <wp:cNvGraphicFramePr/>
                <a:graphic xmlns:a="http://schemas.openxmlformats.org/drawingml/2006/main">
                  <a:graphicData uri="http://schemas.microsoft.com/office/word/2010/wordprocessingShape">
                    <wps:wsp>
                      <wps:cNvSpPr/>
                      <wps:spPr>
                        <a:xfrm>
                          <a:off x="0" y="0"/>
                          <a:ext cx="40957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D9E5" id="Rectangle 3" o:spid="_x0000_s1026" style="position:absolute;margin-left:212.25pt;margin-top:44.7pt;width:32.2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zfegIAAF0FAAAOAAAAZHJzL2Uyb0RvYy54bWysVFFv2yAQfp+0/4B4X+1YSbtGdaooVaZJ&#10;VVstnfpMMMSWMMeAxMl+/Q6wna6r9jAtDwS47767+3zHze2xVeQgrGtAl3RykVMiNIeq0buSfn9e&#10;f/pMifNMV0yBFiU9CUdvFx8/3HRmLgqoQVXCEiTRbt6Zktbem3mWOV6LlrkLMEKjUYJtmcej3WWV&#10;ZR2ytyor8vwy68BWxgIXzuHtXTLSReSXUnD/KKUTnqiSYm4+rjau27Bmixs231lm6ob3abB/yKJl&#10;jcagI9Ud84zsbfMHVdtwCw6kv+DQZiBlw0WsAauZ5G+q2dTMiFgLiuPMKJP7f7T84bAxTxZl6Iyb&#10;O9yGKo7StuEf8yPHKNZpFEscPeF4Oc2vZ1czSjiaiqvLopgFMbOzs7HOfxHQkrApqcVvESVih3vn&#10;E3SAhFgOVFOtG6XiIXx/sVKWHBh+ue1u0pP/hlI6YDUEr0QYbrJzJXHnT0oEnNLfhCRNhbkXMZHY&#10;ZOcgjHOh/SSZalaJFHuW42+IPqQVC42EgVli/JG7JxiQiWTgTln2+OAqYo+OzvnfEkvOo0eMDNqP&#10;zm2jwb5HoLCqPnLCDyIlaYJKW6hOT5ZYSBPiDF83+NnumfNPzOJI4PDgmPtHXKSCrqTQ7yipwf58&#10;7z7gsVPRSkmHI1ZS92PPrKBEfdXYw9eT6TTMZDxMZ1cFHuxry/a1Re/bFWAvTPBBMTxuA96rYSst&#10;tC/4GixDVDQxzTF2Sbm3w2Hl0+jje8LFchlhOIeG+Xu9MTyQB1VDWz4fX5g1fe96bPoHGMaRzd+0&#10;cMIGTw3LvQfZxP4+69rrjTMcG6d/b8Ij8focUedXcfELAAD//wMAUEsDBBQABgAIAAAAIQDrEkWL&#10;4QAAAAoBAAAPAAAAZHJzL2Rvd25yZXYueG1sTI9BS8QwEIXvgv8hjOBF3NSmSlubLioIXjy4Lsse&#10;s01syjaT0mTbrr/e8aTHYT7e+161XlzPJjOGzqOEu1UCzGDjdYethO3n620OLESFWvUejYSzCbCu&#10;Ly8qVWo/44eZNrFlFIKhVBJsjEPJeWiscSqs/GCQfl9+dCrSObZcj2qmcNfzNEkeuFMdUoNVg3mx&#10;pjluTk7C+1mIt+lGHOdtJ9rum++fd9ZLeX21PD0Ci2aJfzD86pM61OR08CfUgfUSsjS7J1RCXmTA&#10;CMjygsYdiBRpAbyu+P8J9Q8AAAD//wMAUEsBAi0AFAAGAAgAAAAhALaDOJL+AAAA4QEAABMAAAAA&#10;AAAAAAAAAAAAAAAAAFtDb250ZW50X1R5cGVzXS54bWxQSwECLQAUAAYACAAAACEAOP0h/9YAAACU&#10;AQAACwAAAAAAAAAAAAAAAAAvAQAAX3JlbHMvLnJlbHNQSwECLQAUAAYACAAAACEAgiB833oCAABd&#10;BQAADgAAAAAAAAAAAAAAAAAuAgAAZHJzL2Uyb0RvYy54bWxQSwECLQAUAAYACAAAACEA6xJFi+EA&#10;AAAKAQAADwAAAAAAAAAAAAAAAADUBAAAZHJzL2Rvd25yZXYueG1sUEsFBgAAAAAEAAQA8wAAAOIF&#10;AAAAAA==&#10;" fillcolor="white [3212]" stroked="f" strokeweight="1pt"/>
            </w:pict>
          </mc:Fallback>
        </mc:AlternateContent>
      </w:r>
      <w:r w:rsidRPr="00841D89">
        <w:rPr>
          <w:rFonts w:ascii="Arial" w:hAnsi="Arial" w:cs="Arial"/>
          <w:b/>
        </w:rPr>
        <w:t xml:space="preserve"> </w:t>
      </w:r>
    </w:p>
    <w:p w14:paraId="21689E19" w14:textId="77777777" w:rsidR="003E6F93" w:rsidRPr="00841D89" w:rsidRDefault="003E6F93" w:rsidP="00D02498">
      <w:pPr>
        <w:rPr>
          <w:rFonts w:ascii="Arial" w:hAnsi="Arial" w:cs="Arial"/>
          <w:b/>
          <w:bCs/>
          <w:sz w:val="24"/>
          <w:szCs w:val="24"/>
        </w:rPr>
        <w:sectPr w:rsidR="003E6F93" w:rsidRPr="00841D89" w:rsidSect="00DE52EF">
          <w:footerReference w:type="default" r:id="rId10"/>
          <w:footerReference w:type="first" r:id="rId11"/>
          <w:type w:val="continuous"/>
          <w:pgSz w:w="11906" w:h="16838"/>
          <w:pgMar w:top="1440" w:right="1440" w:bottom="1440" w:left="1440" w:header="708" w:footer="708" w:gutter="0"/>
          <w:cols w:space="708"/>
          <w:titlePg/>
          <w:docGrid w:linePitch="360"/>
        </w:sectPr>
      </w:pPr>
    </w:p>
    <w:sdt>
      <w:sdtPr>
        <w:rPr>
          <w:rFonts w:cs="Arial"/>
          <w:b/>
          <w:szCs w:val="24"/>
        </w:rPr>
        <w:id w:val="402570821"/>
        <w:docPartObj>
          <w:docPartGallery w:val="Table of Contents"/>
          <w:docPartUnique/>
        </w:docPartObj>
      </w:sdtPr>
      <w:sdtEndPr>
        <w:rPr>
          <w:b w:val="0"/>
          <w:bCs/>
          <w:sz w:val="24"/>
        </w:rPr>
      </w:sdtEndPr>
      <w:sdtContent>
        <w:p w14:paraId="2257F29F" w14:textId="4FEB3F81" w:rsidR="00D929A8" w:rsidRPr="00841D89" w:rsidRDefault="00656AE6" w:rsidP="00D02498">
          <w:pPr>
            <w:rPr>
              <w:rFonts w:cs="Arial"/>
              <w:b/>
              <w:szCs w:val="24"/>
            </w:rPr>
          </w:pPr>
          <w:r w:rsidRPr="00841D89">
            <w:rPr>
              <w:rFonts w:cs="Arial"/>
            </w:rPr>
            <w:t>SOMMAIRE</w:t>
          </w:r>
        </w:p>
        <w:p w14:paraId="2303913C" w14:textId="4B280E81" w:rsidR="00E825DD" w:rsidRPr="00C351E3" w:rsidRDefault="00E825DD" w:rsidP="00D02498">
          <w:pPr>
            <w:rPr>
              <w:rFonts w:ascii="Arial" w:hAnsi="Arial" w:cs="Arial"/>
              <w:bCs/>
              <w:sz w:val="24"/>
              <w:szCs w:val="24"/>
            </w:rPr>
          </w:pPr>
          <w:r w:rsidRPr="00C351E3">
            <w:rPr>
              <w:rFonts w:ascii="Arial" w:hAnsi="Arial" w:cs="Arial"/>
              <w:sz w:val="24"/>
              <w:szCs w:val="24"/>
            </w:rPr>
            <w:t>SOMMAIRE………………….…………..…………………………</w:t>
          </w:r>
          <w:r w:rsidR="00175DA8" w:rsidRPr="00C351E3">
            <w:rPr>
              <w:rFonts w:ascii="Arial" w:hAnsi="Arial" w:cs="Arial"/>
              <w:sz w:val="24"/>
              <w:szCs w:val="24"/>
            </w:rPr>
            <w:t>……………</w:t>
          </w:r>
          <w:r w:rsidRPr="00C351E3">
            <w:rPr>
              <w:rFonts w:ascii="Arial" w:hAnsi="Arial" w:cs="Arial"/>
              <w:sz w:val="24"/>
              <w:szCs w:val="24"/>
            </w:rPr>
            <w:t>…….……..i</w:t>
          </w:r>
        </w:p>
        <w:p w14:paraId="50CE531B" w14:textId="77777777" w:rsidR="00C351E3" w:rsidRPr="00C351E3" w:rsidRDefault="00656AE6" w:rsidP="00D02498">
          <w:pPr>
            <w:rPr>
              <w:rFonts w:ascii="Arial" w:eastAsiaTheme="minorEastAsia" w:hAnsi="Arial" w:cs="Arial"/>
              <w:noProof/>
              <w:sz w:val="24"/>
              <w:szCs w:val="24"/>
              <w:lang w:eastAsia="fr-FR"/>
            </w:rPr>
          </w:pPr>
          <w:r w:rsidRPr="00C351E3">
            <w:rPr>
              <w:rFonts w:ascii="Arial" w:hAnsi="Arial" w:cs="Arial"/>
              <w:sz w:val="24"/>
              <w:szCs w:val="24"/>
            </w:rPr>
            <w:fldChar w:fldCharType="begin"/>
          </w:r>
          <w:r w:rsidRPr="00C351E3">
            <w:rPr>
              <w:rFonts w:ascii="Arial" w:hAnsi="Arial" w:cs="Arial"/>
              <w:sz w:val="24"/>
              <w:szCs w:val="24"/>
            </w:rPr>
            <w:instrText xml:space="preserve"> TOC \o "1-3" \h \z \u </w:instrText>
          </w:r>
          <w:r w:rsidRPr="00C351E3">
            <w:rPr>
              <w:rFonts w:ascii="Arial" w:hAnsi="Arial" w:cs="Arial"/>
              <w:sz w:val="24"/>
              <w:szCs w:val="24"/>
            </w:rPr>
            <w:fldChar w:fldCharType="separate"/>
          </w:r>
          <w:hyperlink w:anchor="_Toc120945323" w:history="1">
            <w:r w:rsidR="00C351E3" w:rsidRPr="00C351E3">
              <w:rPr>
                <w:rStyle w:val="Hyperlink"/>
                <w:rFonts w:ascii="Arial" w:hAnsi="Arial" w:cs="Arial"/>
                <w:noProof/>
                <w:sz w:val="24"/>
                <w:szCs w:val="24"/>
              </w:rPr>
              <w:t>I.</w:t>
            </w:r>
            <w:r w:rsidR="00C351E3" w:rsidRPr="00C351E3">
              <w:rPr>
                <w:rFonts w:ascii="Arial" w:eastAsiaTheme="minorEastAsia" w:hAnsi="Arial" w:cs="Arial"/>
                <w:noProof/>
                <w:sz w:val="24"/>
                <w:szCs w:val="24"/>
                <w:lang w:eastAsia="fr-FR"/>
              </w:rPr>
              <w:tab/>
            </w:r>
            <w:r w:rsidR="00C351E3" w:rsidRPr="00C351E3">
              <w:rPr>
                <w:rStyle w:val="Hyperlink"/>
                <w:rFonts w:ascii="Arial" w:hAnsi="Arial" w:cs="Arial"/>
                <w:noProof/>
                <w:sz w:val="24"/>
                <w:szCs w:val="24"/>
              </w:rPr>
              <w:t>LES PARTIES</w:t>
            </w:r>
            <w:r w:rsidR="00C351E3" w:rsidRPr="00C351E3">
              <w:rPr>
                <w:rFonts w:ascii="Arial" w:hAnsi="Arial" w:cs="Arial"/>
                <w:noProof/>
                <w:webHidden/>
                <w:sz w:val="24"/>
                <w:szCs w:val="24"/>
              </w:rPr>
              <w:tab/>
            </w:r>
            <w:r w:rsidR="00C351E3" w:rsidRPr="00C351E3">
              <w:rPr>
                <w:rFonts w:ascii="Arial" w:hAnsi="Arial" w:cs="Arial"/>
                <w:noProof/>
                <w:webHidden/>
                <w:sz w:val="24"/>
                <w:szCs w:val="24"/>
              </w:rPr>
              <w:fldChar w:fldCharType="begin"/>
            </w:r>
            <w:r w:rsidR="00C351E3" w:rsidRPr="00C351E3">
              <w:rPr>
                <w:rFonts w:ascii="Arial" w:hAnsi="Arial" w:cs="Arial"/>
                <w:noProof/>
                <w:webHidden/>
                <w:sz w:val="24"/>
                <w:szCs w:val="24"/>
              </w:rPr>
              <w:instrText xml:space="preserve"> PAGEREF _Toc120945323 \h </w:instrText>
            </w:r>
            <w:r w:rsidR="00C351E3" w:rsidRPr="00C351E3">
              <w:rPr>
                <w:rFonts w:ascii="Arial" w:hAnsi="Arial" w:cs="Arial"/>
                <w:noProof/>
                <w:webHidden/>
                <w:sz w:val="24"/>
                <w:szCs w:val="24"/>
              </w:rPr>
            </w:r>
            <w:r w:rsidR="00C351E3" w:rsidRPr="00C351E3">
              <w:rPr>
                <w:rFonts w:ascii="Arial" w:hAnsi="Arial" w:cs="Arial"/>
                <w:noProof/>
                <w:webHidden/>
                <w:sz w:val="24"/>
                <w:szCs w:val="24"/>
              </w:rPr>
              <w:fldChar w:fldCharType="separate"/>
            </w:r>
            <w:r w:rsidR="00C351E3" w:rsidRPr="00C351E3">
              <w:rPr>
                <w:rFonts w:ascii="Arial" w:hAnsi="Arial" w:cs="Arial"/>
                <w:noProof/>
                <w:webHidden/>
                <w:sz w:val="24"/>
                <w:szCs w:val="24"/>
              </w:rPr>
              <w:t>2</w:t>
            </w:r>
            <w:r w:rsidR="00C351E3" w:rsidRPr="00C351E3">
              <w:rPr>
                <w:rFonts w:ascii="Arial" w:hAnsi="Arial" w:cs="Arial"/>
                <w:noProof/>
                <w:webHidden/>
                <w:sz w:val="24"/>
                <w:szCs w:val="24"/>
              </w:rPr>
              <w:fldChar w:fldCharType="end"/>
            </w:r>
          </w:hyperlink>
        </w:p>
        <w:p w14:paraId="16570156" w14:textId="77777777" w:rsidR="00C351E3" w:rsidRPr="00C351E3" w:rsidRDefault="00C351E3" w:rsidP="00D02498">
          <w:pPr>
            <w:rPr>
              <w:rFonts w:ascii="Arial" w:eastAsiaTheme="minorEastAsia" w:hAnsi="Arial" w:cs="Arial"/>
              <w:noProof/>
              <w:sz w:val="24"/>
              <w:szCs w:val="24"/>
              <w:lang w:eastAsia="fr-FR"/>
            </w:rPr>
          </w:pPr>
          <w:hyperlink w:anchor="_Toc120945324" w:history="1">
            <w:r w:rsidRPr="00C351E3">
              <w:rPr>
                <w:rStyle w:val="Hyperlink"/>
                <w:rFonts w:ascii="Arial" w:hAnsi="Arial" w:cs="Arial"/>
                <w:noProof/>
                <w:sz w:val="24"/>
                <w:szCs w:val="24"/>
              </w:rPr>
              <w:t>II.</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OBJET DE LA REQUÊTE</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_Toc120945324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2</w:t>
            </w:r>
            <w:r w:rsidRPr="00C351E3">
              <w:rPr>
                <w:rFonts w:ascii="Arial" w:hAnsi="Arial" w:cs="Arial"/>
                <w:noProof/>
                <w:webHidden/>
                <w:sz w:val="24"/>
                <w:szCs w:val="24"/>
              </w:rPr>
              <w:fldChar w:fldCharType="end"/>
            </w:r>
          </w:hyperlink>
        </w:p>
        <w:p w14:paraId="22DB0182" w14:textId="77777777" w:rsidR="00C351E3" w:rsidRPr="00C351E3" w:rsidRDefault="00C351E3" w:rsidP="00D02498">
          <w:pPr>
            <w:rPr>
              <w:rFonts w:ascii="Arial" w:eastAsiaTheme="minorEastAsia" w:hAnsi="Arial" w:cs="Arial"/>
              <w:noProof/>
              <w:sz w:val="24"/>
              <w:szCs w:val="24"/>
              <w:lang w:eastAsia="fr-FR"/>
            </w:rPr>
          </w:pPr>
          <w:hyperlink w:anchor="_Toc120945325" w:history="1">
            <w:r w:rsidRPr="00C351E3">
              <w:rPr>
                <w:rStyle w:val="Hyperlink"/>
                <w:rFonts w:ascii="Arial" w:hAnsi="Arial" w:cs="Arial"/>
                <w:noProof/>
                <w:sz w:val="24"/>
                <w:szCs w:val="24"/>
              </w:rPr>
              <w:t>A.</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Faits de la cause</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_Toc120945325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2</w:t>
            </w:r>
            <w:r w:rsidRPr="00C351E3">
              <w:rPr>
                <w:rFonts w:ascii="Arial" w:hAnsi="Arial" w:cs="Arial"/>
                <w:noProof/>
                <w:webHidden/>
                <w:sz w:val="24"/>
                <w:szCs w:val="24"/>
              </w:rPr>
              <w:fldChar w:fldCharType="end"/>
            </w:r>
          </w:hyperlink>
        </w:p>
        <w:p w14:paraId="46D593B8" w14:textId="77777777" w:rsidR="00C351E3" w:rsidRPr="00C351E3" w:rsidRDefault="00C351E3" w:rsidP="00D02498">
          <w:pPr>
            <w:rPr>
              <w:rFonts w:ascii="Arial" w:eastAsiaTheme="minorEastAsia" w:hAnsi="Arial" w:cs="Arial"/>
              <w:noProof/>
              <w:sz w:val="24"/>
              <w:szCs w:val="24"/>
              <w:lang w:eastAsia="fr-FR"/>
            </w:rPr>
          </w:pPr>
          <w:hyperlink w:anchor="_Toc120945326" w:history="1">
            <w:r w:rsidRPr="00C351E3">
              <w:rPr>
                <w:rStyle w:val="Hyperlink"/>
                <w:rFonts w:ascii="Arial" w:hAnsi="Arial" w:cs="Arial"/>
                <w:noProof/>
                <w:sz w:val="24"/>
                <w:szCs w:val="24"/>
              </w:rPr>
              <w:t>B.</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Violations alléguées</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_Toc120945326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3</w:t>
            </w:r>
            <w:r w:rsidRPr="00C351E3">
              <w:rPr>
                <w:rFonts w:ascii="Arial" w:hAnsi="Arial" w:cs="Arial"/>
                <w:noProof/>
                <w:webHidden/>
                <w:sz w:val="24"/>
                <w:szCs w:val="24"/>
              </w:rPr>
              <w:fldChar w:fldCharType="end"/>
            </w:r>
          </w:hyperlink>
        </w:p>
        <w:p w14:paraId="0A90DC3A" w14:textId="77777777" w:rsidR="00C351E3" w:rsidRPr="00C351E3" w:rsidRDefault="00C351E3" w:rsidP="00D02498">
          <w:pPr>
            <w:rPr>
              <w:rFonts w:ascii="Arial" w:eastAsiaTheme="minorEastAsia" w:hAnsi="Arial" w:cs="Arial"/>
              <w:noProof/>
              <w:sz w:val="24"/>
              <w:szCs w:val="24"/>
              <w:lang w:eastAsia="fr-FR"/>
            </w:rPr>
          </w:pPr>
          <w:hyperlink w:anchor="_Toc120945327" w:history="1">
            <w:r w:rsidRPr="00C351E3">
              <w:rPr>
                <w:rStyle w:val="Hyperlink"/>
                <w:rFonts w:ascii="Arial" w:hAnsi="Arial" w:cs="Arial"/>
                <w:noProof/>
                <w:sz w:val="24"/>
                <w:szCs w:val="24"/>
              </w:rPr>
              <w:t>III.</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RÉSUMÉ DE LA PROCÉDURE DEVANT LA COUR DE CÉANS</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_Toc120945327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3</w:t>
            </w:r>
            <w:r w:rsidRPr="00C351E3">
              <w:rPr>
                <w:rFonts w:ascii="Arial" w:hAnsi="Arial" w:cs="Arial"/>
                <w:noProof/>
                <w:webHidden/>
                <w:sz w:val="24"/>
                <w:szCs w:val="24"/>
              </w:rPr>
              <w:fldChar w:fldCharType="end"/>
            </w:r>
          </w:hyperlink>
        </w:p>
        <w:p w14:paraId="725D6380" w14:textId="77777777" w:rsidR="00C351E3" w:rsidRPr="00C351E3" w:rsidRDefault="00C351E3" w:rsidP="00D02498">
          <w:pPr>
            <w:rPr>
              <w:rFonts w:ascii="Arial" w:eastAsiaTheme="minorEastAsia" w:hAnsi="Arial" w:cs="Arial"/>
              <w:noProof/>
              <w:sz w:val="24"/>
              <w:szCs w:val="24"/>
              <w:lang w:eastAsia="fr-FR"/>
            </w:rPr>
          </w:pPr>
          <w:hyperlink w:anchor="_Toc120945328" w:history="1">
            <w:r w:rsidRPr="00C351E3">
              <w:rPr>
                <w:rStyle w:val="Hyperlink"/>
                <w:rFonts w:ascii="Arial" w:hAnsi="Arial" w:cs="Arial"/>
                <w:noProof/>
                <w:sz w:val="24"/>
                <w:szCs w:val="24"/>
              </w:rPr>
              <w:t>IV.</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DEMANDES DES PARTIES</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_Toc120945328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4</w:t>
            </w:r>
            <w:r w:rsidRPr="00C351E3">
              <w:rPr>
                <w:rFonts w:ascii="Arial" w:hAnsi="Arial" w:cs="Arial"/>
                <w:noProof/>
                <w:webHidden/>
                <w:sz w:val="24"/>
                <w:szCs w:val="24"/>
              </w:rPr>
              <w:fldChar w:fldCharType="end"/>
            </w:r>
          </w:hyperlink>
        </w:p>
        <w:p w14:paraId="03BF1BD1" w14:textId="77777777" w:rsidR="00C351E3" w:rsidRPr="00C351E3" w:rsidRDefault="00C351E3" w:rsidP="00D02498">
          <w:pPr>
            <w:rPr>
              <w:rFonts w:ascii="Arial" w:eastAsiaTheme="minorEastAsia" w:hAnsi="Arial" w:cs="Arial"/>
              <w:noProof/>
              <w:sz w:val="24"/>
              <w:szCs w:val="24"/>
              <w:lang w:eastAsia="fr-FR"/>
            </w:rPr>
          </w:pPr>
          <w:hyperlink w:anchor="_Toc120945329" w:history="1">
            <w:r w:rsidRPr="00C351E3">
              <w:rPr>
                <w:rStyle w:val="Hyperlink"/>
                <w:rFonts w:ascii="Arial" w:hAnsi="Arial" w:cs="Arial"/>
                <w:noProof/>
                <w:sz w:val="24"/>
                <w:szCs w:val="24"/>
              </w:rPr>
              <w:t>V.</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SUR LA COMPÉTENCE</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_Toc120945329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4</w:t>
            </w:r>
            <w:r w:rsidRPr="00C351E3">
              <w:rPr>
                <w:rFonts w:ascii="Arial" w:hAnsi="Arial" w:cs="Arial"/>
                <w:noProof/>
                <w:webHidden/>
                <w:sz w:val="24"/>
                <w:szCs w:val="24"/>
              </w:rPr>
              <w:fldChar w:fldCharType="end"/>
            </w:r>
          </w:hyperlink>
        </w:p>
        <w:p w14:paraId="559ACD35" w14:textId="77777777" w:rsidR="00C351E3" w:rsidRPr="00C351E3" w:rsidRDefault="00C351E3" w:rsidP="00D02498">
          <w:pPr>
            <w:rPr>
              <w:rFonts w:ascii="Arial" w:eastAsiaTheme="minorEastAsia" w:hAnsi="Arial" w:cs="Arial"/>
              <w:noProof/>
              <w:sz w:val="24"/>
              <w:szCs w:val="24"/>
              <w:lang w:eastAsia="fr-FR"/>
            </w:rPr>
          </w:pPr>
          <w:hyperlink w:anchor="_Toc120945330" w:history="1">
            <w:r w:rsidRPr="00C351E3">
              <w:rPr>
                <w:rStyle w:val="Hyperlink"/>
                <w:rFonts w:ascii="Arial" w:hAnsi="Arial" w:cs="Arial"/>
                <w:noProof/>
                <w:sz w:val="24"/>
                <w:szCs w:val="24"/>
              </w:rPr>
              <w:t>VI.</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SUR LA RECEVABILITÉ</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_Toc120945330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6</w:t>
            </w:r>
            <w:r w:rsidRPr="00C351E3">
              <w:rPr>
                <w:rFonts w:ascii="Arial" w:hAnsi="Arial" w:cs="Arial"/>
                <w:noProof/>
                <w:webHidden/>
                <w:sz w:val="24"/>
                <w:szCs w:val="24"/>
              </w:rPr>
              <w:fldChar w:fldCharType="end"/>
            </w:r>
          </w:hyperlink>
        </w:p>
        <w:p w14:paraId="2EBF5182" w14:textId="77777777" w:rsidR="00C351E3" w:rsidRPr="00C351E3" w:rsidRDefault="00C351E3" w:rsidP="00D02498">
          <w:pPr>
            <w:rPr>
              <w:rFonts w:ascii="Arial" w:eastAsiaTheme="minorEastAsia" w:hAnsi="Arial" w:cs="Arial"/>
              <w:noProof/>
              <w:sz w:val="24"/>
              <w:szCs w:val="24"/>
              <w:lang w:eastAsia="fr-FR"/>
            </w:rPr>
          </w:pPr>
          <w:hyperlink w:anchor="_Toc120945331" w:history="1">
            <w:r w:rsidRPr="00C351E3">
              <w:rPr>
                <w:rStyle w:val="Hyperlink"/>
                <w:rFonts w:ascii="Arial" w:hAnsi="Arial" w:cs="Arial"/>
                <w:noProof/>
                <w:sz w:val="24"/>
                <w:szCs w:val="24"/>
              </w:rPr>
              <w:t>VII.</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SUR LE FOND</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_Toc120945331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11</w:t>
            </w:r>
            <w:r w:rsidRPr="00C351E3">
              <w:rPr>
                <w:rFonts w:ascii="Arial" w:hAnsi="Arial" w:cs="Arial"/>
                <w:noProof/>
                <w:webHidden/>
                <w:sz w:val="24"/>
                <w:szCs w:val="24"/>
              </w:rPr>
              <w:fldChar w:fldCharType="end"/>
            </w:r>
          </w:hyperlink>
        </w:p>
        <w:p w14:paraId="7CA6A73D" w14:textId="77777777" w:rsidR="00C351E3" w:rsidRPr="00C351E3" w:rsidRDefault="00C351E3" w:rsidP="00D02498">
          <w:pPr>
            <w:rPr>
              <w:rFonts w:ascii="Arial" w:eastAsiaTheme="minorEastAsia" w:hAnsi="Arial" w:cs="Arial"/>
              <w:noProof/>
              <w:sz w:val="24"/>
              <w:szCs w:val="24"/>
              <w:lang w:eastAsia="fr-FR"/>
            </w:rPr>
          </w:pPr>
          <w:hyperlink w:anchor="_Toc120945332" w:history="1">
            <w:r w:rsidRPr="00C351E3">
              <w:rPr>
                <w:rStyle w:val="Hyperlink"/>
                <w:rFonts w:ascii="Arial" w:hAnsi="Arial" w:cs="Arial"/>
                <w:noProof/>
                <w:sz w:val="24"/>
                <w:szCs w:val="24"/>
              </w:rPr>
              <w:t>A.</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Allégation relative à la condamnation sur la base de preuves douteuses</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_Toc120945332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11</w:t>
            </w:r>
            <w:r w:rsidRPr="00C351E3">
              <w:rPr>
                <w:rFonts w:ascii="Arial" w:hAnsi="Arial" w:cs="Arial"/>
                <w:noProof/>
                <w:webHidden/>
                <w:sz w:val="24"/>
                <w:szCs w:val="24"/>
              </w:rPr>
              <w:fldChar w:fldCharType="end"/>
            </w:r>
          </w:hyperlink>
        </w:p>
        <w:p w14:paraId="206AC626" w14:textId="77777777" w:rsidR="00C351E3" w:rsidRPr="00C351E3" w:rsidRDefault="00C351E3" w:rsidP="00D02498">
          <w:pPr>
            <w:rPr>
              <w:rFonts w:ascii="Arial" w:eastAsiaTheme="minorEastAsia" w:hAnsi="Arial" w:cs="Arial"/>
              <w:noProof/>
              <w:sz w:val="24"/>
              <w:szCs w:val="24"/>
              <w:lang w:eastAsia="fr-FR"/>
            </w:rPr>
          </w:pPr>
          <w:hyperlink w:anchor="_Toc120945333" w:history="1">
            <w:r w:rsidRPr="00C351E3">
              <w:rPr>
                <w:rStyle w:val="Hyperlink"/>
                <w:rFonts w:ascii="Arial" w:hAnsi="Arial" w:cs="Arial"/>
                <w:noProof/>
                <w:sz w:val="24"/>
                <w:szCs w:val="24"/>
              </w:rPr>
              <w:t>B.</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Allégation relative à l’appréciation discriminatoire des preuves</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_Toc120945333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13</w:t>
            </w:r>
            <w:r w:rsidRPr="00C351E3">
              <w:rPr>
                <w:rFonts w:ascii="Arial" w:hAnsi="Arial" w:cs="Arial"/>
                <w:noProof/>
                <w:webHidden/>
                <w:sz w:val="24"/>
                <w:szCs w:val="24"/>
              </w:rPr>
              <w:fldChar w:fldCharType="end"/>
            </w:r>
          </w:hyperlink>
        </w:p>
        <w:p w14:paraId="3B40645D" w14:textId="77777777" w:rsidR="00C351E3" w:rsidRPr="00C351E3" w:rsidRDefault="00C351E3" w:rsidP="00D02498">
          <w:pPr>
            <w:rPr>
              <w:rFonts w:ascii="Arial" w:eastAsiaTheme="minorEastAsia" w:hAnsi="Arial" w:cs="Arial"/>
              <w:noProof/>
              <w:sz w:val="24"/>
              <w:szCs w:val="24"/>
              <w:lang w:eastAsia="fr-FR"/>
            </w:rPr>
          </w:pPr>
          <w:hyperlink w:anchor="_Toc120945334" w:history="1">
            <w:r w:rsidRPr="00C351E3">
              <w:rPr>
                <w:rStyle w:val="Hyperlink"/>
                <w:rFonts w:ascii="Arial" w:hAnsi="Arial" w:cs="Arial"/>
                <w:noProof/>
                <w:sz w:val="24"/>
                <w:szCs w:val="24"/>
              </w:rPr>
              <w:t>VIII.</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SUR LES RÉPARATIONS</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_Toc120945334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14</w:t>
            </w:r>
            <w:r w:rsidRPr="00C351E3">
              <w:rPr>
                <w:rFonts w:ascii="Arial" w:hAnsi="Arial" w:cs="Arial"/>
                <w:noProof/>
                <w:webHidden/>
                <w:sz w:val="24"/>
                <w:szCs w:val="24"/>
              </w:rPr>
              <w:fldChar w:fldCharType="end"/>
            </w:r>
          </w:hyperlink>
        </w:p>
        <w:p w14:paraId="30572558" w14:textId="77777777" w:rsidR="00C351E3" w:rsidRPr="00C351E3" w:rsidRDefault="00C351E3" w:rsidP="00D02498">
          <w:pPr>
            <w:rPr>
              <w:rFonts w:ascii="Arial" w:eastAsiaTheme="minorEastAsia" w:hAnsi="Arial" w:cs="Arial"/>
              <w:noProof/>
              <w:sz w:val="24"/>
              <w:szCs w:val="24"/>
              <w:lang w:eastAsia="fr-FR"/>
            </w:rPr>
          </w:pPr>
          <w:hyperlink w:anchor="_Toc120945335" w:history="1">
            <w:r w:rsidRPr="00C351E3">
              <w:rPr>
                <w:rStyle w:val="Hyperlink"/>
                <w:rFonts w:ascii="Arial" w:hAnsi="Arial" w:cs="Arial"/>
                <w:noProof/>
                <w:sz w:val="24"/>
                <w:szCs w:val="24"/>
              </w:rPr>
              <w:t>IX.</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SUR LES FRAIS DE PROCÉDURE</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_Toc120945335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15</w:t>
            </w:r>
            <w:r w:rsidRPr="00C351E3">
              <w:rPr>
                <w:rFonts w:ascii="Arial" w:hAnsi="Arial" w:cs="Arial"/>
                <w:noProof/>
                <w:webHidden/>
                <w:sz w:val="24"/>
                <w:szCs w:val="24"/>
              </w:rPr>
              <w:fldChar w:fldCharType="end"/>
            </w:r>
          </w:hyperlink>
        </w:p>
        <w:p w14:paraId="1A40677B" w14:textId="77777777" w:rsidR="00C351E3" w:rsidRPr="00C351E3" w:rsidRDefault="00C351E3" w:rsidP="00D02498">
          <w:pPr>
            <w:rPr>
              <w:rFonts w:ascii="Arial" w:eastAsiaTheme="minorEastAsia" w:hAnsi="Arial" w:cs="Arial"/>
              <w:noProof/>
              <w:sz w:val="24"/>
              <w:szCs w:val="24"/>
              <w:lang w:eastAsia="fr-FR"/>
            </w:rPr>
          </w:pPr>
          <w:hyperlink w:anchor="_Toc120945336" w:history="1">
            <w:r w:rsidRPr="00C351E3">
              <w:rPr>
                <w:rStyle w:val="Hyperlink"/>
                <w:rFonts w:ascii="Arial" w:hAnsi="Arial" w:cs="Arial"/>
                <w:noProof/>
                <w:sz w:val="24"/>
                <w:szCs w:val="24"/>
              </w:rPr>
              <w:t>X.</w:t>
            </w:r>
            <w:r w:rsidRPr="00C351E3">
              <w:rPr>
                <w:rFonts w:ascii="Arial" w:eastAsiaTheme="minorEastAsia" w:hAnsi="Arial" w:cs="Arial"/>
                <w:noProof/>
                <w:sz w:val="24"/>
                <w:szCs w:val="24"/>
                <w:lang w:eastAsia="fr-FR"/>
              </w:rPr>
              <w:tab/>
            </w:r>
            <w:r w:rsidRPr="00C351E3">
              <w:rPr>
                <w:rStyle w:val="Hyperlink"/>
                <w:rFonts w:ascii="Arial" w:hAnsi="Arial" w:cs="Arial"/>
                <w:noProof/>
                <w:sz w:val="24"/>
                <w:szCs w:val="24"/>
              </w:rPr>
              <w:t>DISPOSITIF</w:t>
            </w:r>
            <w:r w:rsidRPr="00C351E3">
              <w:rPr>
                <w:rFonts w:ascii="Arial" w:hAnsi="Arial" w:cs="Arial"/>
                <w:noProof/>
                <w:webHidden/>
                <w:sz w:val="24"/>
                <w:szCs w:val="24"/>
              </w:rPr>
              <w:tab/>
            </w:r>
            <w:r w:rsidRPr="00C351E3">
              <w:rPr>
                <w:rFonts w:ascii="Arial" w:hAnsi="Arial" w:cs="Arial"/>
                <w:noProof/>
                <w:webHidden/>
                <w:sz w:val="24"/>
                <w:szCs w:val="24"/>
              </w:rPr>
              <w:fldChar w:fldCharType="begin"/>
            </w:r>
            <w:r w:rsidRPr="00C351E3">
              <w:rPr>
                <w:rFonts w:ascii="Arial" w:hAnsi="Arial" w:cs="Arial"/>
                <w:noProof/>
                <w:webHidden/>
                <w:sz w:val="24"/>
                <w:szCs w:val="24"/>
              </w:rPr>
              <w:instrText xml:space="preserve"> PAGEREF _Toc120945336 \h </w:instrText>
            </w:r>
            <w:r w:rsidRPr="00C351E3">
              <w:rPr>
                <w:rFonts w:ascii="Arial" w:hAnsi="Arial" w:cs="Arial"/>
                <w:noProof/>
                <w:webHidden/>
                <w:sz w:val="24"/>
                <w:szCs w:val="24"/>
              </w:rPr>
            </w:r>
            <w:r w:rsidRPr="00C351E3">
              <w:rPr>
                <w:rFonts w:ascii="Arial" w:hAnsi="Arial" w:cs="Arial"/>
                <w:noProof/>
                <w:webHidden/>
                <w:sz w:val="24"/>
                <w:szCs w:val="24"/>
              </w:rPr>
              <w:fldChar w:fldCharType="separate"/>
            </w:r>
            <w:r w:rsidRPr="00C351E3">
              <w:rPr>
                <w:rFonts w:ascii="Arial" w:hAnsi="Arial" w:cs="Arial"/>
                <w:noProof/>
                <w:webHidden/>
                <w:sz w:val="24"/>
                <w:szCs w:val="24"/>
              </w:rPr>
              <w:t>15</w:t>
            </w:r>
            <w:r w:rsidRPr="00C351E3">
              <w:rPr>
                <w:rFonts w:ascii="Arial" w:hAnsi="Arial" w:cs="Arial"/>
                <w:noProof/>
                <w:webHidden/>
                <w:sz w:val="24"/>
                <w:szCs w:val="24"/>
              </w:rPr>
              <w:fldChar w:fldCharType="end"/>
            </w:r>
          </w:hyperlink>
        </w:p>
        <w:p w14:paraId="741E35BD" w14:textId="0A93A92F" w:rsidR="00656AE6" w:rsidRPr="00841D89" w:rsidRDefault="00656AE6" w:rsidP="00D02498">
          <w:pPr>
            <w:rPr>
              <w:rFonts w:ascii="Arial" w:hAnsi="Arial" w:cs="Arial"/>
              <w:sz w:val="24"/>
            </w:rPr>
          </w:pPr>
          <w:r w:rsidRPr="00C351E3">
            <w:rPr>
              <w:rFonts w:ascii="Arial" w:hAnsi="Arial" w:cs="Arial"/>
              <w:sz w:val="24"/>
              <w:szCs w:val="24"/>
            </w:rPr>
            <w:fldChar w:fldCharType="end"/>
          </w:r>
        </w:p>
      </w:sdtContent>
    </w:sdt>
    <w:p w14:paraId="769FF024" w14:textId="77777777" w:rsidR="00F114C6" w:rsidRPr="00841D89" w:rsidRDefault="00F114C6" w:rsidP="00D02498">
      <w:pPr>
        <w:rPr>
          <w:rFonts w:ascii="Arial" w:hAnsi="Arial" w:cs="Arial"/>
          <w:bCs/>
          <w:sz w:val="24"/>
          <w:szCs w:val="24"/>
        </w:rPr>
      </w:pPr>
    </w:p>
    <w:p w14:paraId="70CC81B9" w14:textId="77777777" w:rsidR="00F114C6" w:rsidRPr="00841D89" w:rsidRDefault="00F114C6" w:rsidP="00D02498">
      <w:pPr>
        <w:rPr>
          <w:rFonts w:ascii="Arial" w:hAnsi="Arial" w:cs="Arial"/>
          <w:bCs/>
          <w:sz w:val="24"/>
          <w:szCs w:val="24"/>
        </w:rPr>
      </w:pPr>
    </w:p>
    <w:p w14:paraId="70997EBB" w14:textId="77777777" w:rsidR="00F114C6" w:rsidRPr="00841D89" w:rsidRDefault="00F114C6" w:rsidP="00D02498">
      <w:pPr>
        <w:rPr>
          <w:rFonts w:ascii="Arial" w:hAnsi="Arial" w:cs="Arial"/>
          <w:bCs/>
          <w:sz w:val="24"/>
          <w:szCs w:val="24"/>
        </w:rPr>
      </w:pPr>
    </w:p>
    <w:p w14:paraId="4B9FB4C2" w14:textId="77777777" w:rsidR="00F114C6" w:rsidRPr="00841D89" w:rsidRDefault="00F114C6" w:rsidP="00D02498">
      <w:pPr>
        <w:rPr>
          <w:rFonts w:ascii="Arial" w:hAnsi="Arial" w:cs="Arial"/>
          <w:bCs/>
          <w:sz w:val="24"/>
          <w:szCs w:val="24"/>
        </w:rPr>
      </w:pPr>
    </w:p>
    <w:p w14:paraId="48E654D0" w14:textId="77777777" w:rsidR="00F114C6" w:rsidRPr="00841D89" w:rsidRDefault="00F114C6" w:rsidP="00D02498">
      <w:pPr>
        <w:rPr>
          <w:rFonts w:ascii="Arial" w:hAnsi="Arial" w:cs="Arial"/>
          <w:bCs/>
          <w:sz w:val="24"/>
          <w:szCs w:val="24"/>
        </w:rPr>
      </w:pPr>
    </w:p>
    <w:p w14:paraId="47507D57" w14:textId="77777777" w:rsidR="00F114C6" w:rsidRPr="00841D89" w:rsidRDefault="00F114C6" w:rsidP="00D02498">
      <w:pPr>
        <w:rPr>
          <w:rFonts w:ascii="Arial" w:hAnsi="Arial" w:cs="Arial"/>
          <w:bCs/>
          <w:sz w:val="24"/>
          <w:szCs w:val="24"/>
        </w:rPr>
      </w:pPr>
    </w:p>
    <w:p w14:paraId="75E53AE9" w14:textId="77777777" w:rsidR="00F114C6" w:rsidRPr="00841D89" w:rsidRDefault="00F114C6" w:rsidP="00D02498">
      <w:pPr>
        <w:rPr>
          <w:rFonts w:ascii="Arial" w:hAnsi="Arial" w:cs="Arial"/>
          <w:bCs/>
          <w:sz w:val="24"/>
          <w:szCs w:val="24"/>
        </w:rPr>
      </w:pPr>
    </w:p>
    <w:p w14:paraId="7611E158" w14:textId="77777777" w:rsidR="00F114C6" w:rsidRPr="00841D89" w:rsidRDefault="00F114C6" w:rsidP="00D02498">
      <w:pPr>
        <w:rPr>
          <w:rFonts w:ascii="Arial" w:hAnsi="Arial" w:cs="Arial"/>
          <w:bCs/>
          <w:sz w:val="24"/>
          <w:szCs w:val="24"/>
        </w:rPr>
      </w:pPr>
    </w:p>
    <w:p w14:paraId="26FEF1F8" w14:textId="77777777" w:rsidR="00F114C6" w:rsidRPr="00841D89" w:rsidRDefault="00F114C6" w:rsidP="00D02498">
      <w:pPr>
        <w:rPr>
          <w:rFonts w:ascii="Arial" w:hAnsi="Arial" w:cs="Arial"/>
          <w:bCs/>
          <w:sz w:val="24"/>
          <w:szCs w:val="24"/>
        </w:rPr>
      </w:pPr>
    </w:p>
    <w:p w14:paraId="1D957A75" w14:textId="77777777" w:rsidR="00F114C6" w:rsidRPr="00841D89" w:rsidRDefault="00F114C6" w:rsidP="00D02498">
      <w:pPr>
        <w:rPr>
          <w:rFonts w:ascii="Arial" w:hAnsi="Arial" w:cs="Arial"/>
          <w:bCs/>
          <w:sz w:val="24"/>
          <w:szCs w:val="24"/>
        </w:rPr>
      </w:pPr>
    </w:p>
    <w:p w14:paraId="0A87994C" w14:textId="77777777" w:rsidR="00F114C6" w:rsidRPr="00841D89" w:rsidRDefault="00F114C6" w:rsidP="00D02498">
      <w:pPr>
        <w:rPr>
          <w:rFonts w:ascii="Arial" w:hAnsi="Arial" w:cs="Arial"/>
          <w:bCs/>
          <w:sz w:val="24"/>
          <w:szCs w:val="24"/>
        </w:rPr>
      </w:pPr>
    </w:p>
    <w:p w14:paraId="0F10B455" w14:textId="77777777" w:rsidR="00F114C6" w:rsidRPr="00841D89" w:rsidRDefault="00F114C6" w:rsidP="00D02498">
      <w:pPr>
        <w:rPr>
          <w:rFonts w:ascii="Arial" w:hAnsi="Arial" w:cs="Arial"/>
          <w:bCs/>
          <w:sz w:val="24"/>
          <w:szCs w:val="24"/>
        </w:rPr>
      </w:pPr>
    </w:p>
    <w:p w14:paraId="0EE2CB71" w14:textId="77777777" w:rsidR="00F114C6" w:rsidRPr="00841D89" w:rsidRDefault="00F114C6" w:rsidP="00D02498">
      <w:pPr>
        <w:rPr>
          <w:rFonts w:ascii="Arial" w:hAnsi="Arial" w:cs="Arial"/>
          <w:bCs/>
          <w:sz w:val="24"/>
          <w:szCs w:val="24"/>
        </w:rPr>
      </w:pPr>
    </w:p>
    <w:p w14:paraId="2DA3681F" w14:textId="77777777" w:rsidR="00F114C6" w:rsidRPr="00841D89" w:rsidRDefault="00F114C6" w:rsidP="00D02498">
      <w:pPr>
        <w:rPr>
          <w:rFonts w:ascii="Arial" w:hAnsi="Arial" w:cs="Arial"/>
          <w:bCs/>
          <w:sz w:val="24"/>
          <w:szCs w:val="24"/>
        </w:rPr>
      </w:pPr>
    </w:p>
    <w:p w14:paraId="70DE3E55" w14:textId="77777777" w:rsidR="00F114C6" w:rsidRPr="00841D89" w:rsidRDefault="00F114C6" w:rsidP="00D02498">
      <w:pPr>
        <w:rPr>
          <w:rFonts w:ascii="Arial" w:hAnsi="Arial" w:cs="Arial"/>
          <w:bCs/>
          <w:sz w:val="24"/>
          <w:szCs w:val="24"/>
        </w:rPr>
      </w:pPr>
    </w:p>
    <w:p w14:paraId="190A3140" w14:textId="77777777" w:rsidR="00F114C6" w:rsidRPr="00841D89" w:rsidRDefault="00F114C6" w:rsidP="00D02498">
      <w:pPr>
        <w:rPr>
          <w:rFonts w:ascii="Arial" w:hAnsi="Arial" w:cs="Arial"/>
          <w:bCs/>
          <w:sz w:val="24"/>
          <w:szCs w:val="24"/>
        </w:rPr>
      </w:pPr>
    </w:p>
    <w:p w14:paraId="1304DC31" w14:textId="77777777" w:rsidR="00FF5154" w:rsidRPr="00841D89" w:rsidRDefault="00FF5154" w:rsidP="00D02498">
      <w:pPr>
        <w:rPr>
          <w:rFonts w:ascii="Arial" w:hAnsi="Arial" w:cs="Arial"/>
          <w:bCs/>
          <w:sz w:val="24"/>
          <w:szCs w:val="24"/>
        </w:rPr>
        <w:sectPr w:rsidR="00FF5154" w:rsidRPr="00841D89" w:rsidSect="00DE52EF">
          <w:footerReference w:type="first" r:id="rId12"/>
          <w:type w:val="continuous"/>
          <w:pgSz w:w="11906" w:h="16838"/>
          <w:pgMar w:top="1440" w:right="1440" w:bottom="1440" w:left="1440" w:header="706" w:footer="706" w:gutter="0"/>
          <w:pgNumType w:fmt="lowerRoman" w:start="1"/>
          <w:cols w:space="708"/>
          <w:titlePg/>
          <w:docGrid w:linePitch="360"/>
        </w:sectPr>
      </w:pPr>
    </w:p>
    <w:p w14:paraId="1429E32C" w14:textId="1A67A73A" w:rsidR="008F7894" w:rsidRPr="00841D89" w:rsidRDefault="000414DE" w:rsidP="00D02498">
      <w:pPr>
        <w:rPr>
          <w:rFonts w:ascii="Arial" w:hAnsi="Arial" w:cs="Arial"/>
          <w:sz w:val="24"/>
          <w:szCs w:val="24"/>
        </w:rPr>
      </w:pPr>
      <w:r w:rsidRPr="00841D89">
        <w:rPr>
          <w:rFonts w:ascii="Arial" w:hAnsi="Arial" w:cs="Arial"/>
          <w:b/>
          <w:sz w:val="24"/>
        </w:rPr>
        <w:lastRenderedPageBreak/>
        <w:t>La Cour, composée de :</w:t>
      </w:r>
      <w:r w:rsidRPr="00841D89">
        <w:rPr>
          <w:rFonts w:ascii="Arial" w:hAnsi="Arial" w:cs="Arial"/>
          <w:sz w:val="24"/>
        </w:rPr>
        <w:t xml:space="preserve"> Blaise TCHIKAYA ; Vice-président, Ben KIOKO, Rafaâ BEN ACHOUR, Suzanne MENGUE, Tujilane R. CHIZUMILA, Chafika BENSAOULA, Stella I. ANUKAM, Dumisa B. NTSEBEZA, Modibo SACKO et Dennis D. ADJEI – Juges ; et de Robert ENO, Greffier.</w:t>
      </w:r>
    </w:p>
    <w:p w14:paraId="25FCC250" w14:textId="77777777" w:rsidR="00FD4D40" w:rsidRPr="00841D89" w:rsidRDefault="00FD4D40" w:rsidP="00D02498">
      <w:pPr>
        <w:rPr>
          <w:rFonts w:ascii="Arial" w:hAnsi="Arial" w:cs="Arial"/>
          <w:sz w:val="24"/>
          <w:szCs w:val="24"/>
        </w:rPr>
      </w:pPr>
    </w:p>
    <w:p w14:paraId="6CB73ACC" w14:textId="3ABA596E" w:rsidR="008F7894" w:rsidRPr="00841D89" w:rsidRDefault="008F7894" w:rsidP="00D02498">
      <w:pPr>
        <w:rPr>
          <w:rFonts w:ascii="Arial" w:hAnsi="Arial" w:cs="Arial"/>
          <w:sz w:val="24"/>
          <w:szCs w:val="24"/>
        </w:rPr>
      </w:pPr>
      <w:r w:rsidRPr="00841D89">
        <w:rPr>
          <w:rFonts w:ascii="Arial" w:hAnsi="Arial" w:cs="Arial"/>
          <w:sz w:val="24"/>
        </w:rPr>
        <w:t>Conformément à l’article 22 du Protocole relatif à la Charte africaine des droits de l’homme et des peuples portant création d’une Cour africaine des droits de l’homme et des peuples (ci-après désigné le « Protocole ») et à la règle 9(2) du Règlement intérieur de la Cour (ci-après désigné « le Règlement »), la Juge Imani D. ABOUD, Présidente de la Cour et de nationalité tanzanienne, s’est récusée.</w:t>
      </w:r>
    </w:p>
    <w:p w14:paraId="4C5785BE" w14:textId="77777777" w:rsidR="00F522A6" w:rsidRPr="00841D89" w:rsidRDefault="00F522A6" w:rsidP="00D02498">
      <w:pPr>
        <w:rPr>
          <w:rFonts w:ascii="Arial" w:hAnsi="Arial" w:cs="Arial"/>
          <w:sz w:val="24"/>
          <w:szCs w:val="24"/>
        </w:rPr>
      </w:pPr>
    </w:p>
    <w:p w14:paraId="54B29793" w14:textId="77777777" w:rsidR="008F7894" w:rsidRPr="00841D89" w:rsidRDefault="008F7894" w:rsidP="00D02498">
      <w:pPr>
        <w:rPr>
          <w:rFonts w:ascii="Arial" w:hAnsi="Arial" w:cs="Arial"/>
          <w:sz w:val="24"/>
          <w:szCs w:val="24"/>
        </w:rPr>
      </w:pPr>
      <w:r w:rsidRPr="00841D89">
        <w:rPr>
          <w:rFonts w:ascii="Arial" w:hAnsi="Arial" w:cs="Arial"/>
          <w:sz w:val="24"/>
        </w:rPr>
        <w:t xml:space="preserve">En l’affaire </w:t>
      </w:r>
    </w:p>
    <w:p w14:paraId="626DBC2A" w14:textId="77777777" w:rsidR="008F7894" w:rsidRPr="00841D89" w:rsidRDefault="008F7894" w:rsidP="00D02498">
      <w:pPr>
        <w:rPr>
          <w:rFonts w:ascii="Arial" w:hAnsi="Arial" w:cs="Arial"/>
          <w:sz w:val="24"/>
          <w:szCs w:val="24"/>
        </w:rPr>
      </w:pPr>
    </w:p>
    <w:p w14:paraId="26D88854" w14:textId="3AAFA080" w:rsidR="008F7894" w:rsidRPr="00841D89" w:rsidRDefault="00525560" w:rsidP="00D02498">
      <w:pPr>
        <w:rPr>
          <w:rFonts w:ascii="Arial" w:hAnsi="Arial" w:cs="Arial"/>
          <w:sz w:val="24"/>
          <w:szCs w:val="24"/>
        </w:rPr>
      </w:pPr>
      <w:r w:rsidRPr="00841D89">
        <w:rPr>
          <w:rFonts w:ascii="Arial" w:hAnsi="Arial" w:cs="Arial"/>
          <w:sz w:val="24"/>
        </w:rPr>
        <w:t>Igola IGUNA</w:t>
      </w:r>
    </w:p>
    <w:p w14:paraId="0930089D" w14:textId="3C090F96" w:rsidR="008F7894" w:rsidRPr="00841D89" w:rsidRDefault="00841D89" w:rsidP="00D02498">
      <w:pPr>
        <w:rPr>
          <w:rFonts w:ascii="Arial" w:hAnsi="Arial" w:cs="Arial"/>
          <w:i/>
          <w:iCs/>
          <w:sz w:val="24"/>
          <w:szCs w:val="24"/>
        </w:rPr>
      </w:pPr>
      <w:r>
        <w:rPr>
          <w:rFonts w:ascii="Arial" w:hAnsi="Arial" w:cs="Arial"/>
          <w:i/>
          <w:sz w:val="24"/>
        </w:rPr>
        <w:t>a</w:t>
      </w:r>
      <w:r w:rsidR="00525560" w:rsidRPr="00841D89">
        <w:rPr>
          <w:rFonts w:ascii="Arial" w:hAnsi="Arial" w:cs="Arial"/>
          <w:i/>
          <w:sz w:val="24"/>
        </w:rPr>
        <w:t>ssurant lui-même sa défense</w:t>
      </w:r>
    </w:p>
    <w:p w14:paraId="12C717F3" w14:textId="77777777" w:rsidR="008F7894" w:rsidRPr="00841D89" w:rsidRDefault="008F7894" w:rsidP="00D02498">
      <w:pPr>
        <w:rPr>
          <w:rFonts w:ascii="Arial" w:hAnsi="Arial" w:cs="Arial"/>
          <w:sz w:val="24"/>
          <w:szCs w:val="24"/>
        </w:rPr>
      </w:pPr>
    </w:p>
    <w:p w14:paraId="7AEE7F7E" w14:textId="77777777" w:rsidR="008F7894" w:rsidRPr="00841D89" w:rsidRDefault="008F7894" w:rsidP="00D02498">
      <w:pPr>
        <w:rPr>
          <w:rFonts w:ascii="Arial" w:hAnsi="Arial" w:cs="Arial"/>
          <w:sz w:val="24"/>
          <w:szCs w:val="24"/>
        </w:rPr>
      </w:pPr>
      <w:r w:rsidRPr="00841D89">
        <w:rPr>
          <w:rFonts w:ascii="Arial" w:hAnsi="Arial" w:cs="Arial"/>
          <w:sz w:val="24"/>
        </w:rPr>
        <w:t>contre</w:t>
      </w:r>
    </w:p>
    <w:p w14:paraId="2A9E0A26" w14:textId="77777777" w:rsidR="008F7894" w:rsidRPr="00841D89" w:rsidRDefault="008F7894" w:rsidP="00D02498">
      <w:pPr>
        <w:rPr>
          <w:rFonts w:ascii="Arial" w:hAnsi="Arial" w:cs="Arial"/>
          <w:sz w:val="24"/>
          <w:szCs w:val="24"/>
        </w:rPr>
      </w:pPr>
    </w:p>
    <w:p w14:paraId="0BF81392" w14:textId="77777777" w:rsidR="008F7894" w:rsidRPr="00841D89" w:rsidRDefault="008F7894" w:rsidP="00D02498">
      <w:pPr>
        <w:rPr>
          <w:rFonts w:ascii="Arial" w:hAnsi="Arial" w:cs="Arial"/>
          <w:sz w:val="24"/>
          <w:szCs w:val="24"/>
        </w:rPr>
      </w:pPr>
      <w:r w:rsidRPr="00841D89">
        <w:rPr>
          <w:rFonts w:ascii="Arial" w:hAnsi="Arial" w:cs="Arial"/>
          <w:sz w:val="24"/>
        </w:rPr>
        <w:t xml:space="preserve">RÉPUBLIQUE-UNIE DE TANZANIE </w:t>
      </w:r>
    </w:p>
    <w:p w14:paraId="4713919E" w14:textId="77777777" w:rsidR="000135DB" w:rsidRPr="00841D89" w:rsidRDefault="000135DB" w:rsidP="00D02498">
      <w:pPr>
        <w:rPr>
          <w:rFonts w:ascii="Arial" w:hAnsi="Arial" w:cs="Arial"/>
          <w:i/>
          <w:iCs/>
          <w:sz w:val="24"/>
          <w:szCs w:val="24"/>
        </w:rPr>
      </w:pPr>
      <w:r w:rsidRPr="00841D89">
        <w:rPr>
          <w:rFonts w:ascii="Arial" w:hAnsi="Arial" w:cs="Arial"/>
          <w:i/>
          <w:sz w:val="24"/>
        </w:rPr>
        <w:t xml:space="preserve">représentée par : </w:t>
      </w:r>
    </w:p>
    <w:p w14:paraId="3E940277" w14:textId="78B21CD3" w:rsidR="00D631DE" w:rsidRPr="00841D89" w:rsidRDefault="0055751C" w:rsidP="00D02498">
      <w:pPr>
        <w:rPr>
          <w:rFonts w:ascii="Arial" w:hAnsi="Arial" w:cs="Arial"/>
          <w:sz w:val="24"/>
          <w:szCs w:val="24"/>
        </w:rPr>
      </w:pPr>
      <w:r w:rsidRPr="00841D89">
        <w:rPr>
          <w:rFonts w:ascii="Arial" w:hAnsi="Arial" w:cs="Arial"/>
          <w:sz w:val="24"/>
        </w:rPr>
        <w:t xml:space="preserve">Dr Boniphace Luhende, </w:t>
      </w:r>
      <w:r w:rsidRPr="00841D89">
        <w:rPr>
          <w:rFonts w:ascii="Arial" w:hAnsi="Arial" w:cs="Arial"/>
          <w:i/>
          <w:iCs/>
          <w:sz w:val="24"/>
        </w:rPr>
        <w:t>Solicitor General</w:t>
      </w:r>
      <w:r w:rsidRPr="00841D89">
        <w:rPr>
          <w:rFonts w:ascii="Arial" w:hAnsi="Arial" w:cs="Arial"/>
          <w:sz w:val="24"/>
        </w:rPr>
        <w:t xml:space="preserve">, Bureau du </w:t>
      </w:r>
      <w:r w:rsidRPr="00841D89">
        <w:rPr>
          <w:rFonts w:ascii="Arial" w:hAnsi="Arial" w:cs="Arial"/>
          <w:i/>
          <w:iCs/>
          <w:sz w:val="24"/>
        </w:rPr>
        <w:t>Solicitor General</w:t>
      </w:r>
      <w:r w:rsidRPr="00841D89">
        <w:rPr>
          <w:rFonts w:ascii="Arial" w:hAnsi="Arial" w:cs="Arial"/>
          <w:sz w:val="24"/>
        </w:rPr>
        <w:t xml:space="preserve"> ;</w:t>
      </w:r>
    </w:p>
    <w:p w14:paraId="5E8F91F6" w14:textId="54E10812" w:rsidR="00964121" w:rsidRPr="00841D89" w:rsidRDefault="00964121" w:rsidP="00D02498">
      <w:pPr>
        <w:rPr>
          <w:rFonts w:ascii="Arial" w:hAnsi="Arial" w:cs="Arial"/>
          <w:sz w:val="24"/>
          <w:szCs w:val="24"/>
        </w:rPr>
      </w:pPr>
      <w:r w:rsidRPr="00841D89">
        <w:rPr>
          <w:rFonts w:ascii="Arial" w:hAnsi="Arial" w:cs="Arial"/>
          <w:sz w:val="24"/>
        </w:rPr>
        <w:t xml:space="preserve">Mme Sarah Duncan Mwaipopo, </w:t>
      </w:r>
      <w:r w:rsidRPr="00841D89">
        <w:rPr>
          <w:rFonts w:ascii="Arial" w:hAnsi="Arial" w:cs="Arial"/>
          <w:i/>
          <w:iCs/>
          <w:sz w:val="24"/>
        </w:rPr>
        <w:t>Deputy Solicitor General</w:t>
      </w:r>
      <w:r w:rsidRPr="00841D89">
        <w:rPr>
          <w:rFonts w:ascii="Arial" w:hAnsi="Arial" w:cs="Arial"/>
          <w:sz w:val="24"/>
        </w:rPr>
        <w:t xml:space="preserve">, Bureau du </w:t>
      </w:r>
      <w:r w:rsidRPr="00841D89">
        <w:rPr>
          <w:rFonts w:ascii="Arial" w:hAnsi="Arial" w:cs="Arial"/>
          <w:i/>
          <w:iCs/>
          <w:sz w:val="24"/>
        </w:rPr>
        <w:t>Solicitor General</w:t>
      </w:r>
      <w:r w:rsidRPr="00841D89">
        <w:rPr>
          <w:rFonts w:ascii="Arial" w:hAnsi="Arial" w:cs="Arial"/>
          <w:sz w:val="24"/>
        </w:rPr>
        <w:t> ;</w:t>
      </w:r>
    </w:p>
    <w:p w14:paraId="54C64279" w14:textId="651B9B9A" w:rsidR="00564630" w:rsidRPr="00841D89" w:rsidRDefault="00564630" w:rsidP="00D02498">
      <w:pPr>
        <w:rPr>
          <w:rFonts w:ascii="Arial" w:hAnsi="Arial" w:cs="Arial"/>
          <w:sz w:val="24"/>
          <w:szCs w:val="24"/>
        </w:rPr>
      </w:pPr>
      <w:r w:rsidRPr="00841D89">
        <w:rPr>
          <w:rFonts w:ascii="Arial" w:hAnsi="Arial" w:cs="Arial"/>
          <w:sz w:val="24"/>
        </w:rPr>
        <w:t xml:space="preserve">M. Hangi M. Chang’a, Directeur adjoint, Droits de l’homme et Contentieux électoral ; Bureau du </w:t>
      </w:r>
      <w:r w:rsidRPr="00841D89">
        <w:rPr>
          <w:rFonts w:ascii="Arial" w:hAnsi="Arial" w:cs="Arial"/>
          <w:i/>
          <w:iCs/>
          <w:sz w:val="24"/>
        </w:rPr>
        <w:t>Solicitor General ;</w:t>
      </w:r>
    </w:p>
    <w:p w14:paraId="54209917" w14:textId="7A4F7559" w:rsidR="00913FA1" w:rsidRPr="00841D89" w:rsidRDefault="00913FA1" w:rsidP="00D02498">
      <w:pPr>
        <w:rPr>
          <w:rFonts w:ascii="Arial" w:hAnsi="Arial" w:cs="Arial"/>
          <w:sz w:val="24"/>
          <w:szCs w:val="24"/>
          <w:lang w:val="en-US"/>
        </w:rPr>
      </w:pPr>
      <w:r w:rsidRPr="00841D89">
        <w:rPr>
          <w:rFonts w:ascii="Arial" w:hAnsi="Arial" w:cs="Arial"/>
          <w:sz w:val="24"/>
          <w:lang w:val="en-US"/>
        </w:rPr>
        <w:t xml:space="preserve">Mme Vivian Method, </w:t>
      </w:r>
      <w:r w:rsidRPr="00841D89">
        <w:rPr>
          <w:rFonts w:ascii="Arial" w:hAnsi="Arial" w:cs="Arial"/>
          <w:i/>
          <w:iCs/>
          <w:sz w:val="24"/>
          <w:lang w:val="en-US"/>
        </w:rPr>
        <w:t>State Attorney</w:t>
      </w:r>
      <w:r w:rsidRPr="00841D89">
        <w:rPr>
          <w:rFonts w:ascii="Arial" w:hAnsi="Arial" w:cs="Arial"/>
          <w:sz w:val="24"/>
          <w:lang w:val="en-US"/>
        </w:rPr>
        <w:t xml:space="preserve">, Bureau du </w:t>
      </w:r>
      <w:r w:rsidRPr="00841D89">
        <w:rPr>
          <w:rFonts w:ascii="Arial" w:hAnsi="Arial" w:cs="Arial"/>
          <w:i/>
          <w:iCs/>
          <w:sz w:val="24"/>
          <w:lang w:val="en-US"/>
        </w:rPr>
        <w:t>Solicitor General ;</w:t>
      </w:r>
    </w:p>
    <w:p w14:paraId="18904E52" w14:textId="5ECBD8AA" w:rsidR="00913FA1" w:rsidRPr="00841D89" w:rsidRDefault="00913FA1" w:rsidP="00D02498">
      <w:pPr>
        <w:rPr>
          <w:rFonts w:ascii="Arial" w:hAnsi="Arial" w:cs="Arial"/>
          <w:sz w:val="24"/>
          <w:szCs w:val="24"/>
          <w:lang w:val="en-US"/>
        </w:rPr>
      </w:pPr>
      <w:r w:rsidRPr="00841D89">
        <w:rPr>
          <w:rFonts w:ascii="Arial" w:hAnsi="Arial" w:cs="Arial"/>
          <w:sz w:val="24"/>
          <w:lang w:val="en-US"/>
        </w:rPr>
        <w:t xml:space="preserve">M. Stanley Kalokola, </w:t>
      </w:r>
      <w:r w:rsidRPr="00841D89">
        <w:rPr>
          <w:rFonts w:ascii="Arial" w:hAnsi="Arial" w:cs="Arial"/>
          <w:i/>
          <w:iCs/>
          <w:sz w:val="24"/>
          <w:lang w:val="en-US"/>
        </w:rPr>
        <w:t>State Attorney</w:t>
      </w:r>
      <w:r w:rsidRPr="00841D89">
        <w:rPr>
          <w:rFonts w:ascii="Arial" w:hAnsi="Arial" w:cs="Arial"/>
          <w:sz w:val="24"/>
          <w:lang w:val="en-US"/>
        </w:rPr>
        <w:t xml:space="preserve">, Bureau du </w:t>
      </w:r>
      <w:r w:rsidRPr="00841D89">
        <w:rPr>
          <w:rFonts w:ascii="Arial" w:hAnsi="Arial" w:cs="Arial"/>
          <w:i/>
          <w:iCs/>
          <w:sz w:val="24"/>
          <w:lang w:val="en-US"/>
        </w:rPr>
        <w:t>Solicitor General</w:t>
      </w:r>
      <w:r w:rsidRPr="00841D89">
        <w:rPr>
          <w:rFonts w:ascii="Arial" w:hAnsi="Arial" w:cs="Arial"/>
          <w:sz w:val="24"/>
          <w:lang w:val="en-US"/>
        </w:rPr>
        <w:t>.</w:t>
      </w:r>
    </w:p>
    <w:p w14:paraId="54F10142" w14:textId="77777777" w:rsidR="00813A30" w:rsidRPr="00841D89" w:rsidRDefault="00C14669" w:rsidP="00D02498">
      <w:pPr>
        <w:rPr>
          <w:rFonts w:ascii="Arial" w:hAnsi="Arial" w:cs="Arial"/>
          <w:color w:val="FF0000"/>
          <w:sz w:val="24"/>
          <w:szCs w:val="24"/>
          <w:lang w:val="en-US"/>
        </w:rPr>
      </w:pPr>
      <w:r w:rsidRPr="00841D89">
        <w:rPr>
          <w:rFonts w:ascii="Arial" w:hAnsi="Arial" w:cs="Arial"/>
          <w:sz w:val="24"/>
          <w:lang w:val="en-US"/>
        </w:rPr>
        <w:t xml:space="preserve"> </w:t>
      </w:r>
    </w:p>
    <w:p w14:paraId="3CCA30FF" w14:textId="3A2C52D4" w:rsidR="008F7894" w:rsidRPr="00841D89" w:rsidRDefault="00841D89" w:rsidP="00D02498">
      <w:pPr>
        <w:rPr>
          <w:rFonts w:ascii="Arial" w:hAnsi="Arial" w:cs="Arial"/>
          <w:sz w:val="24"/>
          <w:szCs w:val="24"/>
        </w:rPr>
      </w:pPr>
      <w:r>
        <w:rPr>
          <w:rFonts w:ascii="Arial" w:hAnsi="Arial" w:cs="Arial"/>
          <w:sz w:val="24"/>
        </w:rPr>
        <w:t>a</w:t>
      </w:r>
      <w:r w:rsidR="008F7894" w:rsidRPr="00841D89">
        <w:rPr>
          <w:rFonts w:ascii="Arial" w:hAnsi="Arial" w:cs="Arial"/>
          <w:sz w:val="24"/>
        </w:rPr>
        <w:t xml:space="preserve">près en avoir délibéré, </w:t>
      </w:r>
    </w:p>
    <w:p w14:paraId="33C66F51" w14:textId="77777777" w:rsidR="009B626A" w:rsidRPr="00841D89" w:rsidRDefault="009B626A" w:rsidP="00D02498">
      <w:pPr>
        <w:rPr>
          <w:rFonts w:ascii="Arial" w:hAnsi="Arial" w:cs="Arial"/>
          <w:i/>
          <w:sz w:val="24"/>
          <w:szCs w:val="24"/>
        </w:rPr>
      </w:pPr>
    </w:p>
    <w:p w14:paraId="5EA9579B" w14:textId="098CAC27" w:rsidR="008F7894" w:rsidRPr="00841D89" w:rsidRDefault="007C7C26" w:rsidP="00D02498">
      <w:pPr>
        <w:rPr>
          <w:rFonts w:ascii="Arial" w:hAnsi="Arial" w:cs="Arial"/>
          <w:sz w:val="24"/>
          <w:szCs w:val="24"/>
        </w:rPr>
      </w:pPr>
      <w:r w:rsidRPr="00841D89">
        <w:rPr>
          <w:rFonts w:ascii="Arial" w:hAnsi="Arial" w:cs="Arial"/>
          <w:i/>
          <w:sz w:val="24"/>
        </w:rPr>
        <w:t>rend le présent Arrêt</w:t>
      </w:r>
      <w:r w:rsidRPr="00841D89">
        <w:rPr>
          <w:rFonts w:ascii="Arial" w:hAnsi="Arial" w:cs="Arial"/>
          <w:sz w:val="24"/>
        </w:rPr>
        <w:t xml:space="preserve"> : </w:t>
      </w:r>
    </w:p>
    <w:p w14:paraId="2192C5B4" w14:textId="77777777" w:rsidR="00CF53D9" w:rsidRPr="00841D89" w:rsidRDefault="00CF53D9" w:rsidP="00D02498">
      <w:pPr>
        <w:rPr>
          <w:rFonts w:ascii="Arial" w:hAnsi="Arial" w:cs="Arial"/>
          <w:sz w:val="24"/>
          <w:szCs w:val="24"/>
        </w:rPr>
      </w:pPr>
    </w:p>
    <w:p w14:paraId="16B74F8D" w14:textId="77777777" w:rsidR="00601574" w:rsidRPr="00841D89" w:rsidRDefault="00601574" w:rsidP="00D02498">
      <w:pPr>
        <w:rPr>
          <w:rFonts w:ascii="Arial" w:hAnsi="Arial" w:cs="Arial"/>
          <w:sz w:val="24"/>
          <w:szCs w:val="24"/>
        </w:rPr>
      </w:pPr>
    </w:p>
    <w:p w14:paraId="1173A0CD" w14:textId="77777777" w:rsidR="00601574" w:rsidRPr="00841D89" w:rsidRDefault="00601574" w:rsidP="00D02498">
      <w:pPr>
        <w:rPr>
          <w:rFonts w:ascii="Arial" w:hAnsi="Arial" w:cs="Arial"/>
          <w:sz w:val="24"/>
          <w:szCs w:val="24"/>
        </w:rPr>
      </w:pPr>
    </w:p>
    <w:p w14:paraId="1F98F173" w14:textId="77777777" w:rsidR="009B6426" w:rsidRPr="00841D89" w:rsidRDefault="00835C4C" w:rsidP="00D02498">
      <w:pPr>
        <w:rPr>
          <w:rFonts w:cs="Arial"/>
        </w:rPr>
      </w:pPr>
      <w:bookmarkStart w:id="1" w:name="_Toc120945323"/>
      <w:r w:rsidRPr="00841D89">
        <w:rPr>
          <w:rFonts w:cs="Arial"/>
        </w:rPr>
        <w:lastRenderedPageBreak/>
        <w:t>LES PARTIES</w:t>
      </w:r>
      <w:bookmarkEnd w:id="1"/>
      <w:r w:rsidRPr="00841D89">
        <w:rPr>
          <w:rFonts w:cs="Arial"/>
        </w:rPr>
        <w:t xml:space="preserve"> </w:t>
      </w:r>
    </w:p>
    <w:p w14:paraId="49739787" w14:textId="77777777" w:rsidR="00CF53D9" w:rsidRPr="00841D89" w:rsidRDefault="00CF53D9" w:rsidP="00D02498">
      <w:pPr>
        <w:rPr>
          <w:rFonts w:ascii="Arial" w:hAnsi="Arial" w:cs="Arial"/>
          <w:sz w:val="24"/>
          <w:szCs w:val="24"/>
        </w:rPr>
      </w:pPr>
    </w:p>
    <w:p w14:paraId="7288EC35" w14:textId="1EEBD811" w:rsidR="00607BB8" w:rsidRPr="00841D89" w:rsidRDefault="00525560" w:rsidP="00D02498">
      <w:pPr>
        <w:rPr>
          <w:rFonts w:ascii="Arial" w:hAnsi="Arial" w:cs="Arial"/>
          <w:sz w:val="24"/>
          <w:szCs w:val="24"/>
        </w:rPr>
      </w:pPr>
      <w:bookmarkStart w:id="2" w:name="_Hlk115080771"/>
      <w:r w:rsidRPr="00841D89">
        <w:rPr>
          <w:rFonts w:ascii="Arial" w:hAnsi="Arial" w:cs="Arial"/>
          <w:sz w:val="24"/>
        </w:rPr>
        <w:t xml:space="preserve">Le sieur Igola Iguna (ci-après dénommé « le Requérant ») est un ressortissant tanzanien qui, au moment du dépôt de la présente Requête, était incarcéré à la prison d’Uyui dans la région de Tabora après avoir été condamné à mort pour meurtre. Il conteste </w:t>
      </w:r>
      <w:r w:rsidR="00841D89">
        <w:rPr>
          <w:rFonts w:ascii="Arial" w:hAnsi="Arial" w:cs="Arial"/>
          <w:sz w:val="24"/>
        </w:rPr>
        <w:t>la</w:t>
      </w:r>
      <w:r w:rsidRPr="00841D89">
        <w:rPr>
          <w:rFonts w:ascii="Arial" w:hAnsi="Arial" w:cs="Arial"/>
          <w:sz w:val="24"/>
        </w:rPr>
        <w:t xml:space="preserve"> procédure devant les juridictions nationales qui a conduit à la </w:t>
      </w:r>
      <w:r w:rsidR="00841D89">
        <w:rPr>
          <w:rFonts w:ascii="Arial" w:hAnsi="Arial" w:cs="Arial"/>
          <w:sz w:val="24"/>
        </w:rPr>
        <w:t>déclaration de</w:t>
      </w:r>
      <w:r w:rsidRPr="00841D89">
        <w:rPr>
          <w:rFonts w:ascii="Arial" w:hAnsi="Arial" w:cs="Arial"/>
          <w:sz w:val="24"/>
        </w:rPr>
        <w:t xml:space="preserve"> culpabilité et à la peine prononcée</w:t>
      </w:r>
      <w:r w:rsidR="00841D89">
        <w:rPr>
          <w:rFonts w:ascii="Arial" w:hAnsi="Arial" w:cs="Arial"/>
          <w:sz w:val="24"/>
        </w:rPr>
        <w:t>s</w:t>
      </w:r>
      <w:r w:rsidRPr="00841D89">
        <w:rPr>
          <w:rFonts w:ascii="Arial" w:hAnsi="Arial" w:cs="Arial"/>
          <w:sz w:val="24"/>
        </w:rPr>
        <w:t xml:space="preserve"> à son encontre.</w:t>
      </w:r>
    </w:p>
    <w:bookmarkEnd w:id="2"/>
    <w:p w14:paraId="09DAA91D" w14:textId="77777777" w:rsidR="00607BB8" w:rsidRPr="00841D89" w:rsidRDefault="00607BB8" w:rsidP="00D02498">
      <w:pPr>
        <w:rPr>
          <w:rFonts w:ascii="Arial" w:hAnsi="Arial" w:cs="Arial"/>
          <w:sz w:val="24"/>
          <w:szCs w:val="24"/>
        </w:rPr>
      </w:pPr>
    </w:p>
    <w:p w14:paraId="374188E2" w14:textId="30598380" w:rsidR="004C7450" w:rsidRPr="00841D89" w:rsidRDefault="00607BB8" w:rsidP="00D02498">
      <w:pPr>
        <w:rPr>
          <w:rFonts w:ascii="Arial" w:hAnsi="Arial" w:cs="Arial"/>
          <w:bCs/>
          <w:sz w:val="24"/>
          <w:szCs w:val="24"/>
        </w:rPr>
      </w:pPr>
      <w:r w:rsidRPr="00841D89">
        <w:rPr>
          <w:rFonts w:ascii="Arial" w:hAnsi="Arial" w:cs="Arial"/>
          <w:sz w:val="24"/>
        </w:rPr>
        <w:t>La Requête est dirigée contre la République-Unie de Tanzanie (ci-après dénommée « l’État défendeur »), devenue partie à la Charte africaine des droits de l’homme et des peuples (ci-après désignée « la Charte ») le 21 octobre 1986 et au Protocole le 10 février 2006. L’État défendeur a également déposé, le 29 mars 2010, la Déclaration prévue à l’article 34(6) du Protocole (ci-après désignée « la Déclaration »), par laquelle elle accepte la compétence de la Cour pour recevoir des requêtes émanant d’individus et d’organisations non gouvernementales. Le 21 novembre 2019, l’État défendeur a déposé auprès du Président de la Commission de l’Union africaine un instrument de retrait de sa Déclaration. La Cour a décidé que le retrait de la Déclaration n’avait aucun effet, ni sur les affaires pendantes, ni sur de nouvelles affaires introduites devant elle avant sa prise d’effet un an après le dépôt de l’instrument y relatif, à savoir le 22 novembre 2020.</w:t>
      </w:r>
      <w:r w:rsidR="004C7450" w:rsidRPr="00841D89">
        <w:rPr>
          <w:rFonts w:ascii="Arial" w:hAnsi="Arial" w:cs="Arial"/>
          <w:bCs/>
          <w:sz w:val="24"/>
          <w:szCs w:val="24"/>
          <w:vertAlign w:val="superscript"/>
        </w:rPr>
        <w:footnoteReference w:id="1"/>
      </w:r>
    </w:p>
    <w:p w14:paraId="00D43DF1" w14:textId="682D0C88" w:rsidR="000065D8" w:rsidRPr="00841D89" w:rsidRDefault="000065D8" w:rsidP="00D02498">
      <w:pPr>
        <w:rPr>
          <w:rFonts w:ascii="Arial" w:hAnsi="Arial" w:cs="Arial"/>
          <w:sz w:val="24"/>
          <w:szCs w:val="24"/>
        </w:rPr>
      </w:pPr>
    </w:p>
    <w:p w14:paraId="6958F335" w14:textId="77777777" w:rsidR="00227D6D" w:rsidRPr="00841D89" w:rsidRDefault="00227D6D" w:rsidP="00D02498">
      <w:pPr>
        <w:rPr>
          <w:rFonts w:ascii="Arial" w:hAnsi="Arial" w:cs="Arial"/>
          <w:sz w:val="24"/>
          <w:szCs w:val="24"/>
        </w:rPr>
      </w:pPr>
    </w:p>
    <w:p w14:paraId="14771BFD" w14:textId="77777777" w:rsidR="00EB224F" w:rsidRPr="00841D89" w:rsidRDefault="00EB224F" w:rsidP="00D02498">
      <w:pPr>
        <w:rPr>
          <w:rFonts w:cs="Arial"/>
        </w:rPr>
      </w:pPr>
      <w:bookmarkStart w:id="3" w:name="_Toc120945324"/>
      <w:r w:rsidRPr="00841D89">
        <w:rPr>
          <w:rFonts w:cs="Arial"/>
        </w:rPr>
        <w:t>OBJET DE LA REQUÊTE</w:t>
      </w:r>
      <w:bookmarkEnd w:id="3"/>
      <w:r w:rsidRPr="00841D89">
        <w:rPr>
          <w:rFonts w:cs="Arial"/>
        </w:rPr>
        <w:t xml:space="preserve"> </w:t>
      </w:r>
    </w:p>
    <w:p w14:paraId="38796EC9" w14:textId="77777777" w:rsidR="00CF53D9" w:rsidRPr="00841D89" w:rsidRDefault="00CF53D9" w:rsidP="00D02498">
      <w:pPr>
        <w:rPr>
          <w:rFonts w:ascii="Arial" w:hAnsi="Arial" w:cs="Arial"/>
          <w:b/>
          <w:sz w:val="24"/>
          <w:szCs w:val="24"/>
        </w:rPr>
      </w:pPr>
    </w:p>
    <w:p w14:paraId="259BDF80" w14:textId="78C8E555" w:rsidR="00EB224F" w:rsidRPr="00841D89" w:rsidRDefault="00EB224F" w:rsidP="00D02498">
      <w:pPr>
        <w:rPr>
          <w:rFonts w:ascii="Arial" w:hAnsi="Arial" w:cs="Arial"/>
          <w:sz w:val="24"/>
          <w:szCs w:val="24"/>
        </w:rPr>
      </w:pPr>
      <w:bookmarkStart w:id="4" w:name="_Toc120945325"/>
      <w:r w:rsidRPr="00841D89">
        <w:rPr>
          <w:rFonts w:ascii="Arial" w:hAnsi="Arial" w:cs="Arial"/>
          <w:sz w:val="24"/>
        </w:rPr>
        <w:t>Faits de la cause</w:t>
      </w:r>
      <w:bookmarkEnd w:id="4"/>
      <w:r w:rsidRPr="00841D89">
        <w:rPr>
          <w:rFonts w:ascii="Arial" w:hAnsi="Arial" w:cs="Arial"/>
          <w:sz w:val="24"/>
        </w:rPr>
        <w:t xml:space="preserve"> </w:t>
      </w:r>
    </w:p>
    <w:p w14:paraId="4E12DBE0" w14:textId="77777777" w:rsidR="00F8469A" w:rsidRPr="00841D89" w:rsidRDefault="00F8469A" w:rsidP="00D02498">
      <w:pPr>
        <w:rPr>
          <w:rFonts w:ascii="Arial" w:hAnsi="Arial" w:cs="Arial"/>
          <w:sz w:val="24"/>
          <w:szCs w:val="24"/>
        </w:rPr>
      </w:pPr>
    </w:p>
    <w:p w14:paraId="4971C1BA" w14:textId="723D008E" w:rsidR="00F8469A" w:rsidRPr="00841D89" w:rsidRDefault="00D453B7" w:rsidP="00D02498">
      <w:pPr>
        <w:rPr>
          <w:rFonts w:ascii="Arial" w:hAnsi="Arial" w:cs="Arial"/>
          <w:sz w:val="24"/>
          <w:szCs w:val="24"/>
        </w:rPr>
      </w:pPr>
      <w:r w:rsidRPr="00841D89">
        <w:rPr>
          <w:rFonts w:ascii="Arial" w:hAnsi="Arial" w:cs="Arial"/>
          <w:sz w:val="24"/>
        </w:rPr>
        <w:t>Il ressort du dossier que, le 22 avril 1993, le Requérant et une autre personne ne comparaissant pas devant la Cour de céans se sont introduits par effraction au domicile de dame Nkwimba Lumiki</w:t>
      </w:r>
      <w:r w:rsidR="005C425C">
        <w:rPr>
          <w:rFonts w:ascii="Arial" w:hAnsi="Arial" w:cs="Arial"/>
          <w:sz w:val="24"/>
        </w:rPr>
        <w:t xml:space="preserve"> et</w:t>
      </w:r>
      <w:r w:rsidRPr="00841D89">
        <w:rPr>
          <w:rFonts w:ascii="Arial" w:hAnsi="Arial" w:cs="Arial"/>
          <w:sz w:val="24"/>
        </w:rPr>
        <w:t xml:space="preserve"> l’ont agressée en lui infligeant des blessures à l’aide d’une machette.</w:t>
      </w:r>
      <w:r w:rsidRPr="00841D89">
        <w:rPr>
          <w:rFonts w:ascii="Arial" w:hAnsi="Arial" w:cs="Arial"/>
          <w:b/>
          <w:sz w:val="24"/>
        </w:rPr>
        <w:t xml:space="preserve"> </w:t>
      </w:r>
      <w:r w:rsidRPr="00841D89">
        <w:rPr>
          <w:rFonts w:ascii="Arial" w:hAnsi="Arial" w:cs="Arial"/>
          <w:sz w:val="24"/>
        </w:rPr>
        <w:t>Le fils de cette dame, qui a été réveillé par les cris de sa mère, est venu rapidement lui porter secours. Il a également essuyé des blessures au cours de l’agression, après quoi le Requérant a pris la fuite.</w:t>
      </w:r>
      <w:r w:rsidRPr="00841D89">
        <w:rPr>
          <w:rFonts w:ascii="Arial" w:hAnsi="Arial" w:cs="Arial"/>
          <w:b/>
          <w:sz w:val="24"/>
        </w:rPr>
        <w:t xml:space="preserve"> </w:t>
      </w:r>
      <w:r w:rsidRPr="00841D89">
        <w:rPr>
          <w:rFonts w:ascii="Arial" w:hAnsi="Arial" w:cs="Arial"/>
          <w:sz w:val="24"/>
        </w:rPr>
        <w:t>Madame Lumiki a ensuite été évacuée à l’hôpital où elle a succombé à ses blessures.</w:t>
      </w:r>
    </w:p>
    <w:p w14:paraId="2B19CC94" w14:textId="77777777" w:rsidR="00F8469A" w:rsidRPr="00841D89" w:rsidRDefault="00F8469A" w:rsidP="00D02498">
      <w:pPr>
        <w:rPr>
          <w:rFonts w:ascii="Arial" w:hAnsi="Arial" w:cs="Arial"/>
          <w:sz w:val="24"/>
          <w:szCs w:val="24"/>
        </w:rPr>
      </w:pPr>
    </w:p>
    <w:p w14:paraId="2C705DAA" w14:textId="5E5CAE90" w:rsidR="00E13DB5" w:rsidRPr="00841D89" w:rsidRDefault="003818F3" w:rsidP="00D02498">
      <w:pPr>
        <w:rPr>
          <w:rFonts w:ascii="Arial" w:hAnsi="Arial" w:cs="Arial"/>
          <w:sz w:val="24"/>
          <w:szCs w:val="24"/>
        </w:rPr>
      </w:pPr>
      <w:r w:rsidRPr="00841D89">
        <w:rPr>
          <w:rFonts w:ascii="Arial" w:hAnsi="Arial" w:cs="Arial"/>
          <w:sz w:val="24"/>
        </w:rPr>
        <w:t xml:space="preserve">Le Requérant et son complice ont été arrêtés quatre (4) mois après l’agression </w:t>
      </w:r>
      <w:r w:rsidR="005C425C">
        <w:rPr>
          <w:rFonts w:ascii="Arial" w:hAnsi="Arial" w:cs="Arial"/>
          <w:sz w:val="24"/>
        </w:rPr>
        <w:t>de</w:t>
      </w:r>
      <w:r w:rsidRPr="00841D89">
        <w:rPr>
          <w:rFonts w:ascii="Arial" w:hAnsi="Arial" w:cs="Arial"/>
          <w:sz w:val="24"/>
        </w:rPr>
        <w:t xml:space="preserve"> madame Lumiki, puis mis en accusation pour meurtre. Le 27 mars 2001, </w:t>
      </w:r>
      <w:r w:rsidR="005C425C" w:rsidRPr="00841D89">
        <w:rPr>
          <w:rFonts w:ascii="Arial" w:hAnsi="Arial" w:cs="Arial"/>
          <w:sz w:val="24"/>
        </w:rPr>
        <w:t xml:space="preserve">la Haute Cour de Tanzanie siégeant à Tabora </w:t>
      </w:r>
      <w:r w:rsidR="005C425C">
        <w:rPr>
          <w:rFonts w:ascii="Arial" w:hAnsi="Arial" w:cs="Arial"/>
          <w:sz w:val="24"/>
        </w:rPr>
        <w:t>les a</w:t>
      </w:r>
      <w:r w:rsidRPr="00841D89">
        <w:rPr>
          <w:rFonts w:ascii="Arial" w:hAnsi="Arial" w:cs="Arial"/>
          <w:sz w:val="24"/>
        </w:rPr>
        <w:t xml:space="preserve"> reconnus coupables </w:t>
      </w:r>
      <w:r w:rsidR="005C425C">
        <w:rPr>
          <w:rFonts w:ascii="Arial" w:hAnsi="Arial" w:cs="Arial"/>
          <w:sz w:val="24"/>
        </w:rPr>
        <w:t>et</w:t>
      </w:r>
      <w:r w:rsidRPr="00841D89">
        <w:rPr>
          <w:rFonts w:ascii="Arial" w:hAnsi="Arial" w:cs="Arial"/>
          <w:sz w:val="24"/>
        </w:rPr>
        <w:t xml:space="preserve"> condamnés à mort </w:t>
      </w:r>
      <w:r w:rsidRPr="00841D89">
        <w:rPr>
          <w:rFonts w:ascii="Arial" w:hAnsi="Arial" w:cs="Arial"/>
          <w:sz w:val="24"/>
        </w:rPr>
        <w:lastRenderedPageBreak/>
        <w:t>par pendaison. Le Requérant a interjeté appel de la décision de la Haute Cour devant la Cour d’appel qui a rejeté son recours le 28 juin 2003.</w:t>
      </w:r>
    </w:p>
    <w:p w14:paraId="6DC61301" w14:textId="77777777" w:rsidR="006F2313" w:rsidRPr="00841D89" w:rsidRDefault="006F2313" w:rsidP="00D02498">
      <w:pPr>
        <w:rPr>
          <w:rFonts w:ascii="Arial" w:hAnsi="Arial" w:cs="Arial"/>
          <w:sz w:val="24"/>
          <w:szCs w:val="24"/>
        </w:rPr>
      </w:pPr>
    </w:p>
    <w:p w14:paraId="62D3FBCE" w14:textId="77777777" w:rsidR="00FD05F2" w:rsidRPr="00841D89" w:rsidRDefault="00FD05F2" w:rsidP="00D02498">
      <w:pPr>
        <w:rPr>
          <w:rFonts w:ascii="Arial" w:hAnsi="Arial" w:cs="Arial"/>
          <w:sz w:val="24"/>
          <w:szCs w:val="24"/>
        </w:rPr>
      </w:pPr>
      <w:bookmarkStart w:id="5" w:name="_Toc120945326"/>
      <w:r w:rsidRPr="00841D89">
        <w:rPr>
          <w:rFonts w:ascii="Arial" w:hAnsi="Arial" w:cs="Arial"/>
          <w:sz w:val="24"/>
        </w:rPr>
        <w:t>Violations alléguées</w:t>
      </w:r>
      <w:bookmarkEnd w:id="5"/>
      <w:r w:rsidRPr="00841D89">
        <w:rPr>
          <w:rFonts w:ascii="Arial" w:hAnsi="Arial" w:cs="Arial"/>
          <w:sz w:val="24"/>
        </w:rPr>
        <w:t xml:space="preserve"> </w:t>
      </w:r>
    </w:p>
    <w:p w14:paraId="79700425" w14:textId="77777777" w:rsidR="006F2313" w:rsidRPr="00841D89" w:rsidRDefault="006F2313" w:rsidP="00D02498">
      <w:pPr>
        <w:rPr>
          <w:rFonts w:ascii="Arial" w:hAnsi="Arial" w:cs="Arial"/>
          <w:sz w:val="24"/>
          <w:szCs w:val="24"/>
        </w:rPr>
      </w:pPr>
    </w:p>
    <w:p w14:paraId="15166FED" w14:textId="7DB7E1C3" w:rsidR="00D50804" w:rsidRPr="00841D89" w:rsidRDefault="003E1D1D" w:rsidP="00D02498">
      <w:pPr>
        <w:rPr>
          <w:rFonts w:ascii="Arial" w:hAnsi="Arial" w:cs="Arial"/>
          <w:b/>
          <w:bCs/>
          <w:sz w:val="24"/>
          <w:szCs w:val="24"/>
        </w:rPr>
      </w:pPr>
      <w:r w:rsidRPr="00841D89">
        <w:rPr>
          <w:rFonts w:ascii="Arial" w:hAnsi="Arial" w:cs="Arial"/>
          <w:sz w:val="24"/>
        </w:rPr>
        <w:t>Le Requérant allègue la violation de</w:t>
      </w:r>
      <w:r w:rsidR="005C425C">
        <w:rPr>
          <w:rFonts w:ascii="Arial" w:hAnsi="Arial" w:cs="Arial"/>
          <w:sz w:val="24"/>
        </w:rPr>
        <w:t>s</w:t>
      </w:r>
      <w:r w:rsidRPr="00841D89">
        <w:rPr>
          <w:rFonts w:ascii="Arial" w:hAnsi="Arial" w:cs="Arial"/>
          <w:sz w:val="24"/>
        </w:rPr>
        <w:t xml:space="preserve"> droits ci-après :</w:t>
      </w:r>
    </w:p>
    <w:p w14:paraId="0105FE13" w14:textId="77777777" w:rsidR="00FC7D4F" w:rsidRPr="00841D89" w:rsidRDefault="00FC7D4F" w:rsidP="00D02498">
      <w:pPr>
        <w:rPr>
          <w:rFonts w:ascii="Arial" w:hAnsi="Arial" w:cs="Arial"/>
          <w:b/>
          <w:bCs/>
          <w:sz w:val="24"/>
          <w:szCs w:val="24"/>
        </w:rPr>
      </w:pPr>
    </w:p>
    <w:p w14:paraId="02C319CC" w14:textId="617B1349" w:rsidR="00D50804" w:rsidRPr="00841D89" w:rsidRDefault="00D50804" w:rsidP="00D02498">
      <w:pPr>
        <w:rPr>
          <w:rFonts w:ascii="Arial" w:hAnsi="Arial" w:cs="Arial"/>
          <w:sz w:val="24"/>
          <w:szCs w:val="24"/>
        </w:rPr>
      </w:pPr>
      <w:r w:rsidRPr="00841D89">
        <w:rPr>
          <w:rFonts w:ascii="Arial" w:hAnsi="Arial" w:cs="Arial"/>
          <w:sz w:val="24"/>
        </w:rPr>
        <w:t xml:space="preserve">Le droit à la non-discrimination, inscrit à l’article 2 de la Charte, </w:t>
      </w:r>
      <w:r w:rsidR="005C425C">
        <w:rPr>
          <w:rFonts w:ascii="Arial" w:hAnsi="Arial" w:cs="Arial"/>
          <w:sz w:val="24"/>
        </w:rPr>
        <w:t>du fait</w:t>
      </w:r>
      <w:r w:rsidRPr="00841D89">
        <w:rPr>
          <w:rFonts w:ascii="Arial" w:hAnsi="Arial" w:cs="Arial"/>
          <w:sz w:val="24"/>
        </w:rPr>
        <w:t xml:space="preserve"> de la décision la Cour d’appel ; </w:t>
      </w:r>
    </w:p>
    <w:p w14:paraId="173FB6C6" w14:textId="72B44D49" w:rsidR="00EA0B49" w:rsidRPr="00841D89" w:rsidRDefault="00D75764" w:rsidP="00D02498">
      <w:pPr>
        <w:rPr>
          <w:rFonts w:ascii="Arial" w:hAnsi="Arial" w:cs="Arial"/>
          <w:sz w:val="24"/>
          <w:szCs w:val="24"/>
        </w:rPr>
      </w:pPr>
      <w:r w:rsidRPr="00841D89">
        <w:rPr>
          <w:rFonts w:ascii="Arial" w:hAnsi="Arial" w:cs="Arial"/>
          <w:sz w:val="24"/>
        </w:rPr>
        <w:t>Le droit à un procès équitable, inscrit à l’article 7(1) de la Charte, du fait de l’appréciation des éléments de preuve par la Cour d’appel.</w:t>
      </w:r>
    </w:p>
    <w:p w14:paraId="025391F1" w14:textId="77777777" w:rsidR="00813A30" w:rsidRPr="00841D89" w:rsidRDefault="00813A30" w:rsidP="00D02498">
      <w:pPr>
        <w:rPr>
          <w:rFonts w:ascii="Arial" w:hAnsi="Arial" w:cs="Arial"/>
          <w:sz w:val="24"/>
          <w:szCs w:val="24"/>
        </w:rPr>
      </w:pPr>
    </w:p>
    <w:p w14:paraId="5FAE1FC6" w14:textId="77777777" w:rsidR="00EB5604" w:rsidRPr="00841D89" w:rsidRDefault="00EB5604" w:rsidP="00D02498">
      <w:pPr>
        <w:rPr>
          <w:rFonts w:ascii="Arial" w:hAnsi="Arial" w:cs="Arial"/>
          <w:sz w:val="24"/>
          <w:szCs w:val="24"/>
        </w:rPr>
      </w:pPr>
    </w:p>
    <w:p w14:paraId="6CED2192" w14:textId="77777777" w:rsidR="00882FA6" w:rsidRPr="00841D89" w:rsidRDefault="00882FA6" w:rsidP="00D02498">
      <w:pPr>
        <w:rPr>
          <w:rFonts w:cs="Arial"/>
        </w:rPr>
      </w:pPr>
      <w:bookmarkStart w:id="6" w:name="_Toc120945327"/>
      <w:r w:rsidRPr="00841D89">
        <w:rPr>
          <w:rFonts w:cs="Arial"/>
        </w:rPr>
        <w:t>RÉSUMÉ DE LA PROCÉDURE DEVANT LA COUR DE CÉANS</w:t>
      </w:r>
      <w:bookmarkEnd w:id="6"/>
      <w:r w:rsidRPr="00841D89">
        <w:rPr>
          <w:rFonts w:cs="Arial"/>
        </w:rPr>
        <w:t xml:space="preserve"> </w:t>
      </w:r>
    </w:p>
    <w:p w14:paraId="602DDD31" w14:textId="77777777" w:rsidR="000D77F9" w:rsidRPr="00841D89" w:rsidRDefault="000D77F9" w:rsidP="00D02498">
      <w:pPr>
        <w:rPr>
          <w:rFonts w:ascii="Arial" w:hAnsi="Arial" w:cs="Arial"/>
          <w:sz w:val="24"/>
          <w:szCs w:val="24"/>
        </w:rPr>
      </w:pPr>
    </w:p>
    <w:p w14:paraId="358A2FCB" w14:textId="1911159D" w:rsidR="00EB5604" w:rsidRPr="00841D89" w:rsidRDefault="00EB5604" w:rsidP="00D02498">
      <w:pPr>
        <w:rPr>
          <w:rFonts w:ascii="Arial" w:hAnsi="Arial" w:cs="Arial"/>
          <w:sz w:val="24"/>
          <w:szCs w:val="24"/>
        </w:rPr>
      </w:pPr>
      <w:r w:rsidRPr="00841D89">
        <w:rPr>
          <w:rFonts w:ascii="Arial" w:hAnsi="Arial" w:cs="Arial"/>
          <w:sz w:val="24"/>
        </w:rPr>
        <w:t>La Requête a été reçue au Greffe le 13 juin 2017. Le 16 juin 2017, le Greffe a demandé au Requérant de fournir une copie de l’arrêt de la Cour d’appel, lequel a été transmis le 8 mai 2018.</w:t>
      </w:r>
    </w:p>
    <w:p w14:paraId="77723A59" w14:textId="77777777" w:rsidR="00A07FA3" w:rsidRPr="00841D89" w:rsidRDefault="00A07FA3" w:rsidP="00D02498">
      <w:pPr>
        <w:rPr>
          <w:rFonts w:ascii="Arial" w:hAnsi="Arial" w:cs="Arial"/>
          <w:sz w:val="24"/>
          <w:szCs w:val="24"/>
        </w:rPr>
      </w:pPr>
    </w:p>
    <w:p w14:paraId="0FD3FC2A" w14:textId="34A138DC" w:rsidR="00BA33E2" w:rsidRPr="00841D89" w:rsidRDefault="00BA33E2" w:rsidP="00D02498">
      <w:pPr>
        <w:rPr>
          <w:rFonts w:ascii="Arial" w:hAnsi="Arial" w:cs="Arial"/>
          <w:sz w:val="24"/>
          <w:szCs w:val="24"/>
        </w:rPr>
      </w:pPr>
      <w:r w:rsidRPr="00841D89">
        <w:rPr>
          <w:rFonts w:ascii="Arial" w:hAnsi="Arial" w:cs="Arial"/>
          <w:sz w:val="24"/>
        </w:rPr>
        <w:t>La Requête a été notifiée à l’État défendeur le 2 octobre 2018.</w:t>
      </w:r>
    </w:p>
    <w:p w14:paraId="69B364A5" w14:textId="77777777" w:rsidR="00692129" w:rsidRPr="00841D89" w:rsidRDefault="00692129" w:rsidP="00D02498">
      <w:pPr>
        <w:rPr>
          <w:rFonts w:ascii="Arial" w:hAnsi="Arial" w:cs="Arial"/>
          <w:sz w:val="24"/>
          <w:szCs w:val="24"/>
        </w:rPr>
      </w:pPr>
    </w:p>
    <w:p w14:paraId="280F300F" w14:textId="7051BA7F" w:rsidR="00692129" w:rsidRPr="00841D89" w:rsidRDefault="008A4E5C" w:rsidP="00D02498">
      <w:pPr>
        <w:rPr>
          <w:rFonts w:ascii="Arial" w:hAnsi="Arial" w:cs="Arial"/>
          <w:sz w:val="24"/>
          <w:szCs w:val="24"/>
        </w:rPr>
      </w:pPr>
      <w:r w:rsidRPr="00841D89">
        <w:rPr>
          <w:rFonts w:ascii="Arial" w:hAnsi="Arial" w:cs="Arial"/>
          <w:sz w:val="24"/>
        </w:rPr>
        <w:t xml:space="preserve"> L’État défendeur n’a pas soumis de réponse sur le fond bien qu’ayant reçu </w:t>
      </w:r>
      <w:r w:rsidR="00BA3C55" w:rsidRPr="00841D89">
        <w:rPr>
          <w:rFonts w:ascii="Arial" w:hAnsi="Arial" w:cs="Arial"/>
          <w:sz w:val="24"/>
        </w:rPr>
        <w:t>de la Cour</w:t>
      </w:r>
      <w:r w:rsidR="00BA3C55">
        <w:rPr>
          <w:rFonts w:ascii="Arial" w:hAnsi="Arial" w:cs="Arial"/>
          <w:sz w:val="24"/>
        </w:rPr>
        <w:t>,</w:t>
      </w:r>
      <w:r w:rsidR="00BA3C55" w:rsidRPr="00841D89">
        <w:rPr>
          <w:rFonts w:ascii="Arial" w:hAnsi="Arial" w:cs="Arial"/>
          <w:sz w:val="24"/>
        </w:rPr>
        <w:t xml:space="preserve"> </w:t>
      </w:r>
      <w:r w:rsidRPr="00841D89">
        <w:rPr>
          <w:rFonts w:ascii="Arial" w:hAnsi="Arial" w:cs="Arial"/>
          <w:sz w:val="24"/>
        </w:rPr>
        <w:t>plusieurs courriers de rappel à cet égard.</w:t>
      </w:r>
    </w:p>
    <w:p w14:paraId="551C26E3" w14:textId="69B28B95" w:rsidR="00F26704" w:rsidRPr="00841D89" w:rsidRDefault="00954BC5" w:rsidP="00D02498">
      <w:pPr>
        <w:rPr>
          <w:rFonts w:ascii="Arial" w:hAnsi="Arial" w:cs="Arial"/>
          <w:sz w:val="24"/>
          <w:szCs w:val="24"/>
        </w:rPr>
      </w:pPr>
      <w:r w:rsidRPr="00841D89">
        <w:rPr>
          <w:rFonts w:ascii="Arial" w:hAnsi="Arial" w:cs="Arial"/>
          <w:sz w:val="24"/>
        </w:rPr>
        <w:t>Le Requérant a soumis ses observations sur les réparations le 13 mai 2019 et celles-ci ont été notifiées le 14 mai 2019</w:t>
      </w:r>
      <w:r w:rsidR="00BA3C55" w:rsidRPr="00BA3C55">
        <w:rPr>
          <w:rFonts w:ascii="Arial" w:hAnsi="Arial" w:cs="Arial"/>
          <w:sz w:val="24"/>
        </w:rPr>
        <w:t xml:space="preserve"> </w:t>
      </w:r>
      <w:r w:rsidR="00BA3C55" w:rsidRPr="00841D89">
        <w:rPr>
          <w:rFonts w:ascii="Arial" w:hAnsi="Arial" w:cs="Arial"/>
          <w:sz w:val="24"/>
        </w:rPr>
        <w:t>à l’État défendeur</w:t>
      </w:r>
      <w:r w:rsidRPr="00841D89">
        <w:rPr>
          <w:rFonts w:ascii="Arial" w:hAnsi="Arial" w:cs="Arial"/>
          <w:sz w:val="24"/>
        </w:rPr>
        <w:t xml:space="preserve"> qui y a répondu le 18 mars 2021.</w:t>
      </w:r>
    </w:p>
    <w:p w14:paraId="50BF8EF0" w14:textId="77777777" w:rsidR="00F26704" w:rsidRPr="00841D89" w:rsidRDefault="00F26704" w:rsidP="00D02498">
      <w:pPr>
        <w:rPr>
          <w:rFonts w:ascii="Arial" w:hAnsi="Arial" w:cs="Arial"/>
          <w:sz w:val="24"/>
          <w:szCs w:val="24"/>
        </w:rPr>
      </w:pPr>
    </w:p>
    <w:p w14:paraId="483A3EEE" w14:textId="0C1252C8" w:rsidR="0020091C" w:rsidRPr="00841D89" w:rsidRDefault="00701DAC" w:rsidP="00D02498">
      <w:pPr>
        <w:rPr>
          <w:rFonts w:ascii="Arial" w:hAnsi="Arial" w:cs="Arial"/>
          <w:sz w:val="24"/>
          <w:szCs w:val="24"/>
        </w:rPr>
      </w:pPr>
      <w:bookmarkStart w:id="7" w:name="_Hlk115082850"/>
      <w:r w:rsidRPr="00841D89">
        <w:rPr>
          <w:rFonts w:ascii="Arial" w:hAnsi="Arial" w:cs="Arial"/>
          <w:sz w:val="24"/>
        </w:rPr>
        <w:t>Les débats ont été clos le 8 novembre 2022 et les Parties en ont été notifiées.</w:t>
      </w:r>
      <w:bookmarkEnd w:id="7"/>
    </w:p>
    <w:p w14:paraId="28846740" w14:textId="77777777" w:rsidR="00372A05" w:rsidRPr="00841D89" w:rsidRDefault="00372A05" w:rsidP="00D02498">
      <w:pPr>
        <w:rPr>
          <w:rFonts w:ascii="Arial" w:hAnsi="Arial" w:cs="Arial"/>
          <w:sz w:val="24"/>
          <w:szCs w:val="24"/>
        </w:rPr>
      </w:pPr>
    </w:p>
    <w:p w14:paraId="7D8D1A2E" w14:textId="77777777" w:rsidR="003604E0" w:rsidRPr="00841D89" w:rsidRDefault="003604E0" w:rsidP="00D02498">
      <w:pPr>
        <w:rPr>
          <w:rFonts w:ascii="Arial" w:hAnsi="Arial" w:cs="Arial"/>
          <w:sz w:val="24"/>
          <w:szCs w:val="24"/>
        </w:rPr>
      </w:pPr>
    </w:p>
    <w:p w14:paraId="2932623B" w14:textId="77777777" w:rsidR="000F1885" w:rsidRPr="00841D89" w:rsidRDefault="00A07FA3" w:rsidP="00D02498">
      <w:pPr>
        <w:rPr>
          <w:rFonts w:cs="Arial"/>
        </w:rPr>
      </w:pPr>
      <w:bookmarkStart w:id="8" w:name="_Toc120945328"/>
      <w:bookmarkStart w:id="9" w:name="_Hlk115079187"/>
      <w:r w:rsidRPr="00841D89">
        <w:rPr>
          <w:rFonts w:cs="Arial"/>
        </w:rPr>
        <w:t>DEMANDES DES PARTIES</w:t>
      </w:r>
      <w:bookmarkEnd w:id="8"/>
    </w:p>
    <w:bookmarkEnd w:id="9"/>
    <w:p w14:paraId="0CEF2D4E" w14:textId="77777777" w:rsidR="003604E0" w:rsidRPr="00841D89" w:rsidRDefault="003604E0" w:rsidP="00D02498">
      <w:pPr>
        <w:rPr>
          <w:rFonts w:ascii="Arial" w:hAnsi="Arial" w:cs="Arial"/>
          <w:sz w:val="24"/>
          <w:szCs w:val="24"/>
        </w:rPr>
      </w:pPr>
    </w:p>
    <w:p w14:paraId="4EA9C1D5" w14:textId="67BF5E07" w:rsidR="00897FEE" w:rsidRPr="00841D89" w:rsidRDefault="00897FEE" w:rsidP="00D02498">
      <w:pPr>
        <w:rPr>
          <w:rFonts w:ascii="Arial" w:hAnsi="Arial" w:cs="Arial"/>
          <w:sz w:val="24"/>
          <w:szCs w:val="24"/>
        </w:rPr>
      </w:pPr>
      <w:r w:rsidRPr="00841D89">
        <w:rPr>
          <w:rFonts w:ascii="Arial" w:hAnsi="Arial" w:cs="Arial"/>
          <w:sz w:val="24"/>
        </w:rPr>
        <w:t>Le Requérant demande à la Cour de :</w:t>
      </w:r>
    </w:p>
    <w:p w14:paraId="33872064" w14:textId="77777777" w:rsidR="00DD66BF" w:rsidRPr="00841D89" w:rsidRDefault="00DD66BF" w:rsidP="00D02498">
      <w:pPr>
        <w:rPr>
          <w:rFonts w:ascii="Arial" w:hAnsi="Arial" w:cs="Arial"/>
          <w:sz w:val="24"/>
          <w:szCs w:val="24"/>
        </w:rPr>
      </w:pPr>
    </w:p>
    <w:p w14:paraId="2E5263D9" w14:textId="7ACFD137" w:rsidR="006E4B66" w:rsidRPr="00841D89" w:rsidRDefault="006E4B66" w:rsidP="00D02498">
      <w:pPr>
        <w:rPr>
          <w:rFonts w:ascii="Arial" w:hAnsi="Arial" w:cs="Arial"/>
          <w:sz w:val="24"/>
          <w:szCs w:val="24"/>
        </w:rPr>
      </w:pPr>
      <w:r w:rsidRPr="00841D89">
        <w:rPr>
          <w:rFonts w:ascii="Arial" w:hAnsi="Arial" w:cs="Arial"/>
          <w:sz w:val="24"/>
        </w:rPr>
        <w:t xml:space="preserve">annuler la déclaration de culpabilité </w:t>
      </w:r>
      <w:r w:rsidR="006D7F09">
        <w:rPr>
          <w:rFonts w:ascii="Arial" w:hAnsi="Arial" w:cs="Arial"/>
          <w:sz w:val="24"/>
        </w:rPr>
        <w:t>et</w:t>
      </w:r>
      <w:r w:rsidRPr="00841D89">
        <w:rPr>
          <w:rFonts w:ascii="Arial" w:hAnsi="Arial" w:cs="Arial"/>
          <w:sz w:val="24"/>
        </w:rPr>
        <w:t xml:space="preserve"> la peine prononcée</w:t>
      </w:r>
      <w:r w:rsidR="006D7F09">
        <w:rPr>
          <w:rFonts w:ascii="Arial" w:hAnsi="Arial" w:cs="Arial"/>
          <w:sz w:val="24"/>
        </w:rPr>
        <w:t>s</w:t>
      </w:r>
      <w:r w:rsidRPr="00841D89">
        <w:rPr>
          <w:rFonts w:ascii="Arial" w:hAnsi="Arial" w:cs="Arial"/>
          <w:sz w:val="24"/>
        </w:rPr>
        <w:t xml:space="preserve"> à son encontre ;</w:t>
      </w:r>
    </w:p>
    <w:p w14:paraId="29CD408B" w14:textId="77777777" w:rsidR="006E4B66" w:rsidRPr="00841D89" w:rsidRDefault="006E4B66" w:rsidP="00D02498">
      <w:pPr>
        <w:rPr>
          <w:rFonts w:ascii="Arial" w:hAnsi="Arial" w:cs="Arial"/>
          <w:sz w:val="24"/>
          <w:szCs w:val="24"/>
        </w:rPr>
      </w:pPr>
      <w:r w:rsidRPr="00841D89">
        <w:rPr>
          <w:rFonts w:ascii="Arial" w:hAnsi="Arial" w:cs="Arial"/>
          <w:sz w:val="24"/>
        </w:rPr>
        <w:t>ordonner à l’État défendeur de le remettre en liberté ;</w:t>
      </w:r>
    </w:p>
    <w:p w14:paraId="4231DDA0" w14:textId="180F015E" w:rsidR="006E4B66" w:rsidRPr="00841D89" w:rsidRDefault="006E4B66" w:rsidP="00D02498">
      <w:pPr>
        <w:rPr>
          <w:rFonts w:ascii="Arial" w:hAnsi="Arial" w:cs="Arial"/>
          <w:sz w:val="24"/>
          <w:szCs w:val="24"/>
        </w:rPr>
      </w:pPr>
      <w:r w:rsidRPr="00841D89">
        <w:rPr>
          <w:rFonts w:ascii="Arial" w:hAnsi="Arial" w:cs="Arial"/>
          <w:sz w:val="24"/>
        </w:rPr>
        <w:t>lui accorder des réparations à hauteur de cinquante-neuf millions cent-trente-six mille (59 136 000) shillings tanzaniens, en application des dispositions de l’article 27(1) du Protocole ;</w:t>
      </w:r>
    </w:p>
    <w:p w14:paraId="47D5905A" w14:textId="1891854E" w:rsidR="006E4B66" w:rsidRPr="00841D89" w:rsidRDefault="006E4B66" w:rsidP="00D02498">
      <w:pPr>
        <w:rPr>
          <w:rFonts w:ascii="Arial" w:hAnsi="Arial" w:cs="Arial"/>
          <w:sz w:val="24"/>
          <w:szCs w:val="24"/>
        </w:rPr>
      </w:pPr>
      <w:r w:rsidRPr="00841D89">
        <w:rPr>
          <w:rFonts w:ascii="Arial" w:hAnsi="Arial" w:cs="Arial"/>
          <w:sz w:val="24"/>
        </w:rPr>
        <w:t>lui accorder toute autre réparation que la Cour jugera nécessaire au regard des circonstances de l’espèce.</w:t>
      </w:r>
    </w:p>
    <w:p w14:paraId="5784D921" w14:textId="77777777" w:rsidR="006E4B66" w:rsidRPr="00841D89" w:rsidRDefault="006E4B66" w:rsidP="00D02498">
      <w:pPr>
        <w:rPr>
          <w:rFonts w:ascii="Arial" w:hAnsi="Arial" w:cs="Arial"/>
          <w:sz w:val="24"/>
          <w:szCs w:val="24"/>
        </w:rPr>
      </w:pPr>
    </w:p>
    <w:p w14:paraId="5C35BA5C" w14:textId="58394A26" w:rsidR="006E4B66" w:rsidRPr="00841D89" w:rsidRDefault="00913FA1" w:rsidP="00D02498">
      <w:pPr>
        <w:rPr>
          <w:rFonts w:ascii="Arial" w:hAnsi="Arial" w:cs="Arial"/>
          <w:sz w:val="24"/>
          <w:szCs w:val="24"/>
        </w:rPr>
      </w:pPr>
      <w:r w:rsidRPr="00841D89">
        <w:rPr>
          <w:rFonts w:ascii="Arial" w:hAnsi="Arial" w:cs="Arial"/>
          <w:sz w:val="24"/>
        </w:rPr>
        <w:t>L’État défendeur demande quant à lui à la Cour de :</w:t>
      </w:r>
    </w:p>
    <w:p w14:paraId="28DE86AC" w14:textId="77777777" w:rsidR="005E147E" w:rsidRPr="00841D89" w:rsidRDefault="005E147E" w:rsidP="00D02498">
      <w:pPr>
        <w:rPr>
          <w:rFonts w:ascii="Arial" w:hAnsi="Arial" w:cs="Arial"/>
          <w:sz w:val="24"/>
          <w:szCs w:val="24"/>
        </w:rPr>
      </w:pPr>
    </w:p>
    <w:p w14:paraId="7C9DEB62" w14:textId="49AA786D" w:rsidR="00692129" w:rsidRPr="00841D89" w:rsidRDefault="00913FA1" w:rsidP="00D02498">
      <w:pPr>
        <w:rPr>
          <w:rFonts w:ascii="Arial" w:hAnsi="Arial" w:cs="Arial"/>
        </w:rPr>
      </w:pPr>
      <w:bookmarkStart w:id="10" w:name="_Hlk115082914"/>
      <w:r w:rsidRPr="00841D89">
        <w:rPr>
          <w:rFonts w:ascii="Arial" w:hAnsi="Arial" w:cs="Arial"/>
        </w:rPr>
        <w:t>rejeter les demandes de réparations formulées par le Requérant dans leur intégralité ;</w:t>
      </w:r>
    </w:p>
    <w:p w14:paraId="3F006863" w14:textId="71A8526E" w:rsidR="00913FA1" w:rsidRPr="00841D89" w:rsidRDefault="00913FA1" w:rsidP="00D02498">
      <w:pPr>
        <w:rPr>
          <w:rFonts w:ascii="Arial" w:hAnsi="Arial" w:cs="Arial"/>
        </w:rPr>
      </w:pPr>
      <w:r w:rsidRPr="00841D89">
        <w:rPr>
          <w:rFonts w:ascii="Arial" w:hAnsi="Arial" w:cs="Arial"/>
        </w:rPr>
        <w:t>dire que l’État défendeur n’a pas violé les dispositions de la Charte et que le Requérant a été traité en toute équité par l’État défendeur.</w:t>
      </w:r>
    </w:p>
    <w:p w14:paraId="1C25CFF9" w14:textId="6A54757C" w:rsidR="00913FA1" w:rsidRPr="00841D89" w:rsidRDefault="00913FA1" w:rsidP="00D02498">
      <w:pPr>
        <w:rPr>
          <w:rFonts w:ascii="Arial" w:hAnsi="Arial" w:cs="Arial"/>
        </w:rPr>
      </w:pPr>
      <w:r w:rsidRPr="00841D89">
        <w:rPr>
          <w:rFonts w:ascii="Arial" w:hAnsi="Arial" w:cs="Arial"/>
        </w:rPr>
        <w:t>ordonner toute autre mesure qu’elle estime juste et équitable dans les circonstances de l’espèce.</w:t>
      </w:r>
    </w:p>
    <w:bookmarkEnd w:id="10"/>
    <w:p w14:paraId="716F166F" w14:textId="7DA034A6" w:rsidR="0020206E" w:rsidRPr="00841D89" w:rsidRDefault="0020206E" w:rsidP="00D02498">
      <w:pPr>
        <w:rPr>
          <w:rFonts w:ascii="Arial" w:hAnsi="Arial" w:cs="Arial"/>
          <w:sz w:val="24"/>
          <w:szCs w:val="24"/>
        </w:rPr>
      </w:pPr>
    </w:p>
    <w:p w14:paraId="0610C124" w14:textId="77777777" w:rsidR="005E147E" w:rsidRPr="00841D89" w:rsidRDefault="005E147E" w:rsidP="00D02498">
      <w:pPr>
        <w:rPr>
          <w:rFonts w:ascii="Arial" w:hAnsi="Arial" w:cs="Arial"/>
          <w:sz w:val="24"/>
          <w:szCs w:val="24"/>
        </w:rPr>
      </w:pPr>
    </w:p>
    <w:p w14:paraId="02F4C5E5" w14:textId="7007B463" w:rsidR="00894AC1" w:rsidRPr="00841D89" w:rsidRDefault="00894AC1" w:rsidP="00D02498">
      <w:pPr>
        <w:rPr>
          <w:rFonts w:cs="Arial"/>
        </w:rPr>
      </w:pPr>
      <w:bookmarkStart w:id="11" w:name="_Toc120945329"/>
      <w:r w:rsidRPr="00841D89">
        <w:rPr>
          <w:rFonts w:cs="Arial"/>
        </w:rPr>
        <w:t>SUR LA COMPÉTENCE</w:t>
      </w:r>
      <w:bookmarkEnd w:id="11"/>
      <w:r w:rsidRPr="00841D89">
        <w:rPr>
          <w:rFonts w:cs="Arial"/>
        </w:rPr>
        <w:t xml:space="preserve"> </w:t>
      </w:r>
    </w:p>
    <w:p w14:paraId="03589AFE" w14:textId="77777777" w:rsidR="002E5185" w:rsidRPr="00841D89" w:rsidRDefault="002E5185" w:rsidP="00D02498">
      <w:pPr>
        <w:rPr>
          <w:rFonts w:ascii="Arial" w:hAnsi="Arial" w:cs="Arial"/>
          <w:sz w:val="24"/>
          <w:szCs w:val="24"/>
        </w:rPr>
      </w:pPr>
    </w:p>
    <w:p w14:paraId="793EA99C" w14:textId="68C335BC" w:rsidR="008A35C3" w:rsidRPr="00841D89" w:rsidRDefault="00E265FB" w:rsidP="00D02498">
      <w:pPr>
        <w:rPr>
          <w:rFonts w:ascii="Arial" w:hAnsi="Arial" w:cs="Arial"/>
          <w:bCs/>
          <w:sz w:val="24"/>
          <w:szCs w:val="24"/>
        </w:rPr>
      </w:pPr>
      <w:r w:rsidRPr="00841D89">
        <w:rPr>
          <w:rFonts w:ascii="Arial" w:hAnsi="Arial" w:cs="Arial"/>
          <w:sz w:val="24"/>
        </w:rPr>
        <w:t>La Cour relève que l’article 3 du Protocole est libellé comme suit :</w:t>
      </w:r>
    </w:p>
    <w:p w14:paraId="61667B6A" w14:textId="74363EEA" w:rsidR="00197BC8" w:rsidRPr="00841D89" w:rsidRDefault="00197BC8" w:rsidP="00D02498">
      <w:pPr>
        <w:rPr>
          <w:rFonts w:ascii="Arial" w:hAnsi="Arial" w:cs="Arial"/>
          <w:bCs/>
        </w:rPr>
      </w:pPr>
      <w:r w:rsidRPr="00841D89">
        <w:rPr>
          <w:rFonts w:ascii="Arial" w:hAnsi="Arial" w:cs="Arial"/>
        </w:rPr>
        <w:t>La Cour a compétence pour connaître de toutes les affaires et de tous les différends dont elle est saisie concernant l’interprétation et l’application de la Charte, du présent Protocole, et de tout autre instrument pertinent relatif aux droits de l’homme et ratifié par les États concernés.</w:t>
      </w:r>
    </w:p>
    <w:p w14:paraId="3399819A" w14:textId="77777777" w:rsidR="00197BC8" w:rsidRPr="00841D89" w:rsidRDefault="00197BC8" w:rsidP="00D02498">
      <w:pPr>
        <w:rPr>
          <w:rFonts w:ascii="Arial" w:hAnsi="Arial" w:cs="Arial"/>
          <w:bCs/>
        </w:rPr>
      </w:pPr>
    </w:p>
    <w:p w14:paraId="230DC099" w14:textId="36C65A89" w:rsidR="00197BC8" w:rsidRPr="00841D89" w:rsidRDefault="00197BC8" w:rsidP="00D02498">
      <w:pPr>
        <w:rPr>
          <w:rFonts w:ascii="Arial" w:hAnsi="Arial" w:cs="Arial"/>
          <w:bCs/>
        </w:rPr>
      </w:pPr>
      <w:r w:rsidRPr="00841D89">
        <w:rPr>
          <w:rFonts w:ascii="Arial" w:hAnsi="Arial" w:cs="Arial"/>
        </w:rPr>
        <w:t>En cas de contestation sur le point de savoir si la Cour est compétente, la Cour décide.</w:t>
      </w:r>
    </w:p>
    <w:p w14:paraId="1A0402B2" w14:textId="77777777" w:rsidR="008A35C3" w:rsidRPr="00841D89" w:rsidRDefault="008A35C3" w:rsidP="00D02498">
      <w:pPr>
        <w:rPr>
          <w:rFonts w:ascii="Arial" w:hAnsi="Arial" w:cs="Arial"/>
          <w:sz w:val="24"/>
          <w:szCs w:val="24"/>
        </w:rPr>
      </w:pPr>
    </w:p>
    <w:p w14:paraId="26E82CF3" w14:textId="288803BC" w:rsidR="002A1F29" w:rsidRPr="00841D89" w:rsidRDefault="008A35C3" w:rsidP="00D02498">
      <w:pPr>
        <w:rPr>
          <w:rFonts w:ascii="Arial" w:hAnsi="Arial" w:cs="Arial"/>
          <w:sz w:val="24"/>
          <w:szCs w:val="24"/>
        </w:rPr>
      </w:pPr>
      <w:r w:rsidRPr="00841D89">
        <w:rPr>
          <w:rFonts w:ascii="Arial" w:hAnsi="Arial" w:cs="Arial"/>
          <w:sz w:val="24"/>
        </w:rPr>
        <w:t>Aux termes de La Cour de la règle 49(1) du Règlement, « [l]a Cour procède à un examen préliminaire de sa compétence […] conformément à la Charte, au Protocole et au […] Règlement ».</w:t>
      </w:r>
    </w:p>
    <w:p w14:paraId="3411284A" w14:textId="77777777" w:rsidR="000867BC" w:rsidRPr="00841D89" w:rsidRDefault="000867BC" w:rsidP="00D02498">
      <w:pPr>
        <w:rPr>
          <w:rFonts w:ascii="Arial" w:hAnsi="Arial" w:cs="Arial"/>
          <w:bCs/>
          <w:sz w:val="24"/>
          <w:szCs w:val="24"/>
        </w:rPr>
      </w:pPr>
    </w:p>
    <w:p w14:paraId="114379B3" w14:textId="1278E73C" w:rsidR="005B36EA" w:rsidRPr="00841D89" w:rsidRDefault="005B36EA" w:rsidP="00D02498">
      <w:pPr>
        <w:rPr>
          <w:rFonts w:ascii="Arial" w:hAnsi="Arial" w:cs="Arial"/>
          <w:bCs/>
          <w:sz w:val="24"/>
          <w:szCs w:val="24"/>
        </w:rPr>
      </w:pPr>
      <w:r w:rsidRPr="00841D89">
        <w:rPr>
          <w:rFonts w:ascii="Arial" w:hAnsi="Arial" w:cs="Arial"/>
          <w:sz w:val="24"/>
        </w:rPr>
        <w:t>La Cour précise que même si aucun élément du dossier n’indique qu’elle n’est pas compétente, elle est tenue de s’assurer que tous les aspects de sa compétence sont remplis.</w:t>
      </w:r>
      <w:r w:rsidRPr="00841D89">
        <w:rPr>
          <w:rFonts w:ascii="Arial" w:hAnsi="Arial" w:cs="Arial"/>
          <w:b/>
          <w:sz w:val="24"/>
        </w:rPr>
        <w:t xml:space="preserve"> </w:t>
      </w:r>
      <w:r w:rsidRPr="00841D89">
        <w:rPr>
          <w:rFonts w:ascii="Arial" w:hAnsi="Arial" w:cs="Arial"/>
          <w:sz w:val="24"/>
        </w:rPr>
        <w:t xml:space="preserve">S’agissant de sa compétence personnelle, la Cour relève que, comme indiqué précédemment dans le présent Arrêt, l’État défendeur est partie au Protocole </w:t>
      </w:r>
      <w:r w:rsidRPr="00841D89">
        <w:rPr>
          <w:rFonts w:ascii="Arial" w:hAnsi="Arial" w:cs="Arial"/>
          <w:sz w:val="24"/>
        </w:rPr>
        <w:lastRenderedPageBreak/>
        <w:t>et que, le 29 mars 2010, il a déposé la Déclaration auprès de la Commission de l’Union africaine. Il a par la suite déposé, le 21 novembre 2019, un instrument de retrait de sa Déclaration.</w:t>
      </w:r>
    </w:p>
    <w:p w14:paraId="64A08132" w14:textId="77777777" w:rsidR="007A6ABC" w:rsidRPr="00841D89" w:rsidRDefault="007A6ABC" w:rsidP="00D02498">
      <w:pPr>
        <w:rPr>
          <w:rFonts w:ascii="Arial" w:hAnsi="Arial" w:cs="Arial"/>
          <w:bCs/>
          <w:sz w:val="24"/>
          <w:szCs w:val="24"/>
        </w:rPr>
      </w:pPr>
    </w:p>
    <w:p w14:paraId="7FE4F8B3" w14:textId="7151D931" w:rsidR="00425C27" w:rsidRPr="00841D89" w:rsidRDefault="005B36EA" w:rsidP="00D02498">
      <w:pPr>
        <w:rPr>
          <w:rFonts w:ascii="Arial" w:hAnsi="Arial" w:cs="Arial"/>
          <w:bCs/>
          <w:sz w:val="24"/>
          <w:szCs w:val="24"/>
        </w:rPr>
      </w:pPr>
      <w:r w:rsidRPr="00841D89">
        <w:rPr>
          <w:rFonts w:ascii="Arial" w:hAnsi="Arial" w:cs="Arial"/>
          <w:sz w:val="24"/>
        </w:rPr>
        <w:t>La Cour rappelle sa jurisprudence selon laquelle le retrait de la Déclaration n’a point d’effet rétroactif et ne prend effet qu’un (1) an après le dépôt de l’avis dudit retrait, en l’occurrence le 22 novembre 2020.</w:t>
      </w:r>
      <w:r w:rsidR="00F76118" w:rsidRPr="00841D89">
        <w:rPr>
          <w:rStyle w:val="FootnoteReference"/>
          <w:rFonts w:ascii="Arial" w:hAnsi="Arial" w:cs="Arial"/>
          <w:bCs/>
          <w:sz w:val="24"/>
          <w:szCs w:val="24"/>
        </w:rPr>
        <w:footnoteReference w:id="2"/>
      </w:r>
      <w:r w:rsidRPr="00841D89">
        <w:rPr>
          <w:rFonts w:ascii="Arial" w:hAnsi="Arial" w:cs="Arial"/>
          <w:sz w:val="24"/>
        </w:rPr>
        <w:t xml:space="preserve"> Au regard de ce qui précède, la Cour conclut qu’elle a la compétence personnelle.</w:t>
      </w:r>
    </w:p>
    <w:p w14:paraId="573B7866" w14:textId="77777777" w:rsidR="00425C27" w:rsidRPr="00841D89" w:rsidRDefault="00425C27" w:rsidP="00D02498">
      <w:pPr>
        <w:rPr>
          <w:rFonts w:ascii="Arial" w:hAnsi="Arial" w:cs="Arial"/>
          <w:bCs/>
          <w:sz w:val="24"/>
          <w:szCs w:val="24"/>
        </w:rPr>
      </w:pPr>
    </w:p>
    <w:p w14:paraId="7C1BF2B8" w14:textId="3CD67EFF" w:rsidR="00425C27" w:rsidRPr="00841D89" w:rsidRDefault="00425C27" w:rsidP="00D02498">
      <w:pPr>
        <w:rPr>
          <w:rFonts w:ascii="Arial" w:hAnsi="Arial" w:cs="Arial"/>
          <w:bCs/>
          <w:sz w:val="24"/>
          <w:szCs w:val="24"/>
        </w:rPr>
      </w:pPr>
      <w:r w:rsidRPr="00841D89">
        <w:rPr>
          <w:rFonts w:ascii="Arial" w:hAnsi="Arial" w:cs="Arial"/>
          <w:sz w:val="24"/>
        </w:rPr>
        <w:t>S’agissant de sa compétence matérielle, la Cour note que le Requérant allègue la violation des articles 2 et 7(1) de la Charte à laquelle l’État défendeur est partie et qu’en conséquence, sa compétence matérielle est établie.</w:t>
      </w:r>
    </w:p>
    <w:p w14:paraId="00C28387" w14:textId="77777777" w:rsidR="008A1D00" w:rsidRPr="00841D89" w:rsidRDefault="008A1D00" w:rsidP="00D02498">
      <w:pPr>
        <w:rPr>
          <w:rFonts w:ascii="Arial" w:hAnsi="Arial" w:cs="Arial"/>
          <w:bCs/>
          <w:sz w:val="24"/>
          <w:szCs w:val="24"/>
        </w:rPr>
      </w:pPr>
    </w:p>
    <w:p w14:paraId="0BD2C971" w14:textId="144AE15D" w:rsidR="008A1D00" w:rsidRPr="00841D89" w:rsidRDefault="008A1D00" w:rsidP="00D02498">
      <w:pPr>
        <w:rPr>
          <w:rFonts w:ascii="Arial" w:hAnsi="Arial" w:cs="Arial"/>
          <w:bCs/>
          <w:sz w:val="24"/>
          <w:szCs w:val="24"/>
        </w:rPr>
      </w:pPr>
      <w:r w:rsidRPr="00841D89">
        <w:rPr>
          <w:rFonts w:ascii="Arial" w:hAnsi="Arial" w:cs="Arial"/>
          <w:sz w:val="24"/>
        </w:rPr>
        <w:t xml:space="preserve">En ce qui concerne sa compétence temporelle, la Cour tient à souligner, conformément au principe de non-rétroactivité, qu’elle ne peut examiner des allégations de violations des droits de l’homme survenues avant l’entrée en vigueur à l’égard de l’État défendeur de ses obligations </w:t>
      </w:r>
      <w:r w:rsidR="006D7F09">
        <w:rPr>
          <w:rFonts w:ascii="Arial" w:hAnsi="Arial" w:cs="Arial"/>
          <w:sz w:val="24"/>
        </w:rPr>
        <w:t>découlant</w:t>
      </w:r>
      <w:r w:rsidRPr="00841D89">
        <w:rPr>
          <w:rFonts w:ascii="Arial" w:hAnsi="Arial" w:cs="Arial"/>
          <w:sz w:val="24"/>
        </w:rPr>
        <w:t xml:space="preserve"> des instruments qu’il a ratifiés, à moins que lesdites violations ne revêtent un caractère continu.</w:t>
      </w:r>
    </w:p>
    <w:p w14:paraId="72BE4FB8" w14:textId="77777777" w:rsidR="00510409" w:rsidRPr="00841D89" w:rsidRDefault="00510409" w:rsidP="00D02498">
      <w:pPr>
        <w:rPr>
          <w:rFonts w:ascii="Arial" w:hAnsi="Arial" w:cs="Arial"/>
          <w:bCs/>
          <w:sz w:val="24"/>
          <w:szCs w:val="24"/>
        </w:rPr>
      </w:pPr>
    </w:p>
    <w:p w14:paraId="7E8726A4" w14:textId="0A42C81E" w:rsidR="00A94BF8" w:rsidRPr="00841D89" w:rsidRDefault="008A1D00" w:rsidP="00D02498">
      <w:pPr>
        <w:rPr>
          <w:rFonts w:ascii="Arial" w:hAnsi="Arial" w:cs="Arial"/>
          <w:sz w:val="24"/>
          <w:szCs w:val="24"/>
        </w:rPr>
      </w:pPr>
      <w:r w:rsidRPr="00841D89">
        <w:rPr>
          <w:rFonts w:ascii="Arial" w:hAnsi="Arial" w:cs="Arial"/>
          <w:sz w:val="24"/>
        </w:rPr>
        <w:t xml:space="preserve">La Cour note que les violations alléguées en l’espèce se fondent sur le déni allégué du droit à un procès équitable devant les juridictions nationales, lequel se serait produit entre 1993 et 2003. Les violations alléguées se seraient donc produites après la ratification de la Charte par l’État défendeur, mais avant la ratification du Protocole et le dépôt de la Déclaration le 29 mars 2010. Toutefois, les violations alléguées se sont poursuivies au-delà de cette date dans la mesure où le Requérant est dans le couloir de la mort en raison de la </w:t>
      </w:r>
      <w:r w:rsidR="009B0ACD">
        <w:rPr>
          <w:rFonts w:ascii="Arial" w:hAnsi="Arial" w:cs="Arial"/>
          <w:sz w:val="24"/>
        </w:rPr>
        <w:t>peine</w:t>
      </w:r>
      <w:r w:rsidRPr="00841D89">
        <w:rPr>
          <w:rFonts w:ascii="Arial" w:hAnsi="Arial" w:cs="Arial"/>
          <w:sz w:val="24"/>
        </w:rPr>
        <w:t xml:space="preserve"> prononcée par les juridictions internes à l’issue des procédures qu’il considère comme étant inéquitables.</w:t>
      </w:r>
      <w:r w:rsidR="0027548C" w:rsidRPr="00841D89">
        <w:rPr>
          <w:rFonts w:ascii="Arial" w:hAnsi="Arial" w:cs="Arial"/>
          <w:bCs/>
          <w:sz w:val="24"/>
          <w:szCs w:val="24"/>
          <w:vertAlign w:val="superscript"/>
        </w:rPr>
        <w:footnoteReference w:id="3"/>
      </w:r>
      <w:r w:rsidRPr="00841D89">
        <w:rPr>
          <w:rFonts w:ascii="Arial" w:hAnsi="Arial" w:cs="Arial"/>
          <w:sz w:val="24"/>
        </w:rPr>
        <w:t xml:space="preserve"> La Cour en conclut qu’elle a la compétence temporelle en l’espèce.</w:t>
      </w:r>
    </w:p>
    <w:p w14:paraId="3EFC82BB" w14:textId="77777777" w:rsidR="00007FA2" w:rsidRPr="00841D89" w:rsidRDefault="00007FA2" w:rsidP="00D02498">
      <w:pPr>
        <w:rPr>
          <w:rFonts w:ascii="Arial" w:hAnsi="Arial" w:cs="Arial"/>
          <w:bCs/>
          <w:sz w:val="24"/>
          <w:szCs w:val="24"/>
        </w:rPr>
      </w:pPr>
    </w:p>
    <w:p w14:paraId="78301F8A" w14:textId="0E7E34B2" w:rsidR="005B36EA" w:rsidRPr="00841D89" w:rsidRDefault="005B36EA" w:rsidP="00D02498">
      <w:pPr>
        <w:rPr>
          <w:rFonts w:ascii="Arial" w:hAnsi="Arial" w:cs="Arial"/>
          <w:bCs/>
          <w:sz w:val="24"/>
          <w:szCs w:val="24"/>
        </w:rPr>
      </w:pPr>
      <w:r w:rsidRPr="00841D89">
        <w:rPr>
          <w:rFonts w:ascii="Arial" w:hAnsi="Arial" w:cs="Arial"/>
          <w:sz w:val="24"/>
        </w:rPr>
        <w:t>La Cour note également qu’elle a la compétence territoriale dans la mesure où les faits de la cause se sont produits sur le territoire de l’État défendeur.</w:t>
      </w:r>
    </w:p>
    <w:p w14:paraId="595B340F" w14:textId="77777777" w:rsidR="00425C27" w:rsidRPr="00841D89" w:rsidRDefault="00425C27" w:rsidP="00D02498">
      <w:pPr>
        <w:rPr>
          <w:rFonts w:ascii="Arial" w:hAnsi="Arial" w:cs="Arial"/>
          <w:bCs/>
          <w:sz w:val="24"/>
          <w:szCs w:val="24"/>
        </w:rPr>
      </w:pPr>
    </w:p>
    <w:p w14:paraId="28FDD3B6" w14:textId="23C0788B" w:rsidR="00275564" w:rsidRPr="00841D89" w:rsidRDefault="00425C27" w:rsidP="00D02498">
      <w:pPr>
        <w:rPr>
          <w:rFonts w:ascii="Arial" w:hAnsi="Arial" w:cs="Arial"/>
          <w:bCs/>
          <w:sz w:val="24"/>
          <w:szCs w:val="24"/>
        </w:rPr>
      </w:pPr>
      <w:r w:rsidRPr="00841D89">
        <w:rPr>
          <w:rFonts w:ascii="Arial" w:hAnsi="Arial" w:cs="Arial"/>
          <w:sz w:val="24"/>
        </w:rPr>
        <w:t xml:space="preserve">Compte tenu de ce qui précède, la Cour conclut qu’elle est compétente </w:t>
      </w:r>
      <w:r w:rsidR="009B0ACD">
        <w:rPr>
          <w:rFonts w:ascii="Arial" w:hAnsi="Arial" w:cs="Arial"/>
          <w:sz w:val="24"/>
        </w:rPr>
        <w:t>en l’espèce</w:t>
      </w:r>
      <w:r w:rsidRPr="00841D89">
        <w:rPr>
          <w:rFonts w:ascii="Arial" w:hAnsi="Arial" w:cs="Arial"/>
          <w:sz w:val="24"/>
        </w:rPr>
        <w:t>.</w:t>
      </w:r>
    </w:p>
    <w:p w14:paraId="5D54D2CB" w14:textId="77777777" w:rsidR="00BC4C31" w:rsidRPr="00841D89" w:rsidRDefault="00BC4C31" w:rsidP="00D02498">
      <w:pPr>
        <w:rPr>
          <w:rFonts w:ascii="Arial" w:hAnsi="Arial" w:cs="Arial"/>
          <w:sz w:val="24"/>
          <w:szCs w:val="32"/>
        </w:rPr>
      </w:pPr>
    </w:p>
    <w:p w14:paraId="1A335BF4" w14:textId="77777777" w:rsidR="00BC4C31" w:rsidRPr="00841D89" w:rsidRDefault="00BC4C31" w:rsidP="00D02498">
      <w:pPr>
        <w:rPr>
          <w:rFonts w:ascii="Arial" w:hAnsi="Arial" w:cs="Arial"/>
          <w:sz w:val="24"/>
          <w:szCs w:val="32"/>
        </w:rPr>
      </w:pPr>
    </w:p>
    <w:p w14:paraId="17E32DB3" w14:textId="77777777" w:rsidR="00D36AD2" w:rsidRPr="00841D89" w:rsidRDefault="00D36AD2" w:rsidP="00D02498">
      <w:pPr>
        <w:rPr>
          <w:rFonts w:cs="Arial"/>
        </w:rPr>
      </w:pPr>
      <w:bookmarkStart w:id="13" w:name="_Toc120945330"/>
      <w:r w:rsidRPr="00841D89">
        <w:rPr>
          <w:rFonts w:cs="Arial"/>
        </w:rPr>
        <w:t>SUR LA RECEVABILITÉ</w:t>
      </w:r>
      <w:bookmarkEnd w:id="13"/>
      <w:r w:rsidRPr="00841D89">
        <w:rPr>
          <w:rFonts w:cs="Arial"/>
        </w:rPr>
        <w:t xml:space="preserve"> </w:t>
      </w:r>
    </w:p>
    <w:p w14:paraId="015CFAA2" w14:textId="77777777" w:rsidR="006B2C8B" w:rsidRPr="00841D89" w:rsidRDefault="006B2C8B" w:rsidP="00D02498">
      <w:pPr>
        <w:rPr>
          <w:rFonts w:ascii="Arial" w:hAnsi="Arial" w:cs="Arial"/>
          <w:sz w:val="24"/>
          <w:szCs w:val="24"/>
        </w:rPr>
      </w:pPr>
    </w:p>
    <w:p w14:paraId="47A3E373" w14:textId="005D3C3D" w:rsidR="00510409" w:rsidRPr="00841D89" w:rsidRDefault="00510409" w:rsidP="00D02498">
      <w:pPr>
        <w:rPr>
          <w:rFonts w:ascii="Arial" w:hAnsi="Arial" w:cs="Arial"/>
          <w:b/>
          <w:iCs/>
          <w:sz w:val="24"/>
          <w:szCs w:val="24"/>
        </w:rPr>
      </w:pPr>
      <w:r w:rsidRPr="00841D89">
        <w:rPr>
          <w:rFonts w:ascii="Arial" w:hAnsi="Arial" w:cs="Arial"/>
          <w:sz w:val="24"/>
        </w:rPr>
        <w:t xml:space="preserve">L’article 6(2) du Protocole est libellé comme suit : « La Cour statue sur la recevabilité des requêtes en tenant compte des dispositions énoncées à l’article 56 de la Charte ». </w:t>
      </w:r>
    </w:p>
    <w:p w14:paraId="13DCA656" w14:textId="77777777" w:rsidR="00FC7D4F" w:rsidRPr="00841D89" w:rsidRDefault="00FC7D4F" w:rsidP="00D02498">
      <w:pPr>
        <w:rPr>
          <w:rFonts w:ascii="Arial" w:hAnsi="Arial" w:cs="Arial"/>
          <w:b/>
          <w:iCs/>
          <w:sz w:val="24"/>
          <w:szCs w:val="24"/>
        </w:rPr>
      </w:pPr>
    </w:p>
    <w:p w14:paraId="58D6D5FC" w14:textId="77777777" w:rsidR="00AF4197" w:rsidRPr="00841D89" w:rsidRDefault="00AF4197" w:rsidP="00D02498">
      <w:pPr>
        <w:rPr>
          <w:rFonts w:ascii="Arial" w:hAnsi="Arial" w:cs="Arial"/>
          <w:b/>
          <w:iCs/>
          <w:sz w:val="24"/>
          <w:szCs w:val="24"/>
        </w:rPr>
      </w:pPr>
      <w:r w:rsidRPr="00841D89">
        <w:rPr>
          <w:rFonts w:ascii="Arial" w:hAnsi="Arial" w:cs="Arial"/>
          <w:sz w:val="24"/>
        </w:rPr>
        <w:t>En vertu de la règle 50(1) du Règlement, « [l]a Cour procède à un examen de la recevabilité des requêtes introduites devant elle conformément aux articles 56 de la Charte et 6, alinéa 2 du Protocole et au [...] Règlement. »</w:t>
      </w:r>
    </w:p>
    <w:p w14:paraId="44DC05CE" w14:textId="77777777" w:rsidR="00D36AD2" w:rsidRPr="00841D89" w:rsidRDefault="00D36AD2" w:rsidP="00D02498">
      <w:pPr>
        <w:rPr>
          <w:rFonts w:ascii="Arial" w:hAnsi="Arial" w:cs="Arial"/>
          <w:bCs/>
          <w:sz w:val="24"/>
          <w:szCs w:val="24"/>
        </w:rPr>
      </w:pPr>
    </w:p>
    <w:p w14:paraId="47D780D5" w14:textId="77777777" w:rsidR="00D36AD2" w:rsidRPr="00841D89" w:rsidRDefault="00D36AD2" w:rsidP="00D02498">
      <w:pPr>
        <w:rPr>
          <w:rFonts w:ascii="Arial" w:hAnsi="Arial" w:cs="Arial"/>
          <w:sz w:val="24"/>
          <w:szCs w:val="24"/>
        </w:rPr>
      </w:pPr>
      <w:r w:rsidRPr="00841D89">
        <w:rPr>
          <w:rFonts w:ascii="Arial" w:hAnsi="Arial" w:cs="Arial"/>
          <w:sz w:val="24"/>
        </w:rPr>
        <w:t xml:space="preserve">La règle 50(2) du Règlement, qui reprend en substance les dispositions de l’article 56 de la Charte, est ainsi libellée : </w:t>
      </w:r>
    </w:p>
    <w:p w14:paraId="436C7451" w14:textId="77777777" w:rsidR="00510409" w:rsidRPr="00841D89" w:rsidRDefault="00510409" w:rsidP="00D02498">
      <w:pPr>
        <w:rPr>
          <w:rFonts w:ascii="Arial" w:hAnsi="Arial" w:cs="Arial"/>
          <w:sz w:val="24"/>
          <w:szCs w:val="24"/>
        </w:rPr>
      </w:pPr>
    </w:p>
    <w:p w14:paraId="32B72F47" w14:textId="549E280F" w:rsidR="00510409" w:rsidRPr="00841D89" w:rsidRDefault="00510409" w:rsidP="00D02498">
      <w:pPr>
        <w:rPr>
          <w:rFonts w:ascii="Arial" w:hAnsi="Arial" w:cs="Arial"/>
        </w:rPr>
      </w:pPr>
      <w:r w:rsidRPr="00841D89">
        <w:rPr>
          <w:rFonts w:ascii="Arial" w:hAnsi="Arial" w:cs="Arial"/>
        </w:rPr>
        <w:t>Les Requêtes introduites devant la Cour doivent remplir toutes les conditions ci-après :</w:t>
      </w:r>
    </w:p>
    <w:p w14:paraId="389D8731" w14:textId="77777777" w:rsidR="00510409" w:rsidRPr="00841D89" w:rsidRDefault="00510409" w:rsidP="00D02498">
      <w:pPr>
        <w:rPr>
          <w:rFonts w:ascii="Arial" w:hAnsi="Arial" w:cs="Arial"/>
        </w:rPr>
      </w:pPr>
    </w:p>
    <w:p w14:paraId="0E5838D2" w14:textId="67F8E4B5" w:rsidR="00510409" w:rsidRPr="00841D89" w:rsidRDefault="00D10185" w:rsidP="00D02498">
      <w:pPr>
        <w:rPr>
          <w:rFonts w:ascii="Arial" w:hAnsi="Arial" w:cs="Arial"/>
        </w:rPr>
      </w:pPr>
      <w:r w:rsidRPr="00841D89">
        <w:rPr>
          <w:rFonts w:ascii="Arial" w:hAnsi="Arial" w:cs="Arial"/>
        </w:rPr>
        <w:t>Indiquer l’identité de leur auteur, même si celui-ci demande à la Cour de garder l’anonymat ;</w:t>
      </w:r>
    </w:p>
    <w:p w14:paraId="698897D8" w14:textId="3C412658" w:rsidR="00510409" w:rsidRPr="00841D89" w:rsidRDefault="00D10185" w:rsidP="00D02498">
      <w:pPr>
        <w:rPr>
          <w:rFonts w:ascii="Arial" w:hAnsi="Arial" w:cs="Arial"/>
        </w:rPr>
      </w:pPr>
      <w:r w:rsidRPr="00841D89">
        <w:rPr>
          <w:rFonts w:ascii="Arial" w:hAnsi="Arial" w:cs="Arial"/>
        </w:rPr>
        <w:t xml:space="preserve">Être compatibles avec l’Acte constitutif de l’Union africaine et la Charte ; </w:t>
      </w:r>
    </w:p>
    <w:p w14:paraId="38362537" w14:textId="0A47B6FA" w:rsidR="00510409" w:rsidRPr="00841D89" w:rsidRDefault="004810BD" w:rsidP="00D02498">
      <w:pPr>
        <w:rPr>
          <w:rFonts w:ascii="Arial" w:hAnsi="Arial" w:cs="Arial"/>
        </w:rPr>
      </w:pPr>
      <w:r w:rsidRPr="00841D89">
        <w:rPr>
          <w:rFonts w:ascii="Arial" w:hAnsi="Arial" w:cs="Arial"/>
        </w:rPr>
        <w:t>Ne pas être rédigées dans des termes outrageants ou insultants à l’égard de l’État concerné et ses institutions ou de l’Union africaine ;</w:t>
      </w:r>
    </w:p>
    <w:p w14:paraId="103E9077" w14:textId="47DF6174" w:rsidR="00510409" w:rsidRPr="00841D89" w:rsidRDefault="004810BD" w:rsidP="00D02498">
      <w:pPr>
        <w:rPr>
          <w:rFonts w:ascii="Arial" w:hAnsi="Arial" w:cs="Arial"/>
        </w:rPr>
      </w:pPr>
      <w:r w:rsidRPr="00841D89">
        <w:rPr>
          <w:rFonts w:ascii="Arial" w:hAnsi="Arial" w:cs="Arial"/>
        </w:rPr>
        <w:t>Ne pas se limiter à rassembler exclusivement des nouvelles diffusées par les moyens de communication de masse ;</w:t>
      </w:r>
    </w:p>
    <w:p w14:paraId="4B38E4C5" w14:textId="05705FA2" w:rsidR="00510409" w:rsidRPr="00841D89" w:rsidRDefault="004810BD" w:rsidP="00D02498">
      <w:pPr>
        <w:rPr>
          <w:rFonts w:ascii="Arial" w:hAnsi="Arial" w:cs="Arial"/>
        </w:rPr>
      </w:pPr>
      <w:r w:rsidRPr="00841D89">
        <w:rPr>
          <w:rFonts w:ascii="Arial" w:hAnsi="Arial" w:cs="Arial"/>
        </w:rPr>
        <w:t>Être postérieures à l’épuisement des recours internes s’ils existent, à moins qu’il ne soit manifeste à la Cour que la procédure de ces recours se prolonge de façon anormale ;</w:t>
      </w:r>
    </w:p>
    <w:p w14:paraId="60AD349A" w14:textId="1464A917" w:rsidR="00510409" w:rsidRPr="00841D89" w:rsidRDefault="004810BD" w:rsidP="00D02498">
      <w:pPr>
        <w:rPr>
          <w:rFonts w:ascii="Arial" w:hAnsi="Arial" w:cs="Arial"/>
        </w:rPr>
      </w:pPr>
      <w:r w:rsidRPr="00841D89">
        <w:rPr>
          <w:rFonts w:ascii="Arial" w:hAnsi="Arial" w:cs="Arial"/>
        </w:rPr>
        <w:t>Être introduites dans un délai raisonnable courant depuis l’épuisement des recours internes ou depuis la date retenue par la Cour comme faisant commencer à courir le délai de sa saisine</w:t>
      </w:r>
      <w:r w:rsidR="00175DA8" w:rsidRPr="00841D89">
        <w:rPr>
          <w:rFonts w:ascii="Arial" w:hAnsi="Arial" w:cs="Arial"/>
        </w:rPr>
        <w:t> </w:t>
      </w:r>
      <w:r w:rsidRPr="00841D89">
        <w:rPr>
          <w:rFonts w:ascii="Arial" w:hAnsi="Arial" w:cs="Arial"/>
        </w:rPr>
        <w:t>;</w:t>
      </w:r>
    </w:p>
    <w:p w14:paraId="6FC7EC62" w14:textId="6F1793A9" w:rsidR="00510409" w:rsidRPr="00841D89" w:rsidRDefault="004810BD" w:rsidP="00D02498">
      <w:pPr>
        <w:rPr>
          <w:rFonts w:ascii="Arial" w:hAnsi="Arial" w:cs="Arial"/>
        </w:rPr>
      </w:pPr>
      <w:r w:rsidRPr="00841D89">
        <w:rPr>
          <w:rFonts w:ascii="Arial" w:hAnsi="Arial" w:cs="Arial"/>
        </w:rPr>
        <w:t>Ne pas concerner des affaires qui ont été réglées par les États concernés, conformément aux principes de la Charte des Nations Unies, de l’Acte constitutif de l’Union africaine ou des dispositions de la Charte.</w:t>
      </w:r>
    </w:p>
    <w:p w14:paraId="49006552" w14:textId="77777777" w:rsidR="002B456A" w:rsidRPr="00841D89" w:rsidRDefault="002B456A" w:rsidP="00D02498">
      <w:pPr>
        <w:rPr>
          <w:rFonts w:ascii="Arial" w:hAnsi="Arial" w:cs="Arial"/>
          <w:sz w:val="24"/>
          <w:szCs w:val="24"/>
        </w:rPr>
      </w:pPr>
    </w:p>
    <w:p w14:paraId="077E5585" w14:textId="41847291" w:rsidR="00510409" w:rsidRPr="00841D89" w:rsidRDefault="00510409" w:rsidP="00D02498">
      <w:pPr>
        <w:rPr>
          <w:rFonts w:ascii="Arial" w:hAnsi="Arial" w:cs="Arial"/>
          <w:sz w:val="24"/>
          <w:szCs w:val="24"/>
        </w:rPr>
      </w:pPr>
      <w:r w:rsidRPr="00841D89">
        <w:rPr>
          <w:rFonts w:ascii="Arial" w:hAnsi="Arial" w:cs="Arial"/>
          <w:sz w:val="24"/>
        </w:rPr>
        <w:t>La Cour relève que les conditions de recevabilité énoncées à la règle 50(2) du Règlement ne sont pas en litige entre les Parties. Toutefois, conformément à la règle 50(1) du Règlement, elle doit s’assurer que la Requête remplit toutes les conditions de recevabilité.</w:t>
      </w:r>
    </w:p>
    <w:p w14:paraId="4D099A3A" w14:textId="7731A854" w:rsidR="00510409" w:rsidRPr="00841D89" w:rsidRDefault="00510409" w:rsidP="00D02498">
      <w:pPr>
        <w:rPr>
          <w:rFonts w:ascii="Arial" w:hAnsi="Arial" w:cs="Arial"/>
          <w:bCs/>
          <w:sz w:val="24"/>
          <w:szCs w:val="24"/>
        </w:rPr>
      </w:pPr>
      <w:r w:rsidRPr="00841D89">
        <w:rPr>
          <w:rFonts w:ascii="Arial" w:hAnsi="Arial" w:cs="Arial"/>
          <w:sz w:val="24"/>
        </w:rPr>
        <w:t>Il ressort du dossier que le Requérant a été identifié par son nom, conformément à la règle 50(2)(a) du Règlement.</w:t>
      </w:r>
    </w:p>
    <w:p w14:paraId="68A0E384" w14:textId="77777777" w:rsidR="00A20BF5" w:rsidRPr="00841D89" w:rsidRDefault="00A20BF5" w:rsidP="00D02498">
      <w:pPr>
        <w:rPr>
          <w:rFonts w:ascii="Arial" w:hAnsi="Arial" w:cs="Arial"/>
          <w:bCs/>
          <w:sz w:val="24"/>
          <w:szCs w:val="24"/>
          <w:lang w:bidi="fr-FR"/>
        </w:rPr>
      </w:pPr>
    </w:p>
    <w:p w14:paraId="5D3AD55D" w14:textId="4883E383" w:rsidR="00941608" w:rsidRPr="00841D89" w:rsidRDefault="007A7E31" w:rsidP="00D02498">
      <w:pPr>
        <w:rPr>
          <w:rFonts w:ascii="Arial" w:hAnsi="Arial" w:cs="Arial"/>
          <w:bCs/>
          <w:sz w:val="24"/>
          <w:szCs w:val="24"/>
        </w:rPr>
      </w:pPr>
      <w:r w:rsidRPr="00841D89">
        <w:rPr>
          <w:rFonts w:ascii="Arial" w:hAnsi="Arial" w:cs="Arial"/>
          <w:sz w:val="24"/>
        </w:rPr>
        <w:t xml:space="preserve">La Cour relève que les griefs formulés par le Requérant visent à protéger ses droits garantis par la Charte. Elle note également que l’un des objectifs de l’Union africaine, tel qu’énoncé à l’article 3(h) de son Acte constitutif, est la promotion et la protection des droits de l’homme et des peuples. La Cour en conclut que la Requête est compatible avec l’Acte constitutif de l’Union africaine et la Charte et estime qu’elle satisfait à l’exigence de l’article 50(2)(b) du Règlement. </w:t>
      </w:r>
    </w:p>
    <w:p w14:paraId="7B110ED4" w14:textId="77777777" w:rsidR="00941608" w:rsidRPr="00841D89" w:rsidRDefault="00941608" w:rsidP="00D02498">
      <w:pPr>
        <w:rPr>
          <w:rFonts w:ascii="Arial" w:hAnsi="Arial" w:cs="Arial"/>
          <w:sz w:val="24"/>
          <w:szCs w:val="24"/>
        </w:rPr>
      </w:pPr>
    </w:p>
    <w:p w14:paraId="47C4C75E" w14:textId="35182A07" w:rsidR="00A20BF5" w:rsidRPr="00841D89" w:rsidRDefault="00A20BF5" w:rsidP="00D02498">
      <w:pPr>
        <w:rPr>
          <w:rFonts w:ascii="Arial" w:hAnsi="Arial" w:cs="Arial"/>
          <w:bCs/>
          <w:sz w:val="24"/>
          <w:szCs w:val="24"/>
        </w:rPr>
      </w:pPr>
      <w:r w:rsidRPr="00841D89">
        <w:rPr>
          <w:rFonts w:ascii="Arial" w:hAnsi="Arial" w:cs="Arial"/>
          <w:sz w:val="24"/>
        </w:rPr>
        <w:t>La Cour relève que la Requête ne contient aucun terme outrageant ou insultant à l’égard de l’État défendeur, la rendant ainsi conforme à l’exigence de la règle 50(2)(c) du Règlement.</w:t>
      </w:r>
    </w:p>
    <w:p w14:paraId="784004CE" w14:textId="5A27C22A" w:rsidR="00A20BF5" w:rsidRPr="00841D89" w:rsidRDefault="00A20BF5" w:rsidP="00D02498">
      <w:pPr>
        <w:rPr>
          <w:rFonts w:ascii="Arial" w:hAnsi="Arial" w:cs="Arial"/>
          <w:bCs/>
          <w:sz w:val="24"/>
          <w:szCs w:val="24"/>
        </w:rPr>
      </w:pPr>
      <w:r w:rsidRPr="00841D89">
        <w:rPr>
          <w:rFonts w:ascii="Arial" w:hAnsi="Arial" w:cs="Arial"/>
          <w:sz w:val="24"/>
        </w:rPr>
        <w:t xml:space="preserve"> </w:t>
      </w:r>
    </w:p>
    <w:p w14:paraId="4B5ADE0A" w14:textId="01C97FEB" w:rsidR="00510409" w:rsidRPr="00841D89" w:rsidRDefault="00510409" w:rsidP="00D02498">
      <w:pPr>
        <w:rPr>
          <w:rFonts w:ascii="Arial" w:hAnsi="Arial" w:cs="Arial"/>
          <w:bCs/>
          <w:sz w:val="24"/>
          <w:szCs w:val="24"/>
        </w:rPr>
      </w:pPr>
      <w:r w:rsidRPr="00841D89">
        <w:rPr>
          <w:rFonts w:ascii="Arial" w:hAnsi="Arial" w:cs="Arial"/>
          <w:sz w:val="24"/>
        </w:rPr>
        <w:t>La Requête n’est pas fondée exclusivement sur des nouvelles diffusées par les moyens de communication de masse, mais sur des documents judiciaires émanant des juridictions nationales de l’État défendeur, conformément à la règle 50(2)(d) du Règlement.</w:t>
      </w:r>
    </w:p>
    <w:p w14:paraId="3A187B80" w14:textId="77777777" w:rsidR="00B3143A" w:rsidRPr="00841D89" w:rsidRDefault="00B3143A" w:rsidP="00D02498">
      <w:pPr>
        <w:rPr>
          <w:rFonts w:ascii="Arial" w:hAnsi="Arial" w:cs="Arial"/>
          <w:sz w:val="24"/>
          <w:szCs w:val="24"/>
        </w:rPr>
      </w:pPr>
    </w:p>
    <w:p w14:paraId="3BE54C0A" w14:textId="61B194EE" w:rsidR="00A20BF5" w:rsidRPr="00841D89" w:rsidRDefault="005412BF" w:rsidP="00D02498">
      <w:pPr>
        <w:rPr>
          <w:rFonts w:ascii="Arial" w:hAnsi="Arial" w:cs="Arial"/>
          <w:bCs/>
          <w:sz w:val="24"/>
          <w:szCs w:val="24"/>
        </w:rPr>
      </w:pPr>
      <w:r w:rsidRPr="00841D89">
        <w:rPr>
          <w:rFonts w:ascii="Arial" w:hAnsi="Arial" w:cs="Arial"/>
          <w:sz w:val="24"/>
        </w:rPr>
        <w:t>La Cour rappelle qu’aux termes de l’article 56(5) de la Charte et de la règle 50(2)(e) du Règlement, et conformément à sa jurisprudence constante, « les recours internes que les requérants sont tenus d’épuiser doivent être des recours judiciaires ordinaires »,</w:t>
      </w:r>
      <w:r w:rsidR="00A20BF5" w:rsidRPr="00841D89">
        <w:rPr>
          <w:rStyle w:val="FootnoteReference"/>
          <w:rFonts w:ascii="Arial" w:hAnsi="Arial" w:cs="Arial"/>
          <w:bCs/>
          <w:sz w:val="24"/>
          <w:szCs w:val="24"/>
        </w:rPr>
        <w:footnoteReference w:id="4"/>
      </w:r>
      <w:r w:rsidRPr="00841D89">
        <w:rPr>
          <w:rFonts w:ascii="Arial" w:hAnsi="Arial" w:cs="Arial"/>
          <w:sz w:val="24"/>
        </w:rPr>
        <w:t xml:space="preserve"> à moins que ces recours ne soient indisponibles, inefficaces, insuffisants ou que la procédure pour les exercer soit prolongée de façon anormale.</w:t>
      </w:r>
      <w:r w:rsidR="00A20BF5" w:rsidRPr="00841D89">
        <w:rPr>
          <w:rStyle w:val="FootnoteReference"/>
          <w:rFonts w:ascii="Arial" w:hAnsi="Arial" w:cs="Arial"/>
          <w:bCs/>
          <w:sz w:val="24"/>
          <w:szCs w:val="24"/>
        </w:rPr>
        <w:footnoteReference w:id="5"/>
      </w:r>
    </w:p>
    <w:p w14:paraId="66A2EDD4" w14:textId="77777777" w:rsidR="007B5AFB" w:rsidRPr="00841D89" w:rsidRDefault="007B5AFB" w:rsidP="00D02498">
      <w:pPr>
        <w:rPr>
          <w:rFonts w:ascii="Arial" w:hAnsi="Arial" w:cs="Arial"/>
          <w:bCs/>
          <w:sz w:val="24"/>
          <w:szCs w:val="24"/>
          <w:lang w:bidi="fr-FR"/>
        </w:rPr>
      </w:pPr>
    </w:p>
    <w:p w14:paraId="138AC1D3" w14:textId="6A162876" w:rsidR="005E0A55" w:rsidRPr="00841D89" w:rsidRDefault="00844911" w:rsidP="00D02498">
      <w:pPr>
        <w:rPr>
          <w:rFonts w:ascii="Arial" w:hAnsi="Arial" w:cs="Arial"/>
          <w:sz w:val="24"/>
          <w:szCs w:val="24"/>
        </w:rPr>
      </w:pPr>
      <w:r w:rsidRPr="00841D89">
        <w:rPr>
          <w:rFonts w:ascii="Arial" w:hAnsi="Arial" w:cs="Arial"/>
          <w:sz w:val="24"/>
        </w:rPr>
        <w:t xml:space="preserve">La Cour relève, en l’espèce, que </w:t>
      </w:r>
      <w:r w:rsidRPr="00841D89">
        <w:rPr>
          <w:rFonts w:ascii="Arial" w:hAnsi="Arial" w:cs="Arial"/>
          <w:bCs/>
          <w:sz w:val="24"/>
        </w:rPr>
        <w:t>le Requérant a été reconnu coupable et condamné pour meurtre le 27 mars 2001 par la Haute Cour.</w:t>
      </w:r>
      <w:r w:rsidRPr="00841D89">
        <w:rPr>
          <w:rFonts w:ascii="Arial" w:hAnsi="Arial" w:cs="Arial"/>
          <w:sz w:val="24"/>
        </w:rPr>
        <w:t xml:space="preserve"> Il a formé un recours contre cette décision devant la Cour d’appel, organe judiciaire suprême de l'État défendeur, qui a confirmé la décision de la Haute Cour par son arrêt du 28 juin 2003. Le Cour en conclut que le Requérant a épuisé tous les recours internes disponibles.</w:t>
      </w:r>
    </w:p>
    <w:p w14:paraId="4D3A6D08" w14:textId="77777777" w:rsidR="005E0A55" w:rsidRPr="00841D89" w:rsidRDefault="005E0A55" w:rsidP="00D02498">
      <w:pPr>
        <w:rPr>
          <w:rFonts w:ascii="Arial" w:hAnsi="Arial" w:cs="Arial"/>
        </w:rPr>
      </w:pPr>
    </w:p>
    <w:p w14:paraId="55759A48" w14:textId="7F97C4A9" w:rsidR="005E0A55" w:rsidRPr="00841D89" w:rsidRDefault="005E0A55" w:rsidP="00D02498">
      <w:pPr>
        <w:rPr>
          <w:rFonts w:ascii="Arial" w:hAnsi="Arial" w:cs="Arial"/>
          <w:sz w:val="24"/>
          <w:szCs w:val="24"/>
        </w:rPr>
      </w:pPr>
      <w:r w:rsidRPr="00841D89">
        <w:rPr>
          <w:rFonts w:ascii="Arial" w:hAnsi="Arial" w:cs="Arial"/>
          <w:sz w:val="24"/>
        </w:rPr>
        <w:t xml:space="preserve">S’agissant de la condition relative au dépôt d’une requête dans un délai raisonnable après épuisement des recours internes, la Cour relève que l’article 56(6) de la Charte ne précise aucun délai dans lequel une affaire doit être introduite devant elle. La règle 50(2)(f) du Règlement, qui reprend en substance les dispositions de l’article 56(6) de la Charte indique uniquement que les requêtes doivent être introduites « dans un délai raisonnable courant depuis l’épuisement des recours internes ou </w:t>
      </w:r>
      <w:r w:rsidRPr="00841D89">
        <w:rPr>
          <w:rFonts w:ascii="Arial" w:hAnsi="Arial" w:cs="Arial"/>
          <w:sz w:val="24"/>
        </w:rPr>
        <w:lastRenderedPageBreak/>
        <w:t>depuis la date retenue par la Cour comme faisant commencer à courir le délai de sa saisine ».</w:t>
      </w:r>
    </w:p>
    <w:p w14:paraId="5CB00511" w14:textId="77777777" w:rsidR="00844911" w:rsidRPr="00841D89" w:rsidRDefault="00844911" w:rsidP="00D02498">
      <w:pPr>
        <w:rPr>
          <w:rFonts w:ascii="Arial" w:hAnsi="Arial" w:cs="Arial"/>
          <w:bCs/>
          <w:lang w:bidi="fr-FR"/>
        </w:rPr>
      </w:pPr>
    </w:p>
    <w:p w14:paraId="67BF4074" w14:textId="2A745FE5" w:rsidR="00844911" w:rsidRPr="00841D89" w:rsidRDefault="00EF41EC" w:rsidP="00D02498">
      <w:pPr>
        <w:rPr>
          <w:rFonts w:ascii="Arial" w:hAnsi="Arial" w:cs="Arial"/>
        </w:rPr>
      </w:pPr>
      <w:r w:rsidRPr="00841D89">
        <w:rPr>
          <w:rFonts w:ascii="Arial" w:hAnsi="Arial" w:cs="Arial"/>
          <w:sz w:val="24"/>
        </w:rPr>
        <w:t xml:space="preserve">Deux éléments sont pertinents dans l’appréciation du délai au regard de l’exigence de l’article 56(6) de la Charte. D’une part, la date à laquelle la Cour d’appel a rendu son arrêt, à savoir le 28 juin 2003, aurait dû servir de point référence dans l’appréciation du caractère raisonnable du délai de dépôt de la Requête. Or, en l’espèce, la date à retenir pour le décompte du délai est le 29 mars 2010, c’est-à-dire la date à laquelle l’État défendeur a déposé sa Déclaration, car ce n’est qu’à partir de cette date que les individus pouvaient attraire l’État défendeur devant la Cour. </w:t>
      </w:r>
    </w:p>
    <w:p w14:paraId="3369DB4C" w14:textId="77777777" w:rsidR="00FA7532" w:rsidRPr="00841D89" w:rsidRDefault="00FA7532" w:rsidP="00D02498">
      <w:pPr>
        <w:rPr>
          <w:rFonts w:ascii="Arial" w:hAnsi="Arial" w:cs="Arial"/>
          <w:sz w:val="24"/>
          <w:szCs w:val="24"/>
          <w:lang w:bidi="fr-FR"/>
        </w:rPr>
      </w:pPr>
    </w:p>
    <w:p w14:paraId="64327FA9" w14:textId="69FAE006" w:rsidR="00EF41EC" w:rsidRPr="00841D89" w:rsidRDefault="00EF41EC" w:rsidP="00D02498">
      <w:pPr>
        <w:rPr>
          <w:rFonts w:ascii="Arial" w:hAnsi="Arial" w:cs="Arial"/>
          <w:sz w:val="24"/>
          <w:szCs w:val="24"/>
        </w:rPr>
      </w:pPr>
      <w:r w:rsidRPr="00841D89">
        <w:rPr>
          <w:rFonts w:ascii="Arial" w:hAnsi="Arial" w:cs="Arial"/>
          <w:sz w:val="24"/>
        </w:rPr>
        <w:t xml:space="preserve">D’autre part, la Cour </w:t>
      </w:r>
      <w:r w:rsidR="00BB4152">
        <w:rPr>
          <w:rFonts w:ascii="Arial" w:hAnsi="Arial" w:cs="Arial"/>
          <w:sz w:val="24"/>
        </w:rPr>
        <w:t xml:space="preserve">fait </w:t>
      </w:r>
      <w:r w:rsidRPr="00841D89">
        <w:rPr>
          <w:rFonts w:ascii="Arial" w:hAnsi="Arial" w:cs="Arial"/>
          <w:sz w:val="24"/>
        </w:rPr>
        <w:t>observe</w:t>
      </w:r>
      <w:r w:rsidR="00BB4152">
        <w:rPr>
          <w:rFonts w:ascii="Arial" w:hAnsi="Arial" w:cs="Arial"/>
          <w:sz w:val="24"/>
        </w:rPr>
        <w:t>r</w:t>
      </w:r>
      <w:r w:rsidRPr="00841D89">
        <w:rPr>
          <w:rFonts w:ascii="Arial" w:hAnsi="Arial" w:cs="Arial"/>
          <w:sz w:val="24"/>
        </w:rPr>
        <w:t xml:space="preserve"> que la période entre 2007 et 2013 marquait le début des activités de la Cour. La Cour a conclu dans ses arrêts précédents que pendant la période visée, le grand public, à fortiori les personnes dans la situation du Requérant en l’espèce, étaient présumés avoir été très peu au fait de l’existence de la Cour.</w:t>
      </w:r>
      <w:r w:rsidR="00FA7532" w:rsidRPr="00841D89">
        <w:rPr>
          <w:rStyle w:val="FootnoteReference"/>
          <w:rFonts w:ascii="Arial" w:hAnsi="Arial" w:cs="Arial"/>
          <w:sz w:val="24"/>
          <w:szCs w:val="24"/>
          <w:lang w:val="en-ZA"/>
        </w:rPr>
        <w:footnoteReference w:id="6"/>
      </w:r>
      <w:r w:rsidRPr="00841D89">
        <w:rPr>
          <w:rFonts w:ascii="Arial" w:hAnsi="Arial" w:cs="Arial"/>
          <w:sz w:val="24"/>
        </w:rPr>
        <w:t xml:space="preserve"> Par conséquent, la période à considérer en l’espèce se situe entre 2013, moment auquel le grand public est présumé avoir eu connaissance de l’existence de la Cour, et 2017, année de dépôt de la Requête devant la Cour de céans, soit quatre (4) ans. La question à trancher est donc de savoir si la période sus-indiquée constitue un délai raisonnable au sens de l’article 56(6) de la Charte.</w:t>
      </w:r>
    </w:p>
    <w:p w14:paraId="0E7B084F" w14:textId="77777777" w:rsidR="00ED5F82" w:rsidRPr="00841D89" w:rsidRDefault="00ED5F82" w:rsidP="00D02498">
      <w:pPr>
        <w:rPr>
          <w:rFonts w:ascii="Arial" w:hAnsi="Arial" w:cs="Arial"/>
          <w:b/>
          <w:sz w:val="24"/>
          <w:szCs w:val="24"/>
        </w:rPr>
      </w:pPr>
    </w:p>
    <w:p w14:paraId="51C16068" w14:textId="5073D8BF" w:rsidR="00ED5F82" w:rsidRPr="00841D89" w:rsidRDefault="00ED5F82" w:rsidP="00D02498">
      <w:pPr>
        <w:rPr>
          <w:rFonts w:ascii="Arial" w:hAnsi="Arial" w:cs="Arial"/>
          <w:b/>
          <w:sz w:val="24"/>
          <w:szCs w:val="24"/>
        </w:rPr>
      </w:pPr>
      <w:r w:rsidRPr="00841D89">
        <w:rPr>
          <w:rFonts w:ascii="Arial" w:hAnsi="Arial" w:cs="Arial"/>
          <w:sz w:val="24"/>
        </w:rPr>
        <w:t>La Cour rappelle sa jurisprudence selon laquelle : « … le caractère raisonnable d’un délai de sa saisine dépend des circonstances particulières de chaque affaire et doit être apprécié au cas par cas ».</w:t>
      </w:r>
      <w:r w:rsidRPr="00841D89">
        <w:rPr>
          <w:rStyle w:val="FootnoteReference"/>
          <w:rFonts w:ascii="Arial" w:hAnsi="Arial" w:cs="Arial"/>
          <w:bCs/>
          <w:sz w:val="24"/>
          <w:szCs w:val="24"/>
          <w:lang w:bidi="fr-FR"/>
        </w:rPr>
        <w:footnoteReference w:id="7"/>
      </w:r>
      <w:r w:rsidRPr="00841D89">
        <w:rPr>
          <w:rFonts w:ascii="Arial" w:hAnsi="Arial" w:cs="Arial"/>
          <w:sz w:val="24"/>
        </w:rPr>
        <w:t xml:space="preserve"> Au nombre des circonstances que la Cour a prises en considération figurent : le fait d’être incarcéré, profane en matière de droit et de ne pas bénéficier d’une assistance judiciaire,</w:t>
      </w:r>
      <w:r w:rsidRPr="00841D89">
        <w:rPr>
          <w:rStyle w:val="FootnoteReference"/>
          <w:rFonts w:ascii="Arial" w:eastAsia="Times New Roman" w:hAnsi="Arial" w:cs="Arial"/>
          <w:bCs/>
          <w:sz w:val="24"/>
          <w:szCs w:val="24"/>
        </w:rPr>
        <w:footnoteReference w:id="8"/>
      </w:r>
      <w:r w:rsidRPr="00841D89">
        <w:rPr>
          <w:rFonts w:ascii="Arial" w:hAnsi="Arial" w:cs="Arial"/>
          <w:sz w:val="24"/>
        </w:rPr>
        <w:t xml:space="preserve"> d’être indigent, d’être analphabète, de ne pas avoir connaissance de l’existence de la Cour, d’être détenu dans le couloir de la mort</w:t>
      </w:r>
      <w:r w:rsidRPr="00841D89">
        <w:rPr>
          <w:rStyle w:val="FootnoteReference"/>
          <w:rFonts w:ascii="Arial" w:eastAsia="Times New Roman" w:hAnsi="Arial" w:cs="Arial"/>
          <w:bCs/>
          <w:sz w:val="24"/>
          <w:szCs w:val="24"/>
        </w:rPr>
        <w:footnoteReference w:id="9"/>
      </w:r>
      <w:r w:rsidRPr="00841D89">
        <w:rPr>
          <w:rFonts w:ascii="Arial" w:hAnsi="Arial" w:cs="Arial"/>
          <w:sz w:val="24"/>
        </w:rPr>
        <w:t xml:space="preserve"> ainsi que l’exercice de recours extraordinaires.</w:t>
      </w:r>
      <w:r w:rsidRPr="00841D89">
        <w:rPr>
          <w:rStyle w:val="FootnoteReference"/>
          <w:rFonts w:ascii="Arial" w:eastAsia="Times New Roman" w:hAnsi="Arial" w:cs="Arial"/>
          <w:sz w:val="24"/>
          <w:szCs w:val="24"/>
        </w:rPr>
        <w:footnoteReference w:id="10"/>
      </w:r>
    </w:p>
    <w:p w14:paraId="019B95AA" w14:textId="77777777" w:rsidR="00BF4253" w:rsidRPr="00841D89" w:rsidRDefault="00BF4253" w:rsidP="00D02498">
      <w:pPr>
        <w:rPr>
          <w:rFonts w:ascii="Arial" w:hAnsi="Arial" w:cs="Arial"/>
        </w:rPr>
      </w:pPr>
    </w:p>
    <w:p w14:paraId="533456C9" w14:textId="5286BAD7" w:rsidR="00ED5F82" w:rsidRPr="00841D89" w:rsidRDefault="00ED5F82" w:rsidP="00D02498">
      <w:pPr>
        <w:rPr>
          <w:rFonts w:ascii="Arial" w:hAnsi="Arial" w:cs="Arial"/>
          <w:b/>
          <w:sz w:val="24"/>
          <w:szCs w:val="24"/>
        </w:rPr>
      </w:pPr>
      <w:r w:rsidRPr="00841D89">
        <w:rPr>
          <w:rFonts w:ascii="Arial" w:hAnsi="Arial" w:cs="Arial"/>
          <w:sz w:val="24"/>
        </w:rPr>
        <w:t xml:space="preserve">La Cour </w:t>
      </w:r>
      <w:r w:rsidR="002D4F21">
        <w:rPr>
          <w:rFonts w:ascii="Arial" w:hAnsi="Arial" w:cs="Arial"/>
          <w:sz w:val="24"/>
        </w:rPr>
        <w:t>relève</w:t>
      </w:r>
      <w:r w:rsidRPr="00841D89">
        <w:rPr>
          <w:rFonts w:ascii="Arial" w:hAnsi="Arial" w:cs="Arial"/>
          <w:sz w:val="24"/>
        </w:rPr>
        <w:t xml:space="preserve"> que le Requérant en l’espèce assure lui-même sa défense devant </w:t>
      </w:r>
      <w:r w:rsidR="002D4F21">
        <w:rPr>
          <w:rFonts w:ascii="Arial" w:hAnsi="Arial" w:cs="Arial"/>
          <w:sz w:val="24"/>
        </w:rPr>
        <w:t>elle</w:t>
      </w:r>
      <w:r w:rsidRPr="00841D89">
        <w:rPr>
          <w:rFonts w:ascii="Arial" w:hAnsi="Arial" w:cs="Arial"/>
          <w:sz w:val="24"/>
        </w:rPr>
        <w:t>. En outre, les procédures engagées à son encontre ainsi que les violations alléguées se sont produites entre 2001 et 2003, soit avant la création de la Cour.</w:t>
      </w:r>
      <w:r w:rsidRPr="00841D89">
        <w:rPr>
          <w:rFonts w:ascii="Arial" w:hAnsi="Arial" w:cs="Arial"/>
          <w:b/>
          <w:sz w:val="24"/>
        </w:rPr>
        <w:t xml:space="preserve"> </w:t>
      </w:r>
    </w:p>
    <w:p w14:paraId="5EDD3ADB" w14:textId="77777777" w:rsidR="00ED5F82" w:rsidRPr="00841D89" w:rsidRDefault="00ED5F82" w:rsidP="00D02498">
      <w:pPr>
        <w:rPr>
          <w:rFonts w:ascii="Arial" w:hAnsi="Arial" w:cs="Arial"/>
          <w:b/>
          <w:sz w:val="24"/>
          <w:szCs w:val="24"/>
        </w:rPr>
      </w:pPr>
    </w:p>
    <w:p w14:paraId="6E96714F" w14:textId="488B20F3" w:rsidR="003125A2" w:rsidRPr="00841D89" w:rsidRDefault="00ED5F82" w:rsidP="00D02498">
      <w:pPr>
        <w:rPr>
          <w:rFonts w:ascii="Arial" w:hAnsi="Arial" w:cs="Arial"/>
          <w:b/>
          <w:sz w:val="24"/>
          <w:szCs w:val="24"/>
        </w:rPr>
      </w:pPr>
      <w:r w:rsidRPr="00841D89">
        <w:rPr>
          <w:rFonts w:ascii="Arial" w:hAnsi="Arial" w:cs="Arial"/>
          <w:sz w:val="24"/>
        </w:rPr>
        <w:t xml:space="preserve">La Cour </w:t>
      </w:r>
      <w:r w:rsidR="0018044A">
        <w:rPr>
          <w:rFonts w:ascii="Arial" w:hAnsi="Arial" w:cs="Arial"/>
          <w:sz w:val="24"/>
        </w:rPr>
        <w:t xml:space="preserve">fait </w:t>
      </w:r>
      <w:r w:rsidRPr="00841D89">
        <w:rPr>
          <w:rFonts w:ascii="Arial" w:hAnsi="Arial" w:cs="Arial"/>
          <w:sz w:val="24"/>
        </w:rPr>
        <w:t>observe</w:t>
      </w:r>
      <w:r w:rsidR="0018044A">
        <w:rPr>
          <w:rFonts w:ascii="Arial" w:hAnsi="Arial" w:cs="Arial"/>
          <w:sz w:val="24"/>
        </w:rPr>
        <w:t>r</w:t>
      </w:r>
      <w:r w:rsidRPr="00841D89">
        <w:rPr>
          <w:rFonts w:ascii="Arial" w:hAnsi="Arial" w:cs="Arial"/>
          <w:sz w:val="24"/>
        </w:rPr>
        <w:t xml:space="preserve"> en outre que le Requérant était incarcéré, donc restreint dans ses mouvements et qu’il n’avait en conséquence qu’un accès limité à l’information, circonstances qui</w:t>
      </w:r>
      <w:r w:rsidR="0018044A">
        <w:rPr>
          <w:rFonts w:ascii="Arial" w:hAnsi="Arial" w:cs="Arial"/>
          <w:sz w:val="24"/>
        </w:rPr>
        <w:t>,</w:t>
      </w:r>
      <w:r w:rsidRPr="00841D89">
        <w:rPr>
          <w:rFonts w:ascii="Arial" w:hAnsi="Arial" w:cs="Arial"/>
          <w:sz w:val="24"/>
        </w:rPr>
        <w:t xml:space="preserve"> de l’avis de la Cour</w:t>
      </w:r>
      <w:r w:rsidR="0018044A">
        <w:rPr>
          <w:rFonts w:ascii="Arial" w:hAnsi="Arial" w:cs="Arial"/>
          <w:sz w:val="24"/>
        </w:rPr>
        <w:t>,</w:t>
      </w:r>
      <w:r w:rsidRPr="00841D89">
        <w:rPr>
          <w:rFonts w:ascii="Arial" w:hAnsi="Arial" w:cs="Arial"/>
          <w:sz w:val="24"/>
        </w:rPr>
        <w:t xml:space="preserve"> dans d’autres affaires similaires, peuvent justifier </w:t>
      </w:r>
      <w:r w:rsidR="00701A0A">
        <w:rPr>
          <w:rFonts w:ascii="Arial" w:hAnsi="Arial" w:cs="Arial"/>
          <w:sz w:val="24"/>
        </w:rPr>
        <w:t>le retard accusé pour la saisir</w:t>
      </w:r>
      <w:r w:rsidRPr="00841D89">
        <w:rPr>
          <w:rFonts w:ascii="Arial" w:hAnsi="Arial" w:cs="Arial"/>
          <w:sz w:val="24"/>
        </w:rPr>
        <w:t>.</w:t>
      </w:r>
      <w:r w:rsidRPr="00841D89">
        <w:rPr>
          <w:rFonts w:ascii="Arial" w:hAnsi="Arial" w:cs="Arial"/>
          <w:sz w:val="24"/>
          <w:szCs w:val="24"/>
          <w:vertAlign w:val="superscript"/>
        </w:rPr>
        <w:footnoteReference w:id="11"/>
      </w:r>
      <w:r w:rsidRPr="00841D89">
        <w:rPr>
          <w:rFonts w:ascii="Arial" w:hAnsi="Arial" w:cs="Arial"/>
          <w:sz w:val="24"/>
        </w:rPr>
        <w:t xml:space="preserve"> Ce dernier facteur est aggravé par la détention du Requérant dans le couloir de la mort.</w:t>
      </w:r>
    </w:p>
    <w:p w14:paraId="2177A0F4" w14:textId="77777777" w:rsidR="00ED5F82" w:rsidRPr="00841D89" w:rsidRDefault="00ED5F82" w:rsidP="00D02498">
      <w:pPr>
        <w:rPr>
          <w:rFonts w:ascii="Arial" w:hAnsi="Arial" w:cs="Arial"/>
          <w:b/>
          <w:sz w:val="24"/>
          <w:szCs w:val="24"/>
        </w:rPr>
      </w:pPr>
    </w:p>
    <w:p w14:paraId="74862198" w14:textId="37B2E9FB" w:rsidR="00ED5F82" w:rsidRPr="0018044A" w:rsidRDefault="00ED5F82" w:rsidP="00D02498">
      <w:pPr>
        <w:rPr>
          <w:rFonts w:ascii="Arial" w:hAnsi="Arial" w:cs="Arial"/>
          <w:sz w:val="24"/>
          <w:szCs w:val="24"/>
        </w:rPr>
      </w:pPr>
      <w:r w:rsidRPr="00841D89">
        <w:rPr>
          <w:rFonts w:ascii="Arial" w:hAnsi="Arial" w:cs="Arial"/>
          <w:sz w:val="24"/>
        </w:rPr>
        <w:t xml:space="preserve">Le Requérant étant isolé de la population générale, il a, sans nul doute, été coupé de tout flux d’informations possible et restreint dans ses mouvements. La Cour </w:t>
      </w:r>
      <w:r w:rsidR="0018044A">
        <w:rPr>
          <w:rFonts w:ascii="Arial" w:hAnsi="Arial" w:cs="Arial"/>
          <w:sz w:val="24"/>
        </w:rPr>
        <w:t>relève</w:t>
      </w:r>
      <w:r w:rsidRPr="00841D89">
        <w:rPr>
          <w:rFonts w:ascii="Arial" w:hAnsi="Arial" w:cs="Arial"/>
          <w:sz w:val="24"/>
        </w:rPr>
        <w:t xml:space="preserve"> que ces </w:t>
      </w:r>
      <w:r w:rsidR="0018044A">
        <w:rPr>
          <w:rFonts w:ascii="Arial" w:hAnsi="Arial" w:cs="Arial"/>
          <w:sz w:val="24"/>
        </w:rPr>
        <w:t>circonstances</w:t>
      </w:r>
      <w:r w:rsidRPr="00841D89">
        <w:rPr>
          <w:rFonts w:ascii="Arial" w:hAnsi="Arial" w:cs="Arial"/>
          <w:sz w:val="24"/>
        </w:rPr>
        <w:t xml:space="preserve"> atténuantes militent en faveur du Requérant.</w:t>
      </w:r>
    </w:p>
    <w:p w14:paraId="670DBBE5" w14:textId="77777777" w:rsidR="0018044A" w:rsidRPr="0018044A" w:rsidRDefault="0018044A" w:rsidP="00D02498">
      <w:pPr>
        <w:rPr>
          <w:rFonts w:ascii="Arial" w:hAnsi="Arial" w:cs="Arial"/>
          <w:sz w:val="24"/>
          <w:szCs w:val="24"/>
        </w:rPr>
      </w:pPr>
    </w:p>
    <w:p w14:paraId="7DBE0BEC" w14:textId="09431435" w:rsidR="00ED5F82" w:rsidRPr="00841D89" w:rsidRDefault="00ED5F82" w:rsidP="00D02498">
      <w:pPr>
        <w:rPr>
          <w:rFonts w:ascii="Arial" w:hAnsi="Arial" w:cs="Arial"/>
          <w:sz w:val="24"/>
          <w:szCs w:val="24"/>
        </w:rPr>
      </w:pPr>
      <w:r w:rsidRPr="00841D89">
        <w:rPr>
          <w:rFonts w:ascii="Arial" w:hAnsi="Arial" w:cs="Arial"/>
          <w:sz w:val="24"/>
        </w:rPr>
        <w:t>Au regard de ce qui précède, la Cour estime que l</w:t>
      </w:r>
      <w:r w:rsidR="0018044A">
        <w:rPr>
          <w:rFonts w:ascii="Arial" w:hAnsi="Arial" w:cs="Arial"/>
          <w:sz w:val="24"/>
        </w:rPr>
        <w:t>e délai de</w:t>
      </w:r>
      <w:r w:rsidRPr="00841D89">
        <w:rPr>
          <w:rFonts w:ascii="Arial" w:hAnsi="Arial" w:cs="Arial"/>
          <w:sz w:val="24"/>
        </w:rPr>
        <w:t xml:space="preserve"> quatre (4) ans </w:t>
      </w:r>
      <w:r w:rsidR="0018044A">
        <w:rPr>
          <w:rFonts w:ascii="Arial" w:hAnsi="Arial" w:cs="Arial"/>
          <w:sz w:val="24"/>
        </w:rPr>
        <w:t>dans lequel</w:t>
      </w:r>
      <w:r w:rsidRPr="00841D89">
        <w:rPr>
          <w:rFonts w:ascii="Arial" w:hAnsi="Arial" w:cs="Arial"/>
          <w:sz w:val="24"/>
        </w:rPr>
        <w:t xml:space="preserve"> le Requérant </w:t>
      </w:r>
      <w:r w:rsidR="0018044A">
        <w:rPr>
          <w:rFonts w:ascii="Arial" w:hAnsi="Arial" w:cs="Arial"/>
          <w:sz w:val="24"/>
        </w:rPr>
        <w:t>a</w:t>
      </w:r>
      <w:r w:rsidRPr="00841D89">
        <w:rPr>
          <w:rFonts w:ascii="Arial" w:hAnsi="Arial" w:cs="Arial"/>
          <w:sz w:val="24"/>
        </w:rPr>
        <w:t xml:space="preserve"> </w:t>
      </w:r>
      <w:r w:rsidR="0018044A">
        <w:rPr>
          <w:rFonts w:ascii="Arial" w:hAnsi="Arial" w:cs="Arial"/>
          <w:sz w:val="24"/>
        </w:rPr>
        <w:t>introduit</w:t>
      </w:r>
      <w:r w:rsidRPr="00841D89">
        <w:rPr>
          <w:rFonts w:ascii="Arial" w:hAnsi="Arial" w:cs="Arial"/>
          <w:sz w:val="24"/>
        </w:rPr>
        <w:t xml:space="preserve"> de sa Requête </w:t>
      </w:r>
      <w:r w:rsidR="00745EE4">
        <w:rPr>
          <w:rFonts w:ascii="Arial" w:hAnsi="Arial" w:cs="Arial"/>
          <w:sz w:val="24"/>
        </w:rPr>
        <w:t>est</w:t>
      </w:r>
      <w:r w:rsidRPr="00841D89">
        <w:rPr>
          <w:rFonts w:ascii="Arial" w:hAnsi="Arial" w:cs="Arial"/>
          <w:sz w:val="24"/>
        </w:rPr>
        <w:t xml:space="preserve"> raisonnable au sens de l’article 56(6) de la Charte et de </w:t>
      </w:r>
      <w:r w:rsidRPr="00841D89">
        <w:rPr>
          <w:rFonts w:ascii="Arial" w:hAnsi="Arial" w:cs="Arial"/>
          <w:bCs/>
          <w:sz w:val="24"/>
        </w:rPr>
        <w:t>la règle 50(2)(f) du Règlement</w:t>
      </w:r>
      <w:r w:rsidRPr="00841D89">
        <w:rPr>
          <w:rFonts w:ascii="Arial" w:hAnsi="Arial" w:cs="Arial"/>
          <w:sz w:val="24"/>
        </w:rPr>
        <w:t xml:space="preserve">. </w:t>
      </w:r>
    </w:p>
    <w:p w14:paraId="478C9FD9" w14:textId="77777777" w:rsidR="00EF41EC" w:rsidRPr="00841D89" w:rsidRDefault="00EF41EC" w:rsidP="00D02498">
      <w:pPr>
        <w:rPr>
          <w:rFonts w:ascii="Arial" w:hAnsi="Arial" w:cs="Arial"/>
          <w:b/>
          <w:sz w:val="24"/>
          <w:szCs w:val="24"/>
        </w:rPr>
      </w:pPr>
    </w:p>
    <w:p w14:paraId="731E6A59" w14:textId="7DF0E6C3" w:rsidR="00D53D8E" w:rsidRPr="00841D89" w:rsidRDefault="00D53D8E" w:rsidP="00D02498">
      <w:pPr>
        <w:rPr>
          <w:rFonts w:ascii="Arial" w:hAnsi="Arial" w:cs="Arial"/>
          <w:bCs/>
          <w:sz w:val="24"/>
          <w:szCs w:val="24"/>
        </w:rPr>
      </w:pPr>
      <w:r w:rsidRPr="00841D89">
        <w:rPr>
          <w:rFonts w:ascii="Arial" w:hAnsi="Arial" w:cs="Arial"/>
          <w:sz w:val="24"/>
        </w:rPr>
        <w:t>La Cour note que la Requête ne concerne pas une affaire qui a déjà été réglée par les Parties conformément aux principes de la Charte des Nations Unies, de l’Acte constitutif de l’Union africaine, des dispositions de la Charte ou de tout instrument juridique de l’Union africaine, ce qui la rend conforme à la règle 50(2)(g) du Règlement.</w:t>
      </w:r>
    </w:p>
    <w:p w14:paraId="711BBB2A" w14:textId="77777777" w:rsidR="00D53D8E" w:rsidRPr="00841D89" w:rsidRDefault="00D53D8E" w:rsidP="00D02498">
      <w:pPr>
        <w:rPr>
          <w:rFonts w:ascii="Arial" w:hAnsi="Arial" w:cs="Arial"/>
          <w:sz w:val="24"/>
          <w:szCs w:val="24"/>
        </w:rPr>
      </w:pPr>
      <w:bookmarkStart w:id="14" w:name="_Hlk118818812"/>
    </w:p>
    <w:p w14:paraId="5598E4CE" w14:textId="77777777" w:rsidR="00D53D8E" w:rsidRPr="00841D89" w:rsidRDefault="00D53D8E" w:rsidP="00D02498">
      <w:pPr>
        <w:rPr>
          <w:rFonts w:ascii="Arial" w:hAnsi="Arial" w:cs="Arial"/>
          <w:sz w:val="24"/>
          <w:szCs w:val="24"/>
        </w:rPr>
      </w:pPr>
      <w:bookmarkStart w:id="15" w:name="_Hlk118818866"/>
      <w:r w:rsidRPr="00841D89">
        <w:rPr>
          <w:rFonts w:ascii="Arial" w:hAnsi="Arial" w:cs="Arial"/>
          <w:sz w:val="24"/>
        </w:rPr>
        <w:t>La Cour conclut que toutes les conditions de recevabilité ont été satisfaites et déclare la Requête recevable.</w:t>
      </w:r>
    </w:p>
    <w:bookmarkEnd w:id="14"/>
    <w:bookmarkEnd w:id="15"/>
    <w:p w14:paraId="44F09983" w14:textId="37C46E1B" w:rsidR="00621475" w:rsidRPr="00841D89" w:rsidRDefault="00621475" w:rsidP="00D02498">
      <w:pPr>
        <w:rPr>
          <w:rFonts w:ascii="Arial" w:hAnsi="Arial" w:cs="Arial"/>
          <w:sz w:val="24"/>
          <w:szCs w:val="24"/>
        </w:rPr>
      </w:pPr>
    </w:p>
    <w:p w14:paraId="05C0E180" w14:textId="77777777" w:rsidR="00E86DDD" w:rsidRPr="00841D89" w:rsidRDefault="00E86DDD" w:rsidP="00D02498">
      <w:pPr>
        <w:rPr>
          <w:rFonts w:ascii="Arial" w:hAnsi="Arial" w:cs="Arial"/>
          <w:sz w:val="24"/>
          <w:szCs w:val="24"/>
        </w:rPr>
      </w:pPr>
    </w:p>
    <w:p w14:paraId="4DCB532A" w14:textId="2AD7DA35" w:rsidR="00787A1D" w:rsidRPr="00841D89" w:rsidRDefault="00787A1D" w:rsidP="00D02498">
      <w:pPr>
        <w:rPr>
          <w:rFonts w:cs="Arial"/>
        </w:rPr>
      </w:pPr>
      <w:bookmarkStart w:id="16" w:name="_Toc120945331"/>
      <w:r w:rsidRPr="00841D89">
        <w:rPr>
          <w:rFonts w:cs="Arial"/>
        </w:rPr>
        <w:t>SUR LE FOND</w:t>
      </w:r>
      <w:bookmarkEnd w:id="16"/>
    </w:p>
    <w:p w14:paraId="5D02692D" w14:textId="77777777" w:rsidR="00E86DDD" w:rsidRPr="00841D89" w:rsidRDefault="00E86DDD" w:rsidP="00D02498">
      <w:pPr>
        <w:rPr>
          <w:rFonts w:ascii="Arial" w:hAnsi="Arial" w:cs="Arial"/>
          <w:b/>
          <w:bCs/>
          <w:sz w:val="24"/>
          <w:szCs w:val="24"/>
          <w:lang w:bidi="fr-FR"/>
        </w:rPr>
      </w:pPr>
    </w:p>
    <w:p w14:paraId="0E216DFF" w14:textId="5A341FB9" w:rsidR="008B715A" w:rsidRPr="00841D89" w:rsidRDefault="008B715A" w:rsidP="00D02498">
      <w:pPr>
        <w:rPr>
          <w:rFonts w:ascii="Arial" w:eastAsia="Calibri" w:hAnsi="Arial" w:cs="Arial"/>
          <w:bCs/>
          <w:u w:color="000000"/>
          <w:bdr w:val="nil"/>
        </w:rPr>
      </w:pPr>
      <w:r w:rsidRPr="00841D89">
        <w:rPr>
          <w:rFonts w:ascii="Arial" w:hAnsi="Arial" w:cs="Arial"/>
          <w:sz w:val="24"/>
        </w:rPr>
        <w:t>Le Requérant allègue la violation des articles 2 et 7 de la Charte comme suit :</w:t>
      </w:r>
      <w:r w:rsidRPr="00841D89">
        <w:rPr>
          <w:rFonts w:ascii="Arial" w:hAnsi="Arial" w:cs="Arial"/>
          <w:sz w:val="24"/>
          <w:u w:color="000000"/>
          <w:bdr w:val="nil"/>
        </w:rPr>
        <w:t xml:space="preserve"> </w:t>
      </w:r>
    </w:p>
    <w:p w14:paraId="37F8E7CA" w14:textId="77777777" w:rsidR="00930EBA" w:rsidRPr="00841D89" w:rsidRDefault="00930EBA" w:rsidP="00D02498">
      <w:pPr>
        <w:rPr>
          <w:rFonts w:ascii="Arial" w:eastAsia="Calibri" w:hAnsi="Arial" w:cs="Arial"/>
          <w:bCs/>
          <w:color w:val="000000"/>
          <w:sz w:val="24"/>
          <w:szCs w:val="24"/>
          <w:u w:color="000000"/>
          <w:bdr w:val="nil"/>
        </w:rPr>
      </w:pPr>
    </w:p>
    <w:p w14:paraId="33857D92" w14:textId="1E5F48DD" w:rsidR="008B715A" w:rsidRPr="00841D89" w:rsidRDefault="008B715A" w:rsidP="00D02498">
      <w:pPr>
        <w:rPr>
          <w:rFonts w:ascii="Arial" w:eastAsia="Calibri" w:hAnsi="Arial" w:cs="Arial"/>
          <w:bCs/>
          <w:color w:val="000000"/>
          <w:sz w:val="24"/>
          <w:szCs w:val="24"/>
          <w:u w:color="000000"/>
          <w:bdr w:val="nil"/>
        </w:rPr>
      </w:pPr>
      <w:r w:rsidRPr="00841D89">
        <w:rPr>
          <w:rFonts w:ascii="Arial" w:hAnsi="Arial" w:cs="Arial"/>
          <w:color w:val="000000"/>
          <w:sz w:val="24"/>
          <w:u w:color="000000"/>
          <w:bdr w:val="nil"/>
        </w:rPr>
        <w:t>Il a été condamné sur la base de preuves douteuses ;</w:t>
      </w:r>
    </w:p>
    <w:p w14:paraId="5B208B6C" w14:textId="412B1106" w:rsidR="00B07F07" w:rsidRPr="00841D89" w:rsidRDefault="008B715A" w:rsidP="00D02498">
      <w:pPr>
        <w:rPr>
          <w:rFonts w:ascii="Arial" w:eastAsia="Calibri" w:hAnsi="Arial" w:cs="Arial"/>
          <w:color w:val="000000"/>
          <w:sz w:val="24"/>
          <w:szCs w:val="24"/>
          <w:u w:color="000000"/>
          <w:bdr w:val="nil"/>
        </w:rPr>
      </w:pPr>
      <w:r w:rsidRPr="00841D89">
        <w:rPr>
          <w:rFonts w:ascii="Arial" w:hAnsi="Arial" w:cs="Arial"/>
        </w:rPr>
        <w:t>L’appréciation des preuves ayant conduit à sa condamnation a été discriminatoire</w:t>
      </w:r>
      <w:r w:rsidRPr="00841D89">
        <w:rPr>
          <w:rFonts w:ascii="Arial" w:hAnsi="Arial" w:cs="Arial"/>
          <w:color w:val="000000"/>
          <w:sz w:val="24"/>
          <w:u w:color="000000"/>
          <w:bdr w:val="nil"/>
        </w:rPr>
        <w:t> </w:t>
      </w:r>
      <w:bookmarkStart w:id="17" w:name="_Hlk120047650"/>
      <w:r w:rsidRPr="00841D89">
        <w:rPr>
          <w:rFonts w:ascii="Arial" w:hAnsi="Arial" w:cs="Arial"/>
          <w:color w:val="000000"/>
          <w:sz w:val="24"/>
          <w:u w:color="000000"/>
          <w:bdr w:val="nil"/>
        </w:rPr>
        <w:t>;</w:t>
      </w:r>
      <w:bookmarkEnd w:id="17"/>
    </w:p>
    <w:p w14:paraId="014E30AA" w14:textId="77777777" w:rsidR="00B07F07" w:rsidRPr="00841D89" w:rsidRDefault="00B07F07" w:rsidP="00D02498">
      <w:pPr>
        <w:rPr>
          <w:rFonts w:ascii="Arial" w:hAnsi="Arial" w:cs="Arial"/>
        </w:rPr>
      </w:pPr>
    </w:p>
    <w:p w14:paraId="7CB76457" w14:textId="043273A9" w:rsidR="00B07F07" w:rsidRPr="00841D89" w:rsidRDefault="00E96B0B" w:rsidP="00D02498">
      <w:pPr>
        <w:rPr>
          <w:rFonts w:ascii="Arial" w:hAnsi="Arial" w:cs="Arial"/>
          <w:sz w:val="24"/>
          <w:szCs w:val="24"/>
        </w:rPr>
      </w:pPr>
      <w:bookmarkStart w:id="18" w:name="_Toc120945332"/>
      <w:bookmarkStart w:id="19" w:name="_Toc12699986"/>
      <w:bookmarkStart w:id="20" w:name="_Toc14771973"/>
      <w:bookmarkStart w:id="21" w:name="_Toc17890841"/>
      <w:bookmarkStart w:id="22" w:name="_Toc18508033"/>
      <w:bookmarkStart w:id="23" w:name="_Toc18924004"/>
      <w:bookmarkStart w:id="24" w:name="_Toc18938406"/>
      <w:bookmarkStart w:id="25" w:name="_Toc18942242"/>
      <w:bookmarkStart w:id="26" w:name="_Toc18957863"/>
      <w:bookmarkStart w:id="27" w:name="_Toc18958046"/>
      <w:bookmarkStart w:id="28" w:name="_Toc18958110"/>
      <w:bookmarkStart w:id="29" w:name="_Toc18958184"/>
      <w:bookmarkStart w:id="30" w:name="_Toc18958236"/>
      <w:bookmarkStart w:id="31" w:name="_Toc25788205"/>
      <w:bookmarkStart w:id="32" w:name="_Hlk118878687"/>
      <w:r w:rsidRPr="00841D89">
        <w:rPr>
          <w:rFonts w:ascii="Arial" w:hAnsi="Arial" w:cs="Arial"/>
          <w:sz w:val="24"/>
        </w:rPr>
        <w:t>Allégation relative à la condamnation sur la base de preuves douteuses</w:t>
      </w:r>
      <w:bookmarkEnd w:id="18"/>
      <w:r w:rsidRPr="00841D89">
        <w:rPr>
          <w:rFonts w:ascii="Arial" w:hAnsi="Arial" w:cs="Arial"/>
          <w:sz w:val="24"/>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3EB8EF6" w14:textId="77777777" w:rsidR="00B07F07" w:rsidRPr="00841D89" w:rsidRDefault="00B07F07" w:rsidP="00D02498">
      <w:pPr>
        <w:rPr>
          <w:rFonts w:ascii="Arial" w:hAnsi="Arial" w:cs="Arial"/>
        </w:rPr>
      </w:pPr>
    </w:p>
    <w:p w14:paraId="22FE2389" w14:textId="74707780" w:rsidR="00D53D8E" w:rsidRPr="00841D89" w:rsidRDefault="00D53D8E" w:rsidP="00D02498">
      <w:pPr>
        <w:rPr>
          <w:rFonts w:ascii="Arial" w:hAnsi="Arial" w:cs="Arial"/>
          <w:sz w:val="24"/>
          <w:szCs w:val="24"/>
        </w:rPr>
      </w:pPr>
      <w:bookmarkStart w:id="33" w:name="_Hlk118885195"/>
      <w:r w:rsidRPr="00841D89">
        <w:rPr>
          <w:rFonts w:ascii="Arial" w:hAnsi="Arial" w:cs="Arial"/>
          <w:sz w:val="24"/>
        </w:rPr>
        <w:lastRenderedPageBreak/>
        <w:t xml:space="preserve">Le Requérant allègue que la décision de la Cour d’appel a été entachée d’erreur, celle-ci n’ayant pas correctement examiné et évalué les preuves produites par </w:t>
      </w:r>
      <w:r w:rsidR="00C56B18">
        <w:rPr>
          <w:rFonts w:ascii="Arial" w:hAnsi="Arial" w:cs="Arial"/>
          <w:sz w:val="24"/>
        </w:rPr>
        <w:t xml:space="preserve">le témoin </w:t>
      </w:r>
      <w:r w:rsidR="00C56B18" w:rsidRPr="00C56B18">
        <w:rPr>
          <w:rFonts w:ascii="Arial" w:hAnsi="Arial" w:cs="Arial"/>
          <w:sz w:val="24"/>
        </w:rPr>
        <w:t>à</w:t>
      </w:r>
      <w:r w:rsidR="00C56B18">
        <w:rPr>
          <w:rFonts w:ascii="Arial" w:hAnsi="Arial" w:cs="Arial"/>
          <w:sz w:val="24"/>
        </w:rPr>
        <w:t xml:space="preserve"> charge </w:t>
      </w:r>
      <w:r w:rsidRPr="00841D89">
        <w:rPr>
          <w:rFonts w:ascii="Arial" w:hAnsi="Arial" w:cs="Arial"/>
          <w:sz w:val="24"/>
        </w:rPr>
        <w:t>« PW2 ». Il soutient que la Cour d’appel n’a pas pris en compte ses arguments relatifs auxdites « preuves d’identification », ce qui a entraîné un déni de justice. Le Requérant affirme donc que la Cour d’appel a violé ses droits inscrits à l’article 7 de la Charte.</w:t>
      </w:r>
    </w:p>
    <w:bookmarkEnd w:id="33"/>
    <w:p w14:paraId="0DC38967" w14:textId="748E8E45" w:rsidR="00D53D8E" w:rsidRPr="00841D89" w:rsidRDefault="00D53D8E" w:rsidP="00D02498">
      <w:pPr>
        <w:rPr>
          <w:rFonts w:ascii="Arial" w:hAnsi="Arial" w:cs="Arial"/>
          <w:sz w:val="24"/>
          <w:szCs w:val="24"/>
        </w:rPr>
      </w:pPr>
      <w:r w:rsidRPr="00841D89">
        <w:rPr>
          <w:rFonts w:ascii="Arial" w:hAnsi="Arial" w:cs="Arial"/>
          <w:sz w:val="24"/>
        </w:rPr>
        <w:t>L’État défendeur n’a pas conclu sur ce point.</w:t>
      </w:r>
    </w:p>
    <w:p w14:paraId="3883485E" w14:textId="158F0797" w:rsidR="000E584A" w:rsidRPr="00841D89" w:rsidRDefault="006B5FF2" w:rsidP="00D02498">
      <w:pPr>
        <w:rPr>
          <w:rFonts w:ascii="Arial" w:hAnsi="Arial" w:cs="Arial"/>
          <w:b/>
          <w:bCs/>
          <w:sz w:val="24"/>
          <w:szCs w:val="24"/>
        </w:rPr>
      </w:pPr>
      <w:r w:rsidRPr="00841D89">
        <w:rPr>
          <w:rFonts w:ascii="Arial" w:hAnsi="Arial" w:cs="Arial"/>
          <w:b/>
          <w:sz w:val="24"/>
        </w:rPr>
        <w:t xml:space="preserve"> </w:t>
      </w:r>
    </w:p>
    <w:p w14:paraId="553FB32B" w14:textId="6A6825E9" w:rsidR="00D53D8E" w:rsidRPr="00841D89" w:rsidRDefault="00D53D8E" w:rsidP="00D02498">
      <w:pPr>
        <w:rPr>
          <w:rFonts w:ascii="Arial" w:hAnsi="Arial" w:cs="Arial"/>
          <w:bCs/>
          <w:sz w:val="24"/>
          <w:szCs w:val="24"/>
        </w:rPr>
      </w:pPr>
      <w:r w:rsidRPr="00841D89">
        <w:rPr>
          <w:rFonts w:ascii="Arial" w:hAnsi="Arial" w:cs="Arial"/>
          <w:sz w:val="24"/>
        </w:rPr>
        <w:t>***</w:t>
      </w:r>
    </w:p>
    <w:p w14:paraId="4A66E2A5" w14:textId="77777777" w:rsidR="00D53D8E" w:rsidRPr="00841D89" w:rsidRDefault="00D53D8E" w:rsidP="00D02498">
      <w:pPr>
        <w:rPr>
          <w:rFonts w:ascii="Arial" w:hAnsi="Arial" w:cs="Arial"/>
          <w:b/>
          <w:bCs/>
          <w:sz w:val="24"/>
          <w:szCs w:val="24"/>
          <w:lang w:bidi="fr-FR"/>
        </w:rPr>
      </w:pPr>
    </w:p>
    <w:p w14:paraId="6811A264" w14:textId="2142D803" w:rsidR="00D53D8E" w:rsidRPr="00C56B18" w:rsidRDefault="00D53D8E" w:rsidP="00D02498">
      <w:pPr>
        <w:rPr>
          <w:rFonts w:ascii="Arial" w:hAnsi="Arial" w:cs="Arial"/>
          <w:sz w:val="24"/>
          <w:szCs w:val="24"/>
        </w:rPr>
      </w:pPr>
      <w:r w:rsidRPr="00841D89">
        <w:rPr>
          <w:rFonts w:ascii="Arial" w:hAnsi="Arial" w:cs="Arial"/>
          <w:sz w:val="24"/>
        </w:rPr>
        <w:t xml:space="preserve">L’article 7(1) de la Charte dispose : « Toute personne a droit </w:t>
      </w:r>
      <w:bookmarkStart w:id="34" w:name="_Hlk120886281"/>
      <w:r w:rsidRPr="00841D89">
        <w:rPr>
          <w:rFonts w:ascii="Arial" w:hAnsi="Arial" w:cs="Arial"/>
          <w:sz w:val="24"/>
        </w:rPr>
        <w:t>à</w:t>
      </w:r>
      <w:bookmarkEnd w:id="34"/>
      <w:r w:rsidRPr="00841D89">
        <w:rPr>
          <w:rFonts w:ascii="Arial" w:hAnsi="Arial" w:cs="Arial"/>
          <w:sz w:val="24"/>
        </w:rPr>
        <w:t xml:space="preserve"> ce que sa cause soit entendue … »</w:t>
      </w:r>
    </w:p>
    <w:p w14:paraId="1C65B978" w14:textId="77777777" w:rsidR="00C56B18" w:rsidRPr="00841D89" w:rsidRDefault="00C56B18" w:rsidP="00D02498">
      <w:pPr>
        <w:rPr>
          <w:rFonts w:ascii="Arial" w:hAnsi="Arial" w:cs="Arial"/>
          <w:sz w:val="24"/>
          <w:szCs w:val="24"/>
        </w:rPr>
      </w:pPr>
    </w:p>
    <w:p w14:paraId="2F6BC787" w14:textId="328B51BA" w:rsidR="00D53D8E" w:rsidRPr="00841D89" w:rsidRDefault="00D53D8E" w:rsidP="00D02498">
      <w:pPr>
        <w:rPr>
          <w:rFonts w:ascii="Arial" w:hAnsi="Arial" w:cs="Arial"/>
          <w:sz w:val="24"/>
          <w:szCs w:val="24"/>
        </w:rPr>
      </w:pPr>
      <w:r w:rsidRPr="00841D89">
        <w:rPr>
          <w:rFonts w:ascii="Arial" w:hAnsi="Arial" w:cs="Arial"/>
          <w:sz w:val="24"/>
        </w:rPr>
        <w:t>La Cour réitère sa position selon laquelle :</w:t>
      </w:r>
    </w:p>
    <w:p w14:paraId="3A8BAC85" w14:textId="77777777" w:rsidR="00D6249E" w:rsidRPr="00841D89" w:rsidRDefault="00D6249E" w:rsidP="00D02498">
      <w:pPr>
        <w:rPr>
          <w:rFonts w:ascii="Arial" w:hAnsi="Arial" w:cs="Arial"/>
          <w:lang w:bidi="fr-FR"/>
        </w:rPr>
      </w:pPr>
    </w:p>
    <w:p w14:paraId="54D241AF" w14:textId="773FB42C" w:rsidR="00D53D8E" w:rsidRPr="00841D89" w:rsidRDefault="00D53D8E" w:rsidP="00D02498">
      <w:pPr>
        <w:rPr>
          <w:rFonts w:ascii="Arial" w:hAnsi="Arial" w:cs="Arial"/>
        </w:rPr>
      </w:pPr>
      <w:r w:rsidRPr="00841D89">
        <w:rPr>
          <w:rFonts w:ascii="Arial" w:hAnsi="Arial" w:cs="Arial"/>
        </w:rPr>
        <w:t>… les juridictions nationales jouissent d’une large marge d’appréciation dans l’évaluation de la valeur probante des éléments de preuve. En tant que juridiction internationale des droits de l’homme, la Cour ne peut pas se substituer aux juridictions nationales pour examiner les détails et les particularités des preuves présentées dans les procédures internes.</w:t>
      </w:r>
      <w:r w:rsidR="001E6C8F" w:rsidRPr="00841D89">
        <w:rPr>
          <w:rStyle w:val="FootnoteReference"/>
          <w:rFonts w:ascii="Arial" w:hAnsi="Arial" w:cs="Arial"/>
          <w:lang w:bidi="fr-FR"/>
        </w:rPr>
        <w:footnoteReference w:id="12"/>
      </w:r>
      <w:r w:rsidRPr="00841D89">
        <w:rPr>
          <w:rFonts w:ascii="Arial" w:hAnsi="Arial" w:cs="Arial"/>
        </w:rPr>
        <w:t xml:space="preserve"> </w:t>
      </w:r>
    </w:p>
    <w:p w14:paraId="472E3E2F" w14:textId="77777777" w:rsidR="00394ECF" w:rsidRPr="00841D89" w:rsidRDefault="00394ECF" w:rsidP="00D02498">
      <w:pPr>
        <w:rPr>
          <w:rFonts w:ascii="Arial" w:hAnsi="Arial" w:cs="Arial"/>
          <w:sz w:val="24"/>
          <w:szCs w:val="24"/>
          <w:lang w:bidi="fr-FR"/>
        </w:rPr>
      </w:pPr>
    </w:p>
    <w:p w14:paraId="62160F20" w14:textId="1250F922" w:rsidR="00A8464E" w:rsidRPr="00841D89" w:rsidRDefault="00D53D8E" w:rsidP="00D02498">
      <w:pPr>
        <w:rPr>
          <w:rFonts w:ascii="Arial" w:hAnsi="Arial" w:cs="Arial"/>
          <w:sz w:val="24"/>
          <w:szCs w:val="24"/>
        </w:rPr>
      </w:pPr>
      <w:r w:rsidRPr="00841D89">
        <w:rPr>
          <w:rFonts w:ascii="Arial" w:hAnsi="Arial" w:cs="Arial"/>
          <w:sz w:val="24"/>
        </w:rPr>
        <w:t xml:space="preserve">Il ressort du dossier qu’en l’espèce, les juridictions nationales ont condamné le Requérant sur la base d’une preuve produite par deux (2) témoins à charge. La Cour d’appel, en statuant sur la preuve produite par </w:t>
      </w:r>
      <w:r w:rsidR="00C56B18">
        <w:rPr>
          <w:rFonts w:ascii="Arial" w:hAnsi="Arial" w:cs="Arial"/>
          <w:sz w:val="24"/>
        </w:rPr>
        <w:t xml:space="preserve">le témoin à charge </w:t>
      </w:r>
      <w:r w:rsidRPr="00841D89">
        <w:rPr>
          <w:rFonts w:ascii="Arial" w:hAnsi="Arial" w:cs="Arial"/>
          <w:sz w:val="24"/>
        </w:rPr>
        <w:t xml:space="preserve">PW2 (le fils de la défunte), s’est appuyée sur sa jurisprudence, en particulier sur l’affaire </w:t>
      </w:r>
      <w:r w:rsidRPr="00841D89">
        <w:rPr>
          <w:rFonts w:ascii="Arial" w:hAnsi="Arial" w:cs="Arial"/>
          <w:i/>
          <w:iCs/>
          <w:sz w:val="24"/>
        </w:rPr>
        <w:t>Waziri Amani c. la République</w:t>
      </w:r>
      <w:r w:rsidRPr="00841D89">
        <w:rPr>
          <w:rFonts w:ascii="Arial" w:hAnsi="Arial" w:cs="Arial"/>
          <w:sz w:val="24"/>
        </w:rPr>
        <w:t xml:space="preserve"> qui expose les directives relatives à l’identification des témoins. Au nombre des facteurs qu’un juge est tenu de prendre en compte dans l’évaluation d’une preuve d’identification figurent ce qui suit : </w:t>
      </w:r>
    </w:p>
    <w:p w14:paraId="4D0D2785" w14:textId="1137E3AD" w:rsidR="00A8464E" w:rsidRPr="00841D89" w:rsidRDefault="00A8464E" w:rsidP="00D02498">
      <w:pPr>
        <w:rPr>
          <w:rFonts w:ascii="Arial" w:hAnsi="Arial" w:cs="Arial"/>
          <w:sz w:val="24"/>
          <w:szCs w:val="24"/>
          <w:lang w:bidi="fr-FR"/>
        </w:rPr>
      </w:pPr>
    </w:p>
    <w:p w14:paraId="229C4214" w14:textId="77777777" w:rsidR="00A8464E" w:rsidRPr="00841D89" w:rsidRDefault="00A8464E" w:rsidP="00D02498">
      <w:pPr>
        <w:rPr>
          <w:rFonts w:ascii="Arial" w:hAnsi="Arial" w:cs="Arial"/>
          <w:sz w:val="24"/>
          <w:szCs w:val="24"/>
        </w:rPr>
      </w:pPr>
      <w:r w:rsidRPr="00841D89">
        <w:rPr>
          <w:rFonts w:ascii="Arial" w:hAnsi="Arial" w:cs="Arial"/>
          <w:sz w:val="24"/>
        </w:rPr>
        <w:t>La distance à partir de laquelle le témoin a observé l’incident ;</w:t>
      </w:r>
    </w:p>
    <w:p w14:paraId="3129F23F" w14:textId="77777777" w:rsidR="00A8464E" w:rsidRPr="00841D89" w:rsidRDefault="00A8464E" w:rsidP="00D02498">
      <w:pPr>
        <w:rPr>
          <w:rFonts w:ascii="Arial" w:hAnsi="Arial" w:cs="Arial"/>
          <w:sz w:val="24"/>
          <w:szCs w:val="24"/>
        </w:rPr>
      </w:pPr>
      <w:r w:rsidRPr="00841D89">
        <w:rPr>
          <w:rFonts w:ascii="Arial" w:hAnsi="Arial" w:cs="Arial"/>
          <w:sz w:val="24"/>
        </w:rPr>
        <w:t>L’heure à laquelle le crime a été observé ;</w:t>
      </w:r>
    </w:p>
    <w:p w14:paraId="3D3B632A" w14:textId="77777777" w:rsidR="00A8464E" w:rsidRPr="00841D89" w:rsidRDefault="00A8464E" w:rsidP="00D02498">
      <w:pPr>
        <w:rPr>
          <w:rFonts w:ascii="Arial" w:hAnsi="Arial" w:cs="Arial"/>
          <w:sz w:val="24"/>
          <w:szCs w:val="24"/>
        </w:rPr>
      </w:pPr>
      <w:r w:rsidRPr="00841D89">
        <w:rPr>
          <w:rFonts w:ascii="Arial" w:hAnsi="Arial" w:cs="Arial"/>
          <w:sz w:val="24"/>
        </w:rPr>
        <w:t>Les conditions dans lesquelles ces observations ont été faites, notamment l’éclairage de la scène ; et</w:t>
      </w:r>
    </w:p>
    <w:p w14:paraId="58AF397B" w14:textId="28261F0B" w:rsidR="001330DA" w:rsidRPr="00841D89" w:rsidRDefault="00A8464E" w:rsidP="00D02498">
      <w:pPr>
        <w:rPr>
          <w:rFonts w:ascii="Arial" w:hAnsi="Arial" w:cs="Arial"/>
          <w:sz w:val="24"/>
          <w:szCs w:val="24"/>
        </w:rPr>
      </w:pPr>
      <w:r w:rsidRPr="00841D89">
        <w:rPr>
          <w:rFonts w:ascii="Arial" w:hAnsi="Arial" w:cs="Arial"/>
          <w:sz w:val="24"/>
        </w:rPr>
        <w:t xml:space="preserve">Le témoin connaissait ou avait-il vu l’accusé auparavant ? </w:t>
      </w:r>
    </w:p>
    <w:p w14:paraId="03C148C5" w14:textId="77777777" w:rsidR="001D4D9A" w:rsidRPr="00841D89" w:rsidRDefault="001D4D9A" w:rsidP="00D02498">
      <w:pPr>
        <w:rPr>
          <w:rFonts w:ascii="Arial" w:hAnsi="Arial" w:cs="Arial"/>
          <w:sz w:val="24"/>
          <w:szCs w:val="24"/>
          <w:lang w:bidi="fr-FR"/>
        </w:rPr>
      </w:pPr>
    </w:p>
    <w:p w14:paraId="32B57A80" w14:textId="0946A384" w:rsidR="00D53D8E" w:rsidRPr="00841D89" w:rsidRDefault="00D53D8E" w:rsidP="00D02498">
      <w:pPr>
        <w:rPr>
          <w:rFonts w:ascii="Arial" w:hAnsi="Arial" w:cs="Arial"/>
          <w:sz w:val="24"/>
          <w:szCs w:val="24"/>
        </w:rPr>
      </w:pPr>
      <w:r w:rsidRPr="00841D89">
        <w:rPr>
          <w:rFonts w:ascii="Arial" w:hAnsi="Arial" w:cs="Arial"/>
          <w:sz w:val="24"/>
        </w:rPr>
        <w:lastRenderedPageBreak/>
        <w:t xml:space="preserve">La Cour relève que la Cour d’appel de l’État défendeur </w:t>
      </w:r>
      <w:r w:rsidR="00E704E7">
        <w:rPr>
          <w:rFonts w:ascii="Arial" w:hAnsi="Arial" w:cs="Arial"/>
          <w:sz w:val="24"/>
        </w:rPr>
        <w:t>a</w:t>
      </w:r>
      <w:r w:rsidRPr="00841D89">
        <w:rPr>
          <w:rFonts w:ascii="Arial" w:hAnsi="Arial" w:cs="Arial"/>
          <w:sz w:val="24"/>
        </w:rPr>
        <w:t xml:space="preserve"> évalué les circonstances dans lesquelles le crime a été commis ainsi que les arguments fournis par l’État défendeur et par le Requérant, qui était dûment représenté par un conseil, afin d’éliminer les éventuelles erreurs concernant l’identité de l’auteur du meurtre. La Cour d’appel a, en outre, constaté que le Requérant était présent sur le lieu du crime et que son alibi était fallacieux, qu’il était bien connu de la victime et </w:t>
      </w:r>
      <w:r w:rsidR="002B1C1E">
        <w:rPr>
          <w:rFonts w:ascii="Arial" w:hAnsi="Arial" w:cs="Arial"/>
          <w:sz w:val="24"/>
        </w:rPr>
        <w:t>de</w:t>
      </w:r>
      <w:r w:rsidRPr="00841D89">
        <w:rPr>
          <w:rFonts w:ascii="Arial" w:hAnsi="Arial" w:cs="Arial"/>
          <w:sz w:val="24"/>
        </w:rPr>
        <w:t xml:space="preserve"> PW2, qu’une torche a été utilisée lors de la commission du crime, qu’il était possible pour PW2 d’identifier le Requérant et que PW2 lui-même a été blessé par le complice du Requérant et qu’ils étaient donc à proximité immédiate. C’est sur la base des preuves produites par les témoins que les </w:t>
      </w:r>
      <w:r w:rsidR="002B1C1E">
        <w:rPr>
          <w:rFonts w:ascii="Arial" w:hAnsi="Arial" w:cs="Arial"/>
          <w:sz w:val="24"/>
        </w:rPr>
        <w:t>juridictions nationales</w:t>
      </w:r>
      <w:r w:rsidRPr="00841D89">
        <w:rPr>
          <w:rFonts w:ascii="Arial" w:hAnsi="Arial" w:cs="Arial"/>
          <w:sz w:val="24"/>
        </w:rPr>
        <w:t xml:space="preserve"> ont déclaré le Requérant coupable et l’ont condamné à mort.</w:t>
      </w:r>
    </w:p>
    <w:p w14:paraId="77295DEF" w14:textId="77777777" w:rsidR="00D53D8E" w:rsidRPr="00841D89" w:rsidRDefault="00D53D8E" w:rsidP="00D02498">
      <w:pPr>
        <w:rPr>
          <w:rFonts w:ascii="Arial" w:hAnsi="Arial" w:cs="Arial"/>
          <w:sz w:val="24"/>
          <w:szCs w:val="24"/>
          <w:lang w:bidi="fr-FR"/>
        </w:rPr>
      </w:pPr>
    </w:p>
    <w:p w14:paraId="09058713" w14:textId="77777777" w:rsidR="00D53D8E" w:rsidRPr="00841D89" w:rsidRDefault="00D53D8E" w:rsidP="00D02498">
      <w:pPr>
        <w:rPr>
          <w:rFonts w:ascii="Arial" w:hAnsi="Arial" w:cs="Arial"/>
          <w:sz w:val="24"/>
          <w:szCs w:val="24"/>
        </w:rPr>
      </w:pPr>
      <w:bookmarkStart w:id="35" w:name="_Hlk118819419"/>
      <w:r w:rsidRPr="00841D89">
        <w:rPr>
          <w:rFonts w:ascii="Arial" w:hAnsi="Arial" w:cs="Arial"/>
          <w:sz w:val="24"/>
        </w:rPr>
        <w:t>La Cour en conclut que la manière dont les juridictions nationales ont évalué les preuves relatives à l’identification du Requérant ne révèle aucune erreur manifeste et n’est pas constitutive d’un déni de justice à l’égard de celui-ci. La Cour rejette donc cette allégation.</w:t>
      </w:r>
    </w:p>
    <w:bookmarkEnd w:id="35"/>
    <w:p w14:paraId="4C381B72" w14:textId="77777777" w:rsidR="001D4D9A" w:rsidRPr="00841D89" w:rsidRDefault="001D4D9A" w:rsidP="00D02498">
      <w:pPr>
        <w:rPr>
          <w:rFonts w:ascii="Arial" w:hAnsi="Arial" w:cs="Arial"/>
        </w:rPr>
      </w:pPr>
    </w:p>
    <w:p w14:paraId="7EE780A6" w14:textId="08B9BEF3" w:rsidR="00B07F07" w:rsidRPr="00841D89" w:rsidRDefault="009309DC" w:rsidP="00D02498">
      <w:pPr>
        <w:rPr>
          <w:rFonts w:ascii="Arial" w:hAnsi="Arial" w:cs="Arial"/>
          <w:sz w:val="24"/>
          <w:szCs w:val="24"/>
        </w:rPr>
      </w:pPr>
      <w:bookmarkStart w:id="36" w:name="_Toc120945333"/>
      <w:r w:rsidRPr="00841D89">
        <w:rPr>
          <w:rFonts w:ascii="Arial" w:hAnsi="Arial" w:cs="Arial"/>
          <w:sz w:val="24"/>
        </w:rPr>
        <w:t>Allégation relative à l’appréciation discriminatoire des preuves</w:t>
      </w:r>
      <w:bookmarkEnd w:id="36"/>
      <w:r w:rsidRPr="00841D89">
        <w:rPr>
          <w:rFonts w:ascii="Arial" w:hAnsi="Arial" w:cs="Arial"/>
          <w:sz w:val="24"/>
        </w:rPr>
        <w:t xml:space="preserve"> </w:t>
      </w:r>
    </w:p>
    <w:p w14:paraId="011CFB8B" w14:textId="77777777" w:rsidR="00C41400" w:rsidRPr="00841D89" w:rsidRDefault="00C41400" w:rsidP="00D02498">
      <w:pPr>
        <w:rPr>
          <w:rFonts w:ascii="Arial" w:hAnsi="Arial" w:cs="Arial"/>
        </w:rPr>
      </w:pPr>
    </w:p>
    <w:p w14:paraId="342E38F7" w14:textId="01ADCF69" w:rsidR="000D2478" w:rsidRPr="00841D89" w:rsidRDefault="000D2478" w:rsidP="00D02498">
      <w:pPr>
        <w:rPr>
          <w:rFonts w:ascii="Arial" w:hAnsi="Arial" w:cs="Arial"/>
          <w:sz w:val="24"/>
          <w:szCs w:val="24"/>
        </w:rPr>
      </w:pPr>
      <w:r w:rsidRPr="00841D89">
        <w:rPr>
          <w:rFonts w:ascii="Arial" w:hAnsi="Arial" w:cs="Arial"/>
          <w:sz w:val="24"/>
        </w:rPr>
        <w:t>Le Requérant allègue que la manière dont la Cour d’appel est parvenue à sa condamnation en évaluant les preuves produites, a violé son droit à la non-discrimination.</w:t>
      </w:r>
    </w:p>
    <w:p w14:paraId="5BF31FDC" w14:textId="77777777" w:rsidR="000D2478" w:rsidRPr="00841D89" w:rsidRDefault="000D2478" w:rsidP="00D02498">
      <w:pPr>
        <w:rPr>
          <w:rFonts w:ascii="Arial" w:hAnsi="Arial" w:cs="Arial"/>
          <w:sz w:val="24"/>
          <w:szCs w:val="24"/>
          <w:lang w:bidi="fr-FR"/>
        </w:rPr>
      </w:pPr>
    </w:p>
    <w:p w14:paraId="7E7F9079" w14:textId="78E43F7B" w:rsidR="000D2478" w:rsidRPr="00841D89" w:rsidRDefault="000D2478" w:rsidP="00D02498">
      <w:pPr>
        <w:rPr>
          <w:rFonts w:ascii="Arial" w:hAnsi="Arial" w:cs="Arial"/>
          <w:sz w:val="24"/>
          <w:szCs w:val="24"/>
        </w:rPr>
      </w:pPr>
      <w:r w:rsidRPr="00841D89">
        <w:rPr>
          <w:rFonts w:ascii="Arial" w:hAnsi="Arial" w:cs="Arial"/>
          <w:sz w:val="24"/>
        </w:rPr>
        <w:t>L’État défendeur n’a pas conclu sur ce point.</w:t>
      </w:r>
    </w:p>
    <w:p w14:paraId="719E208B" w14:textId="6ECAC8F2" w:rsidR="000D2478" w:rsidRPr="00841D89" w:rsidRDefault="000D2478" w:rsidP="00D02498">
      <w:pPr>
        <w:rPr>
          <w:rFonts w:ascii="Arial" w:hAnsi="Arial" w:cs="Arial"/>
          <w:b/>
          <w:bCs/>
          <w:sz w:val="24"/>
          <w:szCs w:val="24"/>
          <w:lang w:bidi="fr-FR"/>
        </w:rPr>
      </w:pPr>
    </w:p>
    <w:p w14:paraId="748BE479" w14:textId="5B53C5D6" w:rsidR="000A498D" w:rsidRPr="00841D89" w:rsidRDefault="000A498D" w:rsidP="00D02498">
      <w:pPr>
        <w:rPr>
          <w:rFonts w:ascii="Arial" w:hAnsi="Arial" w:cs="Arial"/>
          <w:b/>
          <w:bCs/>
          <w:sz w:val="24"/>
          <w:szCs w:val="24"/>
        </w:rPr>
      </w:pPr>
      <w:r w:rsidRPr="00841D89">
        <w:rPr>
          <w:rFonts w:ascii="Arial" w:hAnsi="Arial" w:cs="Arial"/>
          <w:b/>
          <w:sz w:val="24"/>
        </w:rPr>
        <w:t>***</w:t>
      </w:r>
    </w:p>
    <w:p w14:paraId="3DD9D416" w14:textId="77777777" w:rsidR="000A498D" w:rsidRPr="00841D89" w:rsidRDefault="000A498D" w:rsidP="00D02498">
      <w:pPr>
        <w:rPr>
          <w:rFonts w:ascii="Arial" w:hAnsi="Arial" w:cs="Arial"/>
          <w:b/>
          <w:bCs/>
          <w:sz w:val="24"/>
          <w:szCs w:val="24"/>
          <w:lang w:bidi="fr-FR"/>
        </w:rPr>
      </w:pPr>
    </w:p>
    <w:p w14:paraId="676454F5" w14:textId="3C784BA8" w:rsidR="000D2478" w:rsidRPr="00841D89" w:rsidRDefault="00C41400" w:rsidP="00D02498">
      <w:pPr>
        <w:rPr>
          <w:rFonts w:ascii="Arial" w:hAnsi="Arial" w:cs="Arial"/>
          <w:sz w:val="24"/>
          <w:szCs w:val="24"/>
        </w:rPr>
      </w:pPr>
      <w:r w:rsidRPr="00841D89">
        <w:rPr>
          <w:rFonts w:ascii="Arial" w:hAnsi="Arial" w:cs="Arial"/>
          <w:b/>
          <w:sz w:val="24"/>
        </w:rPr>
        <w:t xml:space="preserve"> </w:t>
      </w:r>
      <w:r w:rsidRPr="00841D89">
        <w:rPr>
          <w:rFonts w:ascii="Arial" w:hAnsi="Arial" w:cs="Arial"/>
          <w:sz w:val="24"/>
        </w:rPr>
        <w:t>L’article 2 de la Charte dispose :</w:t>
      </w:r>
    </w:p>
    <w:p w14:paraId="313FBB1C" w14:textId="77777777" w:rsidR="00D6249E" w:rsidRPr="00841D89" w:rsidRDefault="00D6249E" w:rsidP="00D02498">
      <w:pPr>
        <w:rPr>
          <w:rFonts w:ascii="Arial" w:hAnsi="Arial" w:cs="Arial"/>
        </w:rPr>
      </w:pPr>
    </w:p>
    <w:p w14:paraId="0E02CCC2" w14:textId="1BB2B112" w:rsidR="000A498D" w:rsidRPr="00841D89" w:rsidRDefault="000A498D" w:rsidP="00D02498">
      <w:pPr>
        <w:rPr>
          <w:rFonts w:ascii="Arial" w:hAnsi="Arial" w:cs="Arial"/>
        </w:rPr>
      </w:pPr>
      <w:r w:rsidRPr="00841D89">
        <w:rPr>
          <w:rFonts w:ascii="Arial" w:hAnsi="Arial" w:cs="Arial"/>
        </w:rPr>
        <w:t>Toute personne a droit à la jouissance des droits et libertés reconnus et garantis dans la présente Charte sans distinction aucune, notamment de race, d’ethnie, de couleur, de sexe, de langue, de religion, d’opinion politique ou de toute autre opinion, d’origine nationale ou sociale, de fortune, de naissance ou de toute autre situation.</w:t>
      </w:r>
    </w:p>
    <w:p w14:paraId="6DFB512F" w14:textId="4FF5D678" w:rsidR="00C41400" w:rsidRPr="00841D89" w:rsidRDefault="00C41400" w:rsidP="00D02498">
      <w:pPr>
        <w:rPr>
          <w:rFonts w:ascii="Arial" w:hAnsi="Arial" w:cs="Arial"/>
          <w:b/>
          <w:bCs/>
          <w:sz w:val="24"/>
          <w:szCs w:val="24"/>
        </w:rPr>
      </w:pPr>
      <w:r w:rsidRPr="00841D89">
        <w:rPr>
          <w:rFonts w:ascii="Arial" w:hAnsi="Arial" w:cs="Arial"/>
          <w:sz w:val="24"/>
        </w:rPr>
        <w:t>La Cour fait observer qu’il incombe au Requérant de prouver les allégations formulées en l’espèce, mais ne l’a pas fait.</w:t>
      </w:r>
      <w:r w:rsidR="001F64E7" w:rsidRPr="00841D89">
        <w:rPr>
          <w:rStyle w:val="FootnoteReference"/>
          <w:rFonts w:ascii="Arial" w:hAnsi="Arial" w:cs="Arial"/>
          <w:bCs/>
          <w:sz w:val="24"/>
          <w:szCs w:val="24"/>
          <w:lang w:bidi="fr-FR"/>
        </w:rPr>
        <w:footnoteReference w:id="13"/>
      </w:r>
      <w:r w:rsidRPr="00841D89">
        <w:rPr>
          <w:rFonts w:ascii="Arial" w:hAnsi="Arial" w:cs="Arial"/>
          <w:sz w:val="24"/>
        </w:rPr>
        <w:t xml:space="preserve"> La Cour note qu’il ne ressort du dossier aucun élément qui montre que le Requérant a été l’objet d’une quelconque discrimination lors des procédures devant la Cour d’appel. La Cour </w:t>
      </w:r>
      <w:r w:rsidR="00B54A78">
        <w:rPr>
          <w:rFonts w:ascii="Arial" w:hAnsi="Arial" w:cs="Arial"/>
          <w:sz w:val="24"/>
        </w:rPr>
        <w:t xml:space="preserve">fait </w:t>
      </w:r>
      <w:r w:rsidRPr="00841D89">
        <w:rPr>
          <w:rFonts w:ascii="Arial" w:hAnsi="Arial" w:cs="Arial"/>
          <w:sz w:val="24"/>
        </w:rPr>
        <w:t>observe</w:t>
      </w:r>
      <w:r w:rsidR="00B54A78">
        <w:rPr>
          <w:rFonts w:ascii="Arial" w:hAnsi="Arial" w:cs="Arial"/>
          <w:sz w:val="24"/>
        </w:rPr>
        <w:t>r</w:t>
      </w:r>
      <w:r w:rsidRPr="00841D89">
        <w:rPr>
          <w:rFonts w:ascii="Arial" w:hAnsi="Arial" w:cs="Arial"/>
          <w:sz w:val="24"/>
        </w:rPr>
        <w:t xml:space="preserve"> que </w:t>
      </w:r>
      <w:r w:rsidRPr="00841D89">
        <w:rPr>
          <w:rFonts w:ascii="Arial" w:hAnsi="Arial" w:cs="Arial"/>
          <w:sz w:val="24"/>
        </w:rPr>
        <w:lastRenderedPageBreak/>
        <w:t>la Cour d’appel a, dans l’examen de l’affaire, appliqué le droit interne et sa jurisprudence de manière à éviter tout risque de déni de justice. La Cour estime donc que le Requérant n’a pas prouvé qu’il a été traité de manière discriminatoire et rejette en conséquence cette allégation.</w:t>
      </w:r>
    </w:p>
    <w:p w14:paraId="17A130CB" w14:textId="77777777" w:rsidR="000A498D" w:rsidRPr="00841D89" w:rsidRDefault="000A498D" w:rsidP="00D02498">
      <w:pPr>
        <w:rPr>
          <w:rFonts w:ascii="Arial" w:hAnsi="Arial" w:cs="Arial"/>
          <w:b/>
          <w:bCs/>
          <w:sz w:val="24"/>
          <w:szCs w:val="24"/>
          <w:lang w:bidi="fr-FR"/>
        </w:rPr>
      </w:pPr>
    </w:p>
    <w:p w14:paraId="23F19EC9" w14:textId="3A72C2A2" w:rsidR="000A498D" w:rsidRPr="00841D89" w:rsidRDefault="000A498D" w:rsidP="00D02498">
      <w:pPr>
        <w:rPr>
          <w:rFonts w:ascii="Arial" w:hAnsi="Arial" w:cs="Arial"/>
          <w:sz w:val="24"/>
          <w:szCs w:val="24"/>
        </w:rPr>
      </w:pPr>
      <w:r w:rsidRPr="00841D89">
        <w:rPr>
          <w:rFonts w:ascii="Arial" w:hAnsi="Arial" w:cs="Arial"/>
          <w:sz w:val="24"/>
        </w:rPr>
        <w:t>La Cour conclut que l’État défendeur n’a pas violé l’article 2 de la Charte comme allégué en l’espèce.</w:t>
      </w:r>
    </w:p>
    <w:p w14:paraId="0E81D1C9" w14:textId="77777777" w:rsidR="00B92F12" w:rsidRPr="00841D89" w:rsidRDefault="00B92F12" w:rsidP="00D02498">
      <w:pPr>
        <w:rPr>
          <w:rFonts w:ascii="Arial" w:hAnsi="Arial" w:cs="Arial"/>
          <w:b/>
          <w:bCs/>
          <w:sz w:val="24"/>
          <w:szCs w:val="24"/>
          <w:lang w:bidi="fr-FR"/>
        </w:rPr>
      </w:pPr>
    </w:p>
    <w:p w14:paraId="5FA188DB" w14:textId="62975685" w:rsidR="00B92F12" w:rsidRPr="00841D89" w:rsidRDefault="00B92F12" w:rsidP="00D02498">
      <w:pPr>
        <w:rPr>
          <w:rFonts w:ascii="Arial" w:hAnsi="Arial" w:cs="Arial"/>
          <w:b/>
          <w:bCs/>
          <w:sz w:val="24"/>
          <w:szCs w:val="24"/>
        </w:rPr>
      </w:pPr>
      <w:bookmarkStart w:id="37" w:name="_Hlk120036886"/>
      <w:r w:rsidRPr="00841D89">
        <w:rPr>
          <w:rFonts w:ascii="Arial" w:hAnsi="Arial" w:cs="Arial"/>
          <w:sz w:val="24"/>
        </w:rPr>
        <w:t>La Cour, bien que n’ayant pas conclu en l’espèce à la violation des droits du Requérant, tient, toutefois à réitérer sa conclusion dans ses arrêts antérieurs</w:t>
      </w:r>
      <w:r w:rsidRPr="00841D89">
        <w:rPr>
          <w:rStyle w:val="FootnoteReference"/>
          <w:rFonts w:ascii="Arial" w:hAnsi="Arial" w:cs="Arial"/>
          <w:bCs/>
          <w:sz w:val="24"/>
          <w:szCs w:val="24"/>
          <w:lang w:bidi="fr-FR"/>
        </w:rPr>
        <w:footnoteReference w:id="14"/>
      </w:r>
      <w:r w:rsidRPr="00841D89">
        <w:rPr>
          <w:rFonts w:ascii="Arial" w:hAnsi="Arial" w:cs="Arial"/>
          <w:sz w:val="24"/>
        </w:rPr>
        <w:t xml:space="preserve"> selon laquelle la peine de mort obligatoire constitue une violation du droit à la vie ainsi que d’autres droits consacrés dans la Charte et devrait de ce fait être </w:t>
      </w:r>
      <w:r w:rsidRPr="001427EF">
        <w:rPr>
          <w:rFonts w:ascii="Arial" w:hAnsi="Arial" w:cs="Arial"/>
          <w:sz w:val="24"/>
        </w:rPr>
        <w:t xml:space="preserve">abrogée des </w:t>
      </w:r>
      <w:r w:rsidR="00B54A78" w:rsidRPr="001427EF">
        <w:rPr>
          <w:rFonts w:ascii="Arial" w:hAnsi="Arial" w:cs="Arial"/>
          <w:sz w:val="24"/>
        </w:rPr>
        <w:t>lois</w:t>
      </w:r>
      <w:r w:rsidRPr="001427EF">
        <w:rPr>
          <w:rFonts w:ascii="Arial" w:hAnsi="Arial" w:cs="Arial"/>
          <w:sz w:val="24"/>
        </w:rPr>
        <w:t xml:space="preserve"> de l’État défendeur. En outre, l’affaire du Requérant devrait être jugée de nouveau</w:t>
      </w:r>
      <w:r w:rsidRPr="00841D89">
        <w:rPr>
          <w:rFonts w:ascii="Arial" w:hAnsi="Arial" w:cs="Arial"/>
          <w:sz w:val="24"/>
        </w:rPr>
        <w:t xml:space="preserve"> en ce qui concerne </w:t>
      </w:r>
      <w:r w:rsidR="00A00642">
        <w:rPr>
          <w:rFonts w:ascii="Arial" w:hAnsi="Arial" w:cs="Arial"/>
          <w:sz w:val="24"/>
        </w:rPr>
        <w:t>s</w:t>
      </w:r>
      <w:r w:rsidRPr="00841D89">
        <w:rPr>
          <w:rFonts w:ascii="Arial" w:hAnsi="Arial" w:cs="Arial"/>
          <w:sz w:val="24"/>
        </w:rPr>
        <w:t>a condamnation par le biais d’une procédure qui ne permet pas l’imposition obligatoire de la peine de mort et maintient la discrétion du juge.</w:t>
      </w:r>
      <w:r w:rsidR="00346E99" w:rsidRPr="00841D89">
        <w:rPr>
          <w:rStyle w:val="FootnoteReference"/>
          <w:rFonts w:ascii="Arial" w:hAnsi="Arial" w:cs="Arial"/>
          <w:sz w:val="24"/>
          <w:szCs w:val="24"/>
          <w:lang w:bidi="fr-FR"/>
        </w:rPr>
        <w:footnoteReference w:id="15"/>
      </w:r>
    </w:p>
    <w:bookmarkEnd w:id="37"/>
    <w:p w14:paraId="28A422E2" w14:textId="55A36FFD" w:rsidR="00B07F07" w:rsidRPr="00841D89" w:rsidRDefault="00B07F07" w:rsidP="00D02498">
      <w:pPr>
        <w:rPr>
          <w:rFonts w:ascii="Arial" w:hAnsi="Arial" w:cs="Arial"/>
        </w:rPr>
      </w:pPr>
    </w:p>
    <w:p w14:paraId="2B6FBEBD" w14:textId="77777777" w:rsidR="00D53D8E" w:rsidRPr="00841D89" w:rsidRDefault="00D53D8E" w:rsidP="00D02498">
      <w:pPr>
        <w:rPr>
          <w:rFonts w:ascii="Arial" w:hAnsi="Arial" w:cs="Arial"/>
        </w:rPr>
      </w:pPr>
    </w:p>
    <w:p w14:paraId="0D1525A5" w14:textId="69E744FB" w:rsidR="00787A1D" w:rsidRPr="00841D89" w:rsidRDefault="00787A1D" w:rsidP="00D02498">
      <w:pPr>
        <w:rPr>
          <w:rFonts w:cs="Arial"/>
        </w:rPr>
      </w:pPr>
      <w:bookmarkStart w:id="40" w:name="_Toc120945334"/>
      <w:r w:rsidRPr="00841D89">
        <w:rPr>
          <w:rFonts w:cs="Arial"/>
        </w:rPr>
        <w:t>SUR LES RÉPARATIONS</w:t>
      </w:r>
      <w:bookmarkEnd w:id="40"/>
    </w:p>
    <w:p w14:paraId="4446FA88" w14:textId="77777777" w:rsidR="00D6249E" w:rsidRPr="00841D89" w:rsidRDefault="00D6249E" w:rsidP="00D02498">
      <w:pPr>
        <w:rPr>
          <w:rFonts w:ascii="Arial" w:hAnsi="Arial" w:cs="Arial"/>
          <w:b/>
          <w:bCs/>
          <w:sz w:val="24"/>
          <w:szCs w:val="24"/>
          <w:lang w:bidi="fr-FR"/>
        </w:rPr>
      </w:pPr>
    </w:p>
    <w:p w14:paraId="47CD48A7" w14:textId="1B43148F" w:rsidR="00287163" w:rsidRPr="00A00642" w:rsidRDefault="00287163" w:rsidP="00D02498">
      <w:pPr>
        <w:rPr>
          <w:rFonts w:ascii="Arial" w:hAnsi="Arial" w:cs="Arial"/>
          <w:sz w:val="24"/>
          <w:szCs w:val="24"/>
        </w:rPr>
      </w:pPr>
      <w:r w:rsidRPr="00841D89">
        <w:rPr>
          <w:rFonts w:ascii="Arial" w:hAnsi="Arial" w:cs="Arial"/>
          <w:sz w:val="24"/>
        </w:rPr>
        <w:t xml:space="preserve">Le Requérant demande à la Cour de lui accorder des réparations en raison des violations qu’il a subies, d’annuler </w:t>
      </w:r>
      <w:r w:rsidR="00A00642">
        <w:rPr>
          <w:rFonts w:ascii="Arial" w:hAnsi="Arial" w:cs="Arial"/>
          <w:sz w:val="24"/>
        </w:rPr>
        <w:t>l</w:t>
      </w:r>
      <w:r w:rsidRPr="00841D89">
        <w:rPr>
          <w:rFonts w:ascii="Arial" w:hAnsi="Arial" w:cs="Arial"/>
          <w:sz w:val="24"/>
        </w:rPr>
        <w:t xml:space="preserve">a condamnation </w:t>
      </w:r>
      <w:r w:rsidR="00A00642">
        <w:rPr>
          <w:rFonts w:ascii="Arial" w:hAnsi="Arial" w:cs="Arial"/>
          <w:sz w:val="24"/>
        </w:rPr>
        <w:t>et la</w:t>
      </w:r>
      <w:r w:rsidRPr="00841D89">
        <w:rPr>
          <w:rFonts w:ascii="Arial" w:hAnsi="Arial" w:cs="Arial"/>
          <w:sz w:val="24"/>
        </w:rPr>
        <w:t xml:space="preserve"> peine</w:t>
      </w:r>
      <w:r w:rsidR="00A00642">
        <w:rPr>
          <w:rFonts w:ascii="Arial" w:hAnsi="Arial" w:cs="Arial"/>
          <w:sz w:val="24"/>
        </w:rPr>
        <w:t xml:space="preserve"> prononcées </w:t>
      </w:r>
      <w:r w:rsidR="00A00642" w:rsidRPr="00A00642">
        <w:rPr>
          <w:rFonts w:ascii="Arial" w:hAnsi="Arial" w:cs="Arial"/>
          <w:sz w:val="24"/>
        </w:rPr>
        <w:t>à</w:t>
      </w:r>
      <w:r w:rsidR="00A00642">
        <w:rPr>
          <w:rFonts w:ascii="Arial" w:hAnsi="Arial" w:cs="Arial"/>
          <w:sz w:val="24"/>
        </w:rPr>
        <w:t xml:space="preserve"> son encontre,</w:t>
      </w:r>
      <w:r w:rsidRPr="00841D89">
        <w:rPr>
          <w:rFonts w:ascii="Arial" w:hAnsi="Arial" w:cs="Arial"/>
          <w:sz w:val="24"/>
        </w:rPr>
        <w:t xml:space="preserve"> et d’ordonner sa remise en liberté.</w:t>
      </w:r>
    </w:p>
    <w:p w14:paraId="45B07BDD" w14:textId="2F3CBA8C" w:rsidR="00287163" w:rsidRPr="00841D89" w:rsidRDefault="00287163" w:rsidP="00D02498">
      <w:pPr>
        <w:rPr>
          <w:rFonts w:ascii="Arial" w:hAnsi="Arial" w:cs="Arial"/>
          <w:sz w:val="24"/>
          <w:szCs w:val="24"/>
        </w:rPr>
      </w:pPr>
      <w:r w:rsidRPr="00841D89">
        <w:rPr>
          <w:rFonts w:ascii="Arial" w:hAnsi="Arial" w:cs="Arial"/>
          <w:sz w:val="24"/>
        </w:rPr>
        <w:t>L’État défendeur demande à la Cour de rejeter la demande de réparations formulée par le Requérant.</w:t>
      </w:r>
    </w:p>
    <w:p w14:paraId="1E8C98E4" w14:textId="122D5DB8" w:rsidR="00287163" w:rsidRPr="00841D89" w:rsidRDefault="00287163" w:rsidP="00D02498">
      <w:pPr>
        <w:rPr>
          <w:rFonts w:ascii="Arial" w:hAnsi="Arial" w:cs="Arial"/>
          <w:sz w:val="24"/>
          <w:szCs w:val="24"/>
        </w:rPr>
      </w:pPr>
      <w:r w:rsidRPr="00841D89">
        <w:rPr>
          <w:rFonts w:ascii="Arial" w:hAnsi="Arial" w:cs="Arial"/>
          <w:sz w:val="24"/>
        </w:rPr>
        <w:t>***</w:t>
      </w:r>
    </w:p>
    <w:p w14:paraId="4960F3BA" w14:textId="77777777" w:rsidR="00F1160A" w:rsidRPr="001427EF" w:rsidRDefault="00F1160A" w:rsidP="00D02498">
      <w:pPr>
        <w:rPr>
          <w:rFonts w:ascii="Arial" w:hAnsi="Arial" w:cs="Arial"/>
          <w:sz w:val="20"/>
          <w:szCs w:val="24"/>
        </w:rPr>
      </w:pPr>
    </w:p>
    <w:p w14:paraId="2243CDC6" w14:textId="2E306259" w:rsidR="00287163" w:rsidRPr="00841D89" w:rsidRDefault="00287163" w:rsidP="00D02498">
      <w:pPr>
        <w:rPr>
          <w:rFonts w:ascii="Arial" w:hAnsi="Arial" w:cs="Arial"/>
          <w:sz w:val="24"/>
          <w:szCs w:val="24"/>
        </w:rPr>
      </w:pPr>
      <w:r w:rsidRPr="00841D89">
        <w:rPr>
          <w:rFonts w:ascii="Arial" w:hAnsi="Arial" w:cs="Arial"/>
          <w:sz w:val="24"/>
        </w:rPr>
        <w:t>L’article 27(1) du Protocole est libellé comme suit :</w:t>
      </w:r>
    </w:p>
    <w:p w14:paraId="3CD5927F" w14:textId="77777777" w:rsidR="00D6249E" w:rsidRPr="00841D89" w:rsidRDefault="00D6249E" w:rsidP="00D02498">
      <w:pPr>
        <w:rPr>
          <w:rFonts w:ascii="Arial" w:hAnsi="Arial" w:cs="Arial"/>
          <w:sz w:val="24"/>
          <w:szCs w:val="24"/>
        </w:rPr>
      </w:pPr>
    </w:p>
    <w:p w14:paraId="1E39F8B4" w14:textId="4D8036B1" w:rsidR="00287163" w:rsidRPr="00841D89" w:rsidRDefault="00287163" w:rsidP="00D02498">
      <w:pPr>
        <w:rPr>
          <w:rFonts w:ascii="Arial" w:hAnsi="Arial" w:cs="Arial"/>
        </w:rPr>
      </w:pPr>
      <w:r w:rsidRPr="00841D89">
        <w:rPr>
          <w:rFonts w:ascii="Arial" w:hAnsi="Arial" w:cs="Arial"/>
        </w:rPr>
        <w:t>Lorsqu’elle estime qu’il y a eu violation d’un droit de l’homme ou des peuples, la Cour ordonne toutes les mesures appropriées afin de remédier à la situation, y compris le paiement d’une juste compensation ou l’octroi d’une réparation.</w:t>
      </w:r>
    </w:p>
    <w:p w14:paraId="0722C3F7" w14:textId="77777777" w:rsidR="00287163" w:rsidRPr="001427EF" w:rsidRDefault="00287163" w:rsidP="00D02498">
      <w:pPr>
        <w:rPr>
          <w:rFonts w:ascii="Arial" w:hAnsi="Arial" w:cs="Arial"/>
          <w:sz w:val="20"/>
          <w:szCs w:val="24"/>
        </w:rPr>
      </w:pPr>
    </w:p>
    <w:p w14:paraId="6C288567" w14:textId="0475B6AB" w:rsidR="00287163" w:rsidRPr="00841D89" w:rsidRDefault="00AF5B55" w:rsidP="00D02498">
      <w:pPr>
        <w:rPr>
          <w:rFonts w:ascii="Arial" w:hAnsi="Arial" w:cs="Arial"/>
          <w:sz w:val="24"/>
          <w:szCs w:val="24"/>
        </w:rPr>
      </w:pPr>
      <w:r>
        <w:rPr>
          <w:rFonts w:ascii="Arial" w:hAnsi="Arial" w:cs="Arial"/>
          <w:sz w:val="24"/>
        </w:rPr>
        <w:lastRenderedPageBreak/>
        <w:t>En l’espèce, l</w:t>
      </w:r>
      <w:r w:rsidR="00287163" w:rsidRPr="00841D89">
        <w:rPr>
          <w:rFonts w:ascii="Arial" w:hAnsi="Arial" w:cs="Arial"/>
          <w:sz w:val="24"/>
        </w:rPr>
        <w:t>a Cour n’ayant établi aucune violation, la question de la réparation ne se pose pas. La Cour rejette donc la demande de réparations formulée par le Requérant.</w:t>
      </w:r>
    </w:p>
    <w:p w14:paraId="6A9DE23C" w14:textId="7FD99B0F" w:rsidR="00787A1D" w:rsidRPr="001427EF" w:rsidRDefault="00787A1D" w:rsidP="00D02498">
      <w:pPr>
        <w:rPr>
          <w:rFonts w:ascii="Arial" w:hAnsi="Arial" w:cs="Arial"/>
          <w:sz w:val="20"/>
          <w:szCs w:val="24"/>
        </w:rPr>
      </w:pPr>
    </w:p>
    <w:p w14:paraId="5A1E7F71" w14:textId="77777777" w:rsidR="006B5FF2" w:rsidRPr="001427EF" w:rsidRDefault="006B5FF2" w:rsidP="00D02498">
      <w:pPr>
        <w:rPr>
          <w:rFonts w:ascii="Arial" w:hAnsi="Arial" w:cs="Arial"/>
          <w:sz w:val="20"/>
          <w:szCs w:val="24"/>
        </w:rPr>
      </w:pPr>
    </w:p>
    <w:p w14:paraId="5D3E1A78" w14:textId="1DB21C24" w:rsidR="00850733" w:rsidRPr="00841D89" w:rsidRDefault="00850733" w:rsidP="00D02498">
      <w:pPr>
        <w:rPr>
          <w:rFonts w:cs="Arial"/>
        </w:rPr>
      </w:pPr>
      <w:bookmarkStart w:id="41" w:name="_Toc120945335"/>
      <w:r w:rsidRPr="00841D89">
        <w:rPr>
          <w:rFonts w:cs="Arial"/>
        </w:rPr>
        <w:t>SUR LES FRAIS DE PROCÉDURE</w:t>
      </w:r>
      <w:bookmarkEnd w:id="41"/>
    </w:p>
    <w:p w14:paraId="328A4C4E" w14:textId="77777777" w:rsidR="00850733" w:rsidRPr="001427EF" w:rsidRDefault="00850733" w:rsidP="00D02498">
      <w:pPr>
        <w:rPr>
          <w:rFonts w:ascii="Arial" w:hAnsi="Arial" w:cs="Arial"/>
          <w:sz w:val="20"/>
          <w:szCs w:val="24"/>
        </w:rPr>
      </w:pPr>
    </w:p>
    <w:p w14:paraId="7E9E1696" w14:textId="77777777" w:rsidR="00850733" w:rsidRPr="00841D89" w:rsidRDefault="007A23FE" w:rsidP="00D02498">
      <w:pPr>
        <w:rPr>
          <w:rFonts w:ascii="Arial" w:hAnsi="Arial" w:cs="Arial"/>
          <w:sz w:val="24"/>
          <w:szCs w:val="24"/>
        </w:rPr>
      </w:pPr>
      <w:r w:rsidRPr="00841D89">
        <w:rPr>
          <w:rFonts w:ascii="Arial" w:hAnsi="Arial" w:cs="Arial"/>
          <w:sz w:val="24"/>
        </w:rPr>
        <w:t xml:space="preserve">Le Parties n’ont pas soumis d’observations sur les frais de procédure. </w:t>
      </w:r>
    </w:p>
    <w:p w14:paraId="11D578EC" w14:textId="77777777" w:rsidR="0003668F" w:rsidRPr="001427EF" w:rsidRDefault="0003668F" w:rsidP="00D02498">
      <w:pPr>
        <w:rPr>
          <w:rFonts w:ascii="Arial" w:hAnsi="Arial" w:cs="Arial"/>
          <w:sz w:val="20"/>
          <w:szCs w:val="24"/>
        </w:rPr>
      </w:pPr>
    </w:p>
    <w:p w14:paraId="458CB619" w14:textId="77777777" w:rsidR="00850733" w:rsidRPr="00841D89" w:rsidRDefault="00850733" w:rsidP="00D02498">
      <w:pPr>
        <w:rPr>
          <w:rFonts w:ascii="Arial" w:hAnsi="Arial" w:cs="Arial"/>
          <w:b/>
          <w:sz w:val="24"/>
          <w:szCs w:val="24"/>
        </w:rPr>
      </w:pPr>
      <w:r w:rsidRPr="00841D89">
        <w:rPr>
          <w:rFonts w:ascii="Arial" w:hAnsi="Arial" w:cs="Arial"/>
          <w:b/>
          <w:sz w:val="24"/>
        </w:rPr>
        <w:t>***</w:t>
      </w:r>
    </w:p>
    <w:p w14:paraId="26B62220" w14:textId="77777777" w:rsidR="00704E54" w:rsidRPr="001427EF" w:rsidRDefault="00704E54" w:rsidP="00D02498">
      <w:pPr>
        <w:rPr>
          <w:rFonts w:ascii="Arial" w:hAnsi="Arial" w:cs="Arial"/>
          <w:sz w:val="20"/>
          <w:szCs w:val="24"/>
        </w:rPr>
      </w:pPr>
    </w:p>
    <w:p w14:paraId="2ECB6B78" w14:textId="37FAAC70" w:rsidR="00F95DDD" w:rsidRPr="00841D89" w:rsidRDefault="00A20BF5" w:rsidP="00D02498">
      <w:pPr>
        <w:rPr>
          <w:rFonts w:ascii="Arial" w:hAnsi="Arial" w:cs="Arial"/>
          <w:sz w:val="24"/>
          <w:szCs w:val="24"/>
        </w:rPr>
      </w:pPr>
      <w:r w:rsidRPr="00841D89">
        <w:rPr>
          <w:rFonts w:ascii="Arial" w:hAnsi="Arial" w:cs="Arial"/>
          <w:sz w:val="24"/>
        </w:rPr>
        <w:t xml:space="preserve">La Cour rappelle qu’aux termes de la règle 32(2) de son Règlement intérieur, « à moins que la Cour n’en décide autrement, chaque partie supporte ses frais ». </w:t>
      </w:r>
    </w:p>
    <w:p w14:paraId="0980FC69" w14:textId="77777777" w:rsidR="003D79D4" w:rsidRPr="001427EF" w:rsidRDefault="003D79D4" w:rsidP="00D02498">
      <w:pPr>
        <w:rPr>
          <w:rFonts w:ascii="Arial" w:hAnsi="Arial" w:cs="Arial"/>
          <w:sz w:val="20"/>
          <w:szCs w:val="24"/>
        </w:rPr>
      </w:pPr>
    </w:p>
    <w:p w14:paraId="2639E79C" w14:textId="2BCD44CC" w:rsidR="003C7D04" w:rsidRPr="000C0442" w:rsidRDefault="003D79D4" w:rsidP="00D02498">
      <w:pPr>
        <w:rPr>
          <w:rFonts w:ascii="Arial" w:hAnsi="Arial" w:cs="Arial"/>
          <w:sz w:val="24"/>
        </w:rPr>
      </w:pPr>
      <w:r w:rsidRPr="00841D89">
        <w:rPr>
          <w:rFonts w:ascii="Arial" w:hAnsi="Arial" w:cs="Arial"/>
          <w:sz w:val="24"/>
        </w:rPr>
        <w:t xml:space="preserve"> </w:t>
      </w:r>
      <w:r w:rsidRPr="000C0442">
        <w:rPr>
          <w:rFonts w:ascii="Arial" w:hAnsi="Arial" w:cs="Arial"/>
          <w:sz w:val="24"/>
        </w:rPr>
        <w:t>En conséquence, la Cour ordonne que chaque Partie supporte ses frais de procédure.</w:t>
      </w:r>
    </w:p>
    <w:p w14:paraId="51F9866E" w14:textId="77777777" w:rsidR="003D79D4" w:rsidRPr="001427EF" w:rsidRDefault="003D79D4" w:rsidP="00D02498">
      <w:pPr>
        <w:rPr>
          <w:rFonts w:ascii="Arial" w:hAnsi="Arial" w:cs="Arial"/>
          <w:sz w:val="20"/>
          <w:szCs w:val="24"/>
        </w:rPr>
      </w:pPr>
    </w:p>
    <w:p w14:paraId="1677249D" w14:textId="77777777" w:rsidR="006E0F2E" w:rsidRPr="001427EF" w:rsidRDefault="006E0F2E" w:rsidP="00D02498">
      <w:pPr>
        <w:rPr>
          <w:rFonts w:ascii="Arial" w:hAnsi="Arial" w:cs="Arial"/>
          <w:sz w:val="20"/>
          <w:szCs w:val="24"/>
        </w:rPr>
      </w:pPr>
    </w:p>
    <w:p w14:paraId="73C465D0" w14:textId="3B5E218D" w:rsidR="00CE6527" w:rsidRPr="00841D89" w:rsidRDefault="00CE6527" w:rsidP="00D02498">
      <w:pPr>
        <w:rPr>
          <w:rFonts w:cs="Arial"/>
        </w:rPr>
      </w:pPr>
      <w:bookmarkStart w:id="42" w:name="_Toc120945336"/>
      <w:r w:rsidRPr="00841D89">
        <w:rPr>
          <w:rFonts w:cs="Arial"/>
        </w:rPr>
        <w:t>DISPOSITIF</w:t>
      </w:r>
      <w:bookmarkEnd w:id="42"/>
      <w:r w:rsidRPr="00841D89">
        <w:rPr>
          <w:rFonts w:cs="Arial"/>
        </w:rPr>
        <w:t xml:space="preserve"> </w:t>
      </w:r>
    </w:p>
    <w:p w14:paraId="5082C10A" w14:textId="77777777" w:rsidR="00ED6238" w:rsidRPr="001427EF" w:rsidRDefault="00ED6238" w:rsidP="00D02498">
      <w:pPr>
        <w:rPr>
          <w:rFonts w:ascii="Arial" w:hAnsi="Arial" w:cs="Arial"/>
          <w:sz w:val="20"/>
          <w:szCs w:val="24"/>
        </w:rPr>
      </w:pPr>
    </w:p>
    <w:p w14:paraId="43348CCD" w14:textId="77777777" w:rsidR="00A1287A" w:rsidRPr="00841D89" w:rsidRDefault="00CE6527" w:rsidP="00D02498">
      <w:pPr>
        <w:rPr>
          <w:rFonts w:ascii="Arial" w:hAnsi="Arial" w:cs="Arial"/>
          <w:sz w:val="24"/>
          <w:szCs w:val="24"/>
        </w:rPr>
      </w:pPr>
      <w:r w:rsidRPr="00841D89">
        <w:rPr>
          <w:rFonts w:ascii="Arial" w:hAnsi="Arial" w:cs="Arial"/>
          <w:sz w:val="24"/>
        </w:rPr>
        <w:t xml:space="preserve">Par ces motifs, </w:t>
      </w:r>
    </w:p>
    <w:p w14:paraId="520A6B17" w14:textId="77777777" w:rsidR="001112CB" w:rsidRPr="001427EF" w:rsidRDefault="001112CB" w:rsidP="00D02498">
      <w:pPr>
        <w:rPr>
          <w:rFonts w:ascii="Arial" w:hAnsi="Arial" w:cs="Arial"/>
          <w:sz w:val="20"/>
          <w:szCs w:val="24"/>
        </w:rPr>
      </w:pPr>
    </w:p>
    <w:p w14:paraId="74BB2A4B" w14:textId="77777777" w:rsidR="00CE6527" w:rsidRPr="00841D89" w:rsidRDefault="00CE6527" w:rsidP="00D02498">
      <w:pPr>
        <w:rPr>
          <w:rFonts w:ascii="Arial" w:hAnsi="Arial" w:cs="Arial"/>
          <w:sz w:val="24"/>
          <w:szCs w:val="24"/>
        </w:rPr>
      </w:pPr>
      <w:r w:rsidRPr="00841D89">
        <w:rPr>
          <w:rFonts w:ascii="Arial" w:hAnsi="Arial" w:cs="Arial"/>
          <w:sz w:val="24"/>
        </w:rPr>
        <w:t xml:space="preserve">LA COUR </w:t>
      </w:r>
    </w:p>
    <w:p w14:paraId="223C20E3" w14:textId="22836D89" w:rsidR="007A23FE" w:rsidRPr="001427EF" w:rsidRDefault="007A23FE" w:rsidP="00D02498">
      <w:pPr>
        <w:rPr>
          <w:rFonts w:ascii="Arial" w:hAnsi="Arial" w:cs="Arial"/>
          <w:sz w:val="20"/>
          <w:szCs w:val="24"/>
        </w:rPr>
      </w:pPr>
    </w:p>
    <w:p w14:paraId="270DE016" w14:textId="75D09E53" w:rsidR="009040C8" w:rsidRPr="00841D89" w:rsidRDefault="00287163" w:rsidP="00D02498">
      <w:pPr>
        <w:rPr>
          <w:rFonts w:ascii="Arial" w:hAnsi="Arial" w:cs="Arial"/>
          <w:i/>
          <w:sz w:val="24"/>
          <w:szCs w:val="24"/>
        </w:rPr>
      </w:pPr>
      <w:r w:rsidRPr="00841D89">
        <w:rPr>
          <w:rFonts w:ascii="Arial" w:hAnsi="Arial" w:cs="Arial"/>
          <w:i/>
          <w:sz w:val="24"/>
        </w:rPr>
        <w:t>Sur la compétence</w:t>
      </w:r>
    </w:p>
    <w:p w14:paraId="5B80B9F6" w14:textId="77777777" w:rsidR="007F171E" w:rsidRPr="001427EF" w:rsidRDefault="007F171E" w:rsidP="00D02498">
      <w:pPr>
        <w:rPr>
          <w:rFonts w:ascii="Arial" w:hAnsi="Arial" w:cs="Arial"/>
          <w:sz w:val="20"/>
          <w:szCs w:val="24"/>
        </w:rPr>
      </w:pPr>
    </w:p>
    <w:p w14:paraId="5F56BD07" w14:textId="329A10BC" w:rsidR="009309DC" w:rsidRPr="00841D89" w:rsidRDefault="009309DC" w:rsidP="00D02498">
      <w:pPr>
        <w:rPr>
          <w:rFonts w:ascii="Arial" w:hAnsi="Arial" w:cs="Arial"/>
          <w:bCs/>
          <w:i/>
          <w:sz w:val="24"/>
          <w:szCs w:val="24"/>
        </w:rPr>
      </w:pPr>
      <w:r w:rsidRPr="00841D89">
        <w:rPr>
          <w:rFonts w:ascii="Arial" w:hAnsi="Arial" w:cs="Arial"/>
          <w:i/>
          <w:sz w:val="24"/>
        </w:rPr>
        <w:t>À l’unanimité,</w:t>
      </w:r>
    </w:p>
    <w:p w14:paraId="0715EFC6" w14:textId="77777777" w:rsidR="009040C8" w:rsidRPr="001427EF" w:rsidRDefault="009040C8" w:rsidP="00D02498">
      <w:pPr>
        <w:rPr>
          <w:rFonts w:ascii="Arial" w:hAnsi="Arial" w:cs="Arial"/>
          <w:sz w:val="20"/>
          <w:szCs w:val="24"/>
        </w:rPr>
      </w:pPr>
    </w:p>
    <w:p w14:paraId="17EF6D9C" w14:textId="636FF7DE" w:rsidR="00287163" w:rsidRPr="00841D89" w:rsidRDefault="00CE6527" w:rsidP="00D02498">
      <w:pPr>
        <w:rPr>
          <w:rFonts w:ascii="Arial" w:hAnsi="Arial" w:cs="Arial"/>
          <w:sz w:val="24"/>
          <w:szCs w:val="24"/>
        </w:rPr>
      </w:pPr>
      <w:r w:rsidRPr="00841D89">
        <w:rPr>
          <w:rFonts w:ascii="Arial" w:hAnsi="Arial" w:cs="Arial"/>
          <w:i/>
          <w:sz w:val="24"/>
        </w:rPr>
        <w:t>Dit</w:t>
      </w:r>
      <w:r w:rsidRPr="00841D89">
        <w:rPr>
          <w:rFonts w:ascii="Arial" w:hAnsi="Arial" w:cs="Arial"/>
          <w:sz w:val="24"/>
        </w:rPr>
        <w:t xml:space="preserve"> qu’elle est compétente ;</w:t>
      </w:r>
    </w:p>
    <w:p w14:paraId="5B8B942F" w14:textId="77777777" w:rsidR="00F1160A" w:rsidRPr="001427EF" w:rsidRDefault="00F1160A" w:rsidP="00D02498">
      <w:pPr>
        <w:rPr>
          <w:rFonts w:ascii="Arial" w:hAnsi="Arial" w:cs="Arial"/>
          <w:sz w:val="20"/>
          <w:szCs w:val="24"/>
        </w:rPr>
      </w:pPr>
    </w:p>
    <w:p w14:paraId="222108D7" w14:textId="51DBAD1C" w:rsidR="009040C8" w:rsidRPr="00841D89" w:rsidRDefault="00287163" w:rsidP="00D02498">
      <w:pPr>
        <w:rPr>
          <w:rFonts w:ascii="Arial" w:hAnsi="Arial" w:cs="Arial"/>
          <w:iCs/>
          <w:sz w:val="24"/>
          <w:szCs w:val="24"/>
        </w:rPr>
      </w:pPr>
      <w:r w:rsidRPr="00841D89">
        <w:rPr>
          <w:rFonts w:ascii="Arial" w:hAnsi="Arial" w:cs="Arial"/>
          <w:i/>
          <w:sz w:val="24"/>
        </w:rPr>
        <w:t>Sur la recevabilité</w:t>
      </w:r>
    </w:p>
    <w:p w14:paraId="02A31DF2" w14:textId="77777777" w:rsidR="00671A60" w:rsidRPr="001427EF" w:rsidRDefault="00671A60" w:rsidP="00D02498">
      <w:pPr>
        <w:rPr>
          <w:rFonts w:ascii="Arial" w:hAnsi="Arial" w:cs="Arial"/>
          <w:sz w:val="20"/>
          <w:szCs w:val="24"/>
        </w:rPr>
      </w:pPr>
    </w:p>
    <w:p w14:paraId="4D150DA4" w14:textId="5837A385" w:rsidR="00B82D02" w:rsidRPr="00841D89" w:rsidRDefault="00175DA8" w:rsidP="00D02498">
      <w:pPr>
        <w:rPr>
          <w:rFonts w:ascii="Arial" w:eastAsia="Calibri" w:hAnsi="Arial" w:cs="Arial"/>
          <w:bCs/>
          <w:i/>
          <w:sz w:val="24"/>
          <w:szCs w:val="24"/>
        </w:rPr>
      </w:pPr>
      <w:r w:rsidRPr="00841D89">
        <w:rPr>
          <w:rFonts w:ascii="Arial" w:hAnsi="Arial" w:cs="Arial"/>
          <w:i/>
          <w:sz w:val="24"/>
        </w:rPr>
        <w:t xml:space="preserve">À </w:t>
      </w:r>
      <w:r w:rsidR="00B82D02" w:rsidRPr="00841D89">
        <w:rPr>
          <w:rFonts w:ascii="Arial" w:hAnsi="Arial" w:cs="Arial"/>
          <w:i/>
          <w:sz w:val="24"/>
        </w:rPr>
        <w:t>la majorité de sept (7) voix pour et trois (3) voix contre, les Juges Ben KIOKO, Tujilane R. CHIZUMILA et Dennis D. ADJEI, ayant émis une opinion dissidente,</w:t>
      </w:r>
    </w:p>
    <w:p w14:paraId="67D7A718" w14:textId="77777777" w:rsidR="009040C8" w:rsidRPr="001427EF" w:rsidRDefault="009040C8" w:rsidP="00D02498">
      <w:pPr>
        <w:rPr>
          <w:rFonts w:ascii="Arial" w:hAnsi="Arial" w:cs="Arial"/>
          <w:sz w:val="20"/>
          <w:szCs w:val="24"/>
        </w:rPr>
      </w:pPr>
    </w:p>
    <w:p w14:paraId="36758D04" w14:textId="5984EAB8" w:rsidR="007A23FE" w:rsidRPr="00841D89" w:rsidRDefault="007A23FE" w:rsidP="00D02498">
      <w:pPr>
        <w:rPr>
          <w:rFonts w:ascii="Arial" w:hAnsi="Arial" w:cs="Arial"/>
          <w:sz w:val="24"/>
          <w:szCs w:val="24"/>
        </w:rPr>
      </w:pPr>
      <w:bookmarkStart w:id="43" w:name="_Hlk118819603"/>
      <w:r w:rsidRPr="00841D89">
        <w:rPr>
          <w:rFonts w:ascii="Arial" w:hAnsi="Arial" w:cs="Arial"/>
          <w:i/>
          <w:sz w:val="24"/>
        </w:rPr>
        <w:t xml:space="preserve">Déclare </w:t>
      </w:r>
      <w:r w:rsidRPr="00841D89">
        <w:rPr>
          <w:rFonts w:ascii="Arial" w:hAnsi="Arial" w:cs="Arial"/>
          <w:sz w:val="24"/>
        </w:rPr>
        <w:t>la Requête recevable.</w:t>
      </w:r>
    </w:p>
    <w:p w14:paraId="0EC6107D" w14:textId="6C8B6FF6" w:rsidR="00287163" w:rsidRPr="001427EF" w:rsidRDefault="00287163" w:rsidP="00D02498">
      <w:pPr>
        <w:rPr>
          <w:rFonts w:ascii="Arial" w:hAnsi="Arial" w:cs="Arial"/>
          <w:sz w:val="20"/>
          <w:szCs w:val="24"/>
        </w:rPr>
      </w:pPr>
    </w:p>
    <w:p w14:paraId="3C5330DF" w14:textId="2824BE70" w:rsidR="00287163" w:rsidRPr="00841D89" w:rsidRDefault="00287163" w:rsidP="00D02498">
      <w:pPr>
        <w:rPr>
          <w:rFonts w:ascii="Arial" w:hAnsi="Arial" w:cs="Arial"/>
          <w:i/>
          <w:iCs/>
          <w:sz w:val="24"/>
        </w:rPr>
      </w:pPr>
      <w:r w:rsidRPr="00841D89">
        <w:rPr>
          <w:rFonts w:ascii="Arial" w:hAnsi="Arial" w:cs="Arial"/>
          <w:i/>
          <w:sz w:val="24"/>
        </w:rPr>
        <w:t>Sur le fond</w:t>
      </w:r>
    </w:p>
    <w:p w14:paraId="24AA878F" w14:textId="77777777" w:rsidR="007F171E" w:rsidRPr="001427EF" w:rsidRDefault="007F171E" w:rsidP="00D02498">
      <w:pPr>
        <w:rPr>
          <w:rFonts w:ascii="Arial" w:hAnsi="Arial" w:cs="Arial"/>
          <w:sz w:val="20"/>
          <w:szCs w:val="24"/>
        </w:rPr>
      </w:pPr>
    </w:p>
    <w:p w14:paraId="78445CEB" w14:textId="3D86758B" w:rsidR="00C915FB" w:rsidRPr="00841D89" w:rsidRDefault="002019DA" w:rsidP="00D02498">
      <w:pPr>
        <w:rPr>
          <w:rFonts w:ascii="Arial" w:hAnsi="Arial" w:cs="Arial"/>
          <w:i/>
          <w:sz w:val="24"/>
          <w:szCs w:val="24"/>
        </w:rPr>
      </w:pPr>
      <w:r w:rsidRPr="00841D89">
        <w:rPr>
          <w:rFonts w:ascii="Arial" w:hAnsi="Arial" w:cs="Arial"/>
          <w:i/>
          <w:sz w:val="24"/>
        </w:rPr>
        <w:t>À l’unanimité,</w:t>
      </w:r>
    </w:p>
    <w:p w14:paraId="427F2DCB" w14:textId="77777777" w:rsidR="007F171E" w:rsidRPr="001427EF" w:rsidRDefault="007F171E" w:rsidP="00D02498">
      <w:pPr>
        <w:rPr>
          <w:rFonts w:ascii="Arial" w:hAnsi="Arial" w:cs="Arial"/>
          <w:sz w:val="20"/>
          <w:szCs w:val="24"/>
        </w:rPr>
      </w:pPr>
    </w:p>
    <w:p w14:paraId="50C8F17F" w14:textId="11AD0779" w:rsidR="00287163" w:rsidRPr="00841D89" w:rsidRDefault="00287163" w:rsidP="00D02498">
      <w:pPr>
        <w:rPr>
          <w:rFonts w:ascii="Arial" w:hAnsi="Arial" w:cs="Arial"/>
          <w:sz w:val="28"/>
          <w:szCs w:val="28"/>
        </w:rPr>
      </w:pPr>
      <w:bookmarkStart w:id="44" w:name="_Hlk118819764"/>
      <w:r w:rsidRPr="00841D89">
        <w:rPr>
          <w:rFonts w:ascii="Arial" w:hAnsi="Arial" w:cs="Arial"/>
          <w:bCs/>
          <w:i/>
          <w:iCs/>
          <w:sz w:val="24"/>
          <w:szCs w:val="24"/>
        </w:rPr>
        <w:t>Dit</w:t>
      </w:r>
      <w:r w:rsidRPr="00841D89">
        <w:rPr>
          <w:rFonts w:ascii="Arial" w:hAnsi="Arial" w:cs="Arial"/>
          <w:bCs/>
          <w:sz w:val="24"/>
          <w:szCs w:val="24"/>
        </w:rPr>
        <w:t xml:space="preserve"> que </w:t>
      </w:r>
      <w:bookmarkStart w:id="45" w:name="_Hlk118886141"/>
      <w:r w:rsidRPr="00841D89">
        <w:rPr>
          <w:rFonts w:ascii="Arial" w:hAnsi="Arial" w:cs="Arial"/>
          <w:bCs/>
          <w:sz w:val="24"/>
          <w:szCs w:val="24"/>
        </w:rPr>
        <w:t>l’État défendeur n’a pas violé le droit à un procès équitable, inscrit à l’article 7(1) de la Charte, du fait de l’appréciation des éléments de preuve ;</w:t>
      </w:r>
      <w:bookmarkEnd w:id="45"/>
    </w:p>
    <w:p w14:paraId="3CA459F0" w14:textId="6E1C4829" w:rsidR="00692453" w:rsidRPr="00841D89" w:rsidRDefault="00692453" w:rsidP="00D02498">
      <w:pPr>
        <w:rPr>
          <w:rFonts w:ascii="Arial" w:hAnsi="Arial" w:cs="Arial"/>
          <w:sz w:val="24"/>
          <w:szCs w:val="24"/>
        </w:rPr>
      </w:pPr>
      <w:r w:rsidRPr="00841D89">
        <w:rPr>
          <w:rFonts w:ascii="Arial" w:hAnsi="Arial" w:cs="Arial"/>
          <w:bCs/>
          <w:i/>
          <w:iCs/>
          <w:sz w:val="24"/>
        </w:rPr>
        <w:t>Dit</w:t>
      </w:r>
      <w:r w:rsidRPr="00841D89">
        <w:rPr>
          <w:rFonts w:ascii="Arial" w:hAnsi="Arial" w:cs="Arial"/>
          <w:bCs/>
          <w:sz w:val="24"/>
        </w:rPr>
        <w:t xml:space="preserve"> que l’État défendeur n’a pas violé le droit à la non-discrimination, inscrit à l’article 2 de la Charte, lorsqu’il a rendu sa décision ;</w:t>
      </w:r>
    </w:p>
    <w:p w14:paraId="63C5348B" w14:textId="77777777" w:rsidR="00287163" w:rsidRPr="001427EF" w:rsidRDefault="00287163" w:rsidP="00D02498">
      <w:pPr>
        <w:rPr>
          <w:rFonts w:ascii="Arial" w:hAnsi="Arial" w:cs="Arial"/>
          <w:sz w:val="20"/>
          <w:szCs w:val="24"/>
        </w:rPr>
      </w:pPr>
    </w:p>
    <w:p w14:paraId="4B3C6360" w14:textId="411568B6" w:rsidR="00287163" w:rsidRPr="00841D89" w:rsidRDefault="00287163" w:rsidP="00D02498">
      <w:pPr>
        <w:rPr>
          <w:rFonts w:ascii="Arial" w:hAnsi="Arial" w:cs="Arial"/>
          <w:i/>
          <w:iCs/>
          <w:sz w:val="24"/>
        </w:rPr>
      </w:pPr>
      <w:r w:rsidRPr="00841D89">
        <w:rPr>
          <w:rFonts w:ascii="Arial" w:hAnsi="Arial" w:cs="Arial"/>
          <w:i/>
          <w:sz w:val="24"/>
        </w:rPr>
        <w:t>Sur les réparations</w:t>
      </w:r>
    </w:p>
    <w:p w14:paraId="132E3BA6" w14:textId="77777777" w:rsidR="00C915FB" w:rsidRPr="00841D89" w:rsidRDefault="00C915FB" w:rsidP="00D02498">
      <w:pPr>
        <w:rPr>
          <w:rFonts w:ascii="Arial" w:hAnsi="Arial" w:cs="Arial"/>
          <w:sz w:val="24"/>
          <w:szCs w:val="24"/>
        </w:rPr>
      </w:pPr>
    </w:p>
    <w:p w14:paraId="4CA1A604" w14:textId="397DD96C" w:rsidR="00287163" w:rsidRPr="00841D89" w:rsidRDefault="00287163" w:rsidP="00D02498">
      <w:pPr>
        <w:rPr>
          <w:rFonts w:ascii="Arial" w:hAnsi="Arial" w:cs="Arial"/>
          <w:sz w:val="24"/>
          <w:szCs w:val="24"/>
        </w:rPr>
      </w:pPr>
      <w:r w:rsidRPr="00841D89">
        <w:rPr>
          <w:rFonts w:ascii="Arial" w:hAnsi="Arial" w:cs="Arial"/>
          <w:i/>
          <w:iCs/>
          <w:sz w:val="24"/>
        </w:rPr>
        <w:t>Rejette</w:t>
      </w:r>
      <w:r w:rsidRPr="00841D89">
        <w:rPr>
          <w:rFonts w:ascii="Arial" w:hAnsi="Arial" w:cs="Arial"/>
          <w:sz w:val="24"/>
        </w:rPr>
        <w:t xml:space="preserve"> la demande de réparations formulée par le Requérant.</w:t>
      </w:r>
    </w:p>
    <w:bookmarkEnd w:id="43"/>
    <w:bookmarkEnd w:id="44"/>
    <w:p w14:paraId="7A69B6A2" w14:textId="77777777" w:rsidR="00A263C3" w:rsidRPr="00841D89" w:rsidRDefault="00A263C3" w:rsidP="00D02498">
      <w:pPr>
        <w:rPr>
          <w:rFonts w:ascii="Arial" w:hAnsi="Arial" w:cs="Arial"/>
          <w:sz w:val="24"/>
          <w:szCs w:val="24"/>
        </w:rPr>
      </w:pPr>
    </w:p>
    <w:p w14:paraId="24193A3D" w14:textId="65D080A7" w:rsidR="00C915FB" w:rsidRPr="00841D89" w:rsidRDefault="00287163" w:rsidP="00D02498">
      <w:pPr>
        <w:rPr>
          <w:rFonts w:ascii="Arial" w:hAnsi="Arial" w:cs="Arial"/>
          <w:bCs/>
          <w:i/>
          <w:sz w:val="24"/>
          <w:szCs w:val="24"/>
        </w:rPr>
      </w:pPr>
      <w:r w:rsidRPr="00841D89">
        <w:rPr>
          <w:rFonts w:ascii="Arial" w:hAnsi="Arial" w:cs="Arial"/>
          <w:i/>
          <w:sz w:val="24"/>
        </w:rPr>
        <w:t>Sur les frais de procédure</w:t>
      </w:r>
    </w:p>
    <w:p w14:paraId="56C2D50B" w14:textId="77777777" w:rsidR="009040C8" w:rsidRPr="00841D89" w:rsidRDefault="009040C8" w:rsidP="00D02498">
      <w:pPr>
        <w:rPr>
          <w:rFonts w:ascii="Arial" w:hAnsi="Arial" w:cs="Arial"/>
          <w:b/>
          <w:bCs/>
          <w:sz w:val="24"/>
          <w:szCs w:val="24"/>
        </w:rPr>
      </w:pPr>
    </w:p>
    <w:p w14:paraId="2863D99B" w14:textId="6770A183" w:rsidR="007A23FE" w:rsidRPr="00841D89" w:rsidRDefault="007A23FE" w:rsidP="00D02498">
      <w:pPr>
        <w:rPr>
          <w:rFonts w:ascii="Arial" w:hAnsi="Arial" w:cs="Arial"/>
          <w:sz w:val="24"/>
          <w:szCs w:val="24"/>
        </w:rPr>
      </w:pPr>
      <w:r w:rsidRPr="00841D89">
        <w:rPr>
          <w:rFonts w:ascii="Arial" w:hAnsi="Arial" w:cs="Arial"/>
          <w:i/>
          <w:sz w:val="24"/>
        </w:rPr>
        <w:t xml:space="preserve">Ordonne </w:t>
      </w:r>
      <w:r w:rsidRPr="00841D89">
        <w:rPr>
          <w:rFonts w:ascii="Arial" w:hAnsi="Arial" w:cs="Arial"/>
          <w:sz w:val="24"/>
        </w:rPr>
        <w:t>que chaque Partie supporte ses frais de procédure.</w:t>
      </w:r>
    </w:p>
    <w:p w14:paraId="199FE03C" w14:textId="77777777" w:rsidR="000C4362" w:rsidRDefault="000C4362" w:rsidP="00D02498">
      <w:pPr>
        <w:rPr>
          <w:rFonts w:ascii="Arial" w:hAnsi="Arial" w:cs="Arial"/>
          <w:b/>
          <w:sz w:val="24"/>
          <w:szCs w:val="24"/>
        </w:rPr>
      </w:pPr>
    </w:p>
    <w:p w14:paraId="27B07BAB" w14:textId="77777777" w:rsidR="001427EF" w:rsidRPr="00841D89" w:rsidRDefault="001427EF" w:rsidP="00D02498">
      <w:pPr>
        <w:rPr>
          <w:rFonts w:ascii="Arial" w:hAnsi="Arial" w:cs="Arial"/>
          <w:b/>
          <w:sz w:val="24"/>
          <w:szCs w:val="24"/>
        </w:rPr>
      </w:pPr>
    </w:p>
    <w:p w14:paraId="41997079" w14:textId="77777777" w:rsidR="00D37104" w:rsidRPr="00841D89" w:rsidRDefault="00D37104" w:rsidP="00D02498">
      <w:pPr>
        <w:rPr>
          <w:rFonts w:ascii="Arial" w:hAnsi="Arial" w:cs="Arial"/>
          <w:b/>
          <w:sz w:val="24"/>
          <w:szCs w:val="24"/>
        </w:rPr>
      </w:pPr>
    </w:p>
    <w:p w14:paraId="722270B8" w14:textId="77777777" w:rsidR="00CE6527" w:rsidRPr="00841D89" w:rsidRDefault="00CE6527" w:rsidP="00D02498">
      <w:pPr>
        <w:rPr>
          <w:rFonts w:ascii="Arial" w:hAnsi="Arial" w:cs="Arial"/>
          <w:b/>
          <w:sz w:val="24"/>
          <w:szCs w:val="24"/>
        </w:rPr>
      </w:pPr>
      <w:r w:rsidRPr="00841D89">
        <w:rPr>
          <w:rFonts w:ascii="Arial" w:hAnsi="Arial" w:cs="Arial"/>
          <w:b/>
          <w:sz w:val="24"/>
        </w:rPr>
        <w:t>Ont signé :</w:t>
      </w:r>
    </w:p>
    <w:p w14:paraId="2E4B3137" w14:textId="77777777" w:rsidR="00CE6527" w:rsidRPr="00841D89" w:rsidRDefault="00CE6527" w:rsidP="00D02498">
      <w:pPr>
        <w:rPr>
          <w:rFonts w:ascii="Arial" w:hAnsi="Arial" w:cs="Arial"/>
          <w:sz w:val="24"/>
          <w:szCs w:val="24"/>
        </w:rPr>
      </w:pPr>
    </w:p>
    <w:p w14:paraId="15ABD3E3" w14:textId="77777777" w:rsidR="00D40854" w:rsidRPr="00841D89" w:rsidRDefault="00D40854" w:rsidP="00D02498">
      <w:pPr>
        <w:rPr>
          <w:rFonts w:ascii="Arial" w:hAnsi="Arial" w:cs="Arial"/>
          <w:sz w:val="24"/>
          <w:szCs w:val="24"/>
        </w:rPr>
      </w:pPr>
      <w:r w:rsidRPr="00841D89">
        <w:rPr>
          <w:rFonts w:ascii="Arial" w:hAnsi="Arial" w:cs="Arial"/>
          <w:sz w:val="24"/>
        </w:rPr>
        <w:t>Blaise TCHIKAYA, Vice-président ;</w:t>
      </w:r>
    </w:p>
    <w:p w14:paraId="7BEC7B2F" w14:textId="77777777" w:rsidR="00D40854" w:rsidRPr="00841D89" w:rsidRDefault="00D40854" w:rsidP="00D02498">
      <w:pPr>
        <w:rPr>
          <w:rFonts w:ascii="Arial" w:hAnsi="Arial" w:cs="Arial"/>
          <w:sz w:val="24"/>
          <w:szCs w:val="24"/>
        </w:rPr>
      </w:pPr>
    </w:p>
    <w:p w14:paraId="3A3EC478" w14:textId="77777777" w:rsidR="00CE6527" w:rsidRPr="00841D89" w:rsidRDefault="00D40854" w:rsidP="00D02498">
      <w:pPr>
        <w:rPr>
          <w:rFonts w:ascii="Arial" w:hAnsi="Arial" w:cs="Arial"/>
          <w:sz w:val="24"/>
          <w:szCs w:val="24"/>
        </w:rPr>
      </w:pPr>
      <w:r w:rsidRPr="00841D89">
        <w:rPr>
          <w:rFonts w:ascii="Arial" w:hAnsi="Arial" w:cs="Arial"/>
          <w:sz w:val="24"/>
        </w:rPr>
        <w:t>Ben KIOKO, Juge ;</w:t>
      </w:r>
    </w:p>
    <w:p w14:paraId="1503F5F4" w14:textId="77777777" w:rsidR="00CE6527" w:rsidRPr="00841D89" w:rsidRDefault="00CE6527" w:rsidP="00D02498">
      <w:pPr>
        <w:rPr>
          <w:rFonts w:ascii="Arial" w:hAnsi="Arial" w:cs="Arial"/>
          <w:sz w:val="24"/>
          <w:szCs w:val="24"/>
        </w:rPr>
      </w:pPr>
    </w:p>
    <w:p w14:paraId="53FF5A9F" w14:textId="77777777" w:rsidR="00CE6527" w:rsidRPr="00841D89" w:rsidRDefault="00030E8D" w:rsidP="00D02498">
      <w:pPr>
        <w:rPr>
          <w:rFonts w:ascii="Arial" w:hAnsi="Arial" w:cs="Arial"/>
          <w:sz w:val="24"/>
          <w:szCs w:val="24"/>
        </w:rPr>
      </w:pPr>
      <w:r w:rsidRPr="00841D89">
        <w:rPr>
          <w:rFonts w:ascii="Arial" w:hAnsi="Arial" w:cs="Arial"/>
          <w:sz w:val="24"/>
        </w:rPr>
        <w:t>Rafaâ BEN ACHOUR, Juge ;</w:t>
      </w:r>
    </w:p>
    <w:p w14:paraId="4095D8C2" w14:textId="77777777" w:rsidR="00D160A4" w:rsidRPr="00841D89" w:rsidRDefault="00D160A4" w:rsidP="00D02498">
      <w:pPr>
        <w:rPr>
          <w:rFonts w:ascii="Arial" w:hAnsi="Arial" w:cs="Arial"/>
          <w:sz w:val="24"/>
          <w:szCs w:val="24"/>
        </w:rPr>
      </w:pPr>
    </w:p>
    <w:p w14:paraId="599C4117" w14:textId="3E8E3E50" w:rsidR="00CE6527" w:rsidRPr="00841D89" w:rsidRDefault="00606755" w:rsidP="00D02498">
      <w:pPr>
        <w:rPr>
          <w:rFonts w:ascii="Arial" w:hAnsi="Arial" w:cs="Arial"/>
          <w:sz w:val="24"/>
          <w:szCs w:val="24"/>
        </w:rPr>
      </w:pPr>
      <w:r w:rsidRPr="00841D89">
        <w:rPr>
          <w:rFonts w:ascii="Arial" w:hAnsi="Arial" w:cs="Arial"/>
          <w:sz w:val="24"/>
        </w:rPr>
        <w:t>Suzanne MENGUE, Juge ;</w:t>
      </w:r>
    </w:p>
    <w:p w14:paraId="5A79FC13" w14:textId="77777777" w:rsidR="00CE6527" w:rsidRPr="00841D89" w:rsidRDefault="00CE6527" w:rsidP="00D02498">
      <w:pPr>
        <w:rPr>
          <w:rFonts w:ascii="Arial" w:hAnsi="Arial" w:cs="Arial"/>
          <w:sz w:val="24"/>
          <w:szCs w:val="24"/>
        </w:rPr>
      </w:pPr>
    </w:p>
    <w:p w14:paraId="14C85440" w14:textId="77777777" w:rsidR="00CE6527" w:rsidRPr="00841D89" w:rsidRDefault="00CE6527" w:rsidP="00D02498">
      <w:pPr>
        <w:rPr>
          <w:rFonts w:ascii="Arial" w:hAnsi="Arial" w:cs="Arial"/>
          <w:sz w:val="24"/>
          <w:szCs w:val="24"/>
        </w:rPr>
      </w:pPr>
      <w:r w:rsidRPr="00841D89">
        <w:rPr>
          <w:rFonts w:ascii="Arial" w:hAnsi="Arial" w:cs="Arial"/>
          <w:sz w:val="24"/>
        </w:rPr>
        <w:lastRenderedPageBreak/>
        <w:t>Tujilane R. CHIZUMILA, Juge ;</w:t>
      </w:r>
    </w:p>
    <w:p w14:paraId="6454CB94" w14:textId="77777777" w:rsidR="00CE6527" w:rsidRPr="00841D89" w:rsidRDefault="00CE6527" w:rsidP="00D02498">
      <w:pPr>
        <w:rPr>
          <w:rFonts w:ascii="Arial" w:hAnsi="Arial" w:cs="Arial"/>
          <w:sz w:val="24"/>
          <w:szCs w:val="24"/>
        </w:rPr>
      </w:pPr>
    </w:p>
    <w:p w14:paraId="2412CCAD" w14:textId="77777777" w:rsidR="00D40854" w:rsidRPr="00841D89" w:rsidRDefault="00CE6527" w:rsidP="00D02498">
      <w:pPr>
        <w:rPr>
          <w:rFonts w:ascii="Arial" w:hAnsi="Arial" w:cs="Arial"/>
          <w:sz w:val="24"/>
          <w:szCs w:val="24"/>
        </w:rPr>
      </w:pPr>
      <w:r w:rsidRPr="00841D89">
        <w:rPr>
          <w:rFonts w:ascii="Arial" w:hAnsi="Arial" w:cs="Arial"/>
          <w:sz w:val="24"/>
        </w:rPr>
        <w:t>Chafika BENSAOULA, Juge ;</w:t>
      </w:r>
    </w:p>
    <w:p w14:paraId="0042CF82" w14:textId="77777777" w:rsidR="00D40854" w:rsidRPr="00841D89" w:rsidRDefault="00D40854" w:rsidP="00D02498">
      <w:pPr>
        <w:rPr>
          <w:rFonts w:ascii="Arial" w:hAnsi="Arial" w:cs="Arial"/>
          <w:sz w:val="24"/>
          <w:szCs w:val="24"/>
        </w:rPr>
      </w:pPr>
    </w:p>
    <w:p w14:paraId="4F74B917" w14:textId="77777777" w:rsidR="00CE6527" w:rsidRPr="00841D89" w:rsidRDefault="00606755" w:rsidP="00D02498">
      <w:pPr>
        <w:rPr>
          <w:rFonts w:ascii="Arial" w:hAnsi="Arial" w:cs="Arial"/>
          <w:sz w:val="24"/>
          <w:szCs w:val="24"/>
        </w:rPr>
      </w:pPr>
      <w:r w:rsidRPr="00841D89">
        <w:rPr>
          <w:rFonts w:ascii="Arial" w:hAnsi="Arial" w:cs="Arial"/>
          <w:sz w:val="24"/>
        </w:rPr>
        <w:t xml:space="preserve">Stella I. ANUKAM, Juge ; </w:t>
      </w:r>
    </w:p>
    <w:p w14:paraId="4BED94E6" w14:textId="77777777" w:rsidR="00A20BF5" w:rsidRPr="00841D89" w:rsidRDefault="00A20BF5" w:rsidP="00D02498">
      <w:pPr>
        <w:rPr>
          <w:rFonts w:ascii="Arial" w:hAnsi="Arial" w:cs="Arial"/>
          <w:sz w:val="24"/>
          <w:szCs w:val="24"/>
        </w:rPr>
      </w:pPr>
    </w:p>
    <w:p w14:paraId="74762AD2" w14:textId="77777777" w:rsidR="00A20BF5" w:rsidRPr="00841D89" w:rsidRDefault="00A20BF5" w:rsidP="00D02498">
      <w:pPr>
        <w:rPr>
          <w:rFonts w:ascii="Arial" w:hAnsi="Arial" w:cs="Arial"/>
          <w:sz w:val="24"/>
          <w:szCs w:val="24"/>
        </w:rPr>
      </w:pPr>
      <w:r w:rsidRPr="00841D89">
        <w:rPr>
          <w:rFonts w:ascii="Arial" w:hAnsi="Arial" w:cs="Arial"/>
          <w:sz w:val="24"/>
        </w:rPr>
        <w:t>Dumisa B. NTSEBEZA, Juge ;</w:t>
      </w:r>
    </w:p>
    <w:p w14:paraId="7455B060" w14:textId="77777777" w:rsidR="00A20BF5" w:rsidRPr="00841D89" w:rsidRDefault="00A20BF5" w:rsidP="00D02498">
      <w:pPr>
        <w:rPr>
          <w:rFonts w:ascii="Arial" w:hAnsi="Arial" w:cs="Arial"/>
          <w:sz w:val="24"/>
          <w:szCs w:val="24"/>
        </w:rPr>
      </w:pPr>
    </w:p>
    <w:p w14:paraId="165C36E8" w14:textId="287F2950" w:rsidR="00A20BF5" w:rsidRPr="00841D89" w:rsidRDefault="00A20BF5" w:rsidP="00D02498">
      <w:pPr>
        <w:rPr>
          <w:rFonts w:ascii="Arial" w:hAnsi="Arial" w:cs="Arial"/>
          <w:sz w:val="24"/>
          <w:szCs w:val="24"/>
        </w:rPr>
      </w:pPr>
      <w:r w:rsidRPr="00841D89">
        <w:rPr>
          <w:rFonts w:ascii="Arial" w:hAnsi="Arial" w:cs="Arial"/>
          <w:sz w:val="24"/>
        </w:rPr>
        <w:t>Modibo SACKO, Juge ;</w:t>
      </w:r>
    </w:p>
    <w:p w14:paraId="3160A80C" w14:textId="641BA0DC" w:rsidR="0020206E" w:rsidRPr="00841D89" w:rsidRDefault="0020206E" w:rsidP="00D02498">
      <w:pPr>
        <w:rPr>
          <w:rFonts w:ascii="Arial" w:hAnsi="Arial" w:cs="Arial"/>
          <w:sz w:val="24"/>
          <w:szCs w:val="24"/>
        </w:rPr>
      </w:pPr>
    </w:p>
    <w:p w14:paraId="12F70339" w14:textId="6F61517C" w:rsidR="0020206E" w:rsidRPr="00841D89" w:rsidRDefault="0020206E" w:rsidP="00D02498">
      <w:pPr>
        <w:rPr>
          <w:rFonts w:ascii="Arial" w:hAnsi="Arial" w:cs="Arial"/>
          <w:sz w:val="24"/>
          <w:szCs w:val="24"/>
        </w:rPr>
      </w:pPr>
      <w:r w:rsidRPr="00841D89">
        <w:rPr>
          <w:rFonts w:ascii="Arial" w:hAnsi="Arial" w:cs="Arial"/>
          <w:sz w:val="24"/>
        </w:rPr>
        <w:t>Dennis D. ADJEI, Juge ;</w:t>
      </w:r>
    </w:p>
    <w:p w14:paraId="6AB328A3" w14:textId="77777777" w:rsidR="00A20BF5" w:rsidRPr="00841D89" w:rsidRDefault="00A20BF5" w:rsidP="00D02498">
      <w:pPr>
        <w:rPr>
          <w:rFonts w:ascii="Arial" w:hAnsi="Arial" w:cs="Arial"/>
          <w:sz w:val="24"/>
          <w:szCs w:val="24"/>
        </w:rPr>
      </w:pPr>
    </w:p>
    <w:p w14:paraId="762AE48E" w14:textId="4D15FE33" w:rsidR="00CE6527" w:rsidRPr="00841D89" w:rsidRDefault="00CE6527" w:rsidP="00D02498">
      <w:pPr>
        <w:rPr>
          <w:rFonts w:ascii="Arial" w:hAnsi="Arial" w:cs="Arial"/>
          <w:sz w:val="24"/>
          <w:szCs w:val="24"/>
        </w:rPr>
      </w:pPr>
      <w:r w:rsidRPr="00841D89">
        <w:rPr>
          <w:rFonts w:ascii="Arial" w:hAnsi="Arial" w:cs="Arial"/>
          <w:sz w:val="24"/>
        </w:rPr>
        <w:t>et Robert ENO, Greffier.</w:t>
      </w:r>
    </w:p>
    <w:p w14:paraId="5FC5D29A" w14:textId="77777777" w:rsidR="00B82D02" w:rsidRPr="00841D89" w:rsidRDefault="00B82D02" w:rsidP="00D02498">
      <w:pPr>
        <w:rPr>
          <w:rFonts w:ascii="Arial" w:hAnsi="Arial" w:cs="Arial"/>
          <w:sz w:val="24"/>
          <w:szCs w:val="24"/>
        </w:rPr>
      </w:pPr>
    </w:p>
    <w:p w14:paraId="4E6608A8" w14:textId="77777777" w:rsidR="00F1160A" w:rsidRPr="00841D89" w:rsidRDefault="00F1160A" w:rsidP="00D02498">
      <w:pPr>
        <w:rPr>
          <w:rFonts w:ascii="Arial" w:hAnsi="Arial" w:cs="Arial"/>
          <w:sz w:val="24"/>
          <w:szCs w:val="24"/>
        </w:rPr>
      </w:pPr>
    </w:p>
    <w:p w14:paraId="64BD005F" w14:textId="5FFC7B47" w:rsidR="00B82D02" w:rsidRPr="00841D89" w:rsidRDefault="00B82D02" w:rsidP="00D02498">
      <w:pPr>
        <w:rPr>
          <w:rFonts w:ascii="Arial" w:eastAsia="Calibri" w:hAnsi="Arial" w:cs="Arial"/>
          <w:bCs/>
          <w:sz w:val="24"/>
          <w:szCs w:val="24"/>
        </w:rPr>
      </w:pPr>
      <w:r w:rsidRPr="00841D89">
        <w:rPr>
          <w:rFonts w:ascii="Arial" w:hAnsi="Arial" w:cs="Arial"/>
          <w:sz w:val="24"/>
        </w:rPr>
        <w:t xml:space="preserve">Conformément à l’article 28(7) du Protocole et à la règle 70(1) du Règlement, l’Opinion individuelle du Juge Blaise TCHIKAYA et l’Opinion dissidente conjointe des Juges Ben KIOKO, Tujilane R. CHIZUMILA et Dennis D. ADJEI sont jointes au présent Arrêt. </w:t>
      </w:r>
    </w:p>
    <w:p w14:paraId="1AB12B90" w14:textId="77777777" w:rsidR="00F80859" w:rsidRPr="00841D89" w:rsidRDefault="00F80859" w:rsidP="00D02498">
      <w:pPr>
        <w:rPr>
          <w:rFonts w:ascii="Arial" w:hAnsi="Arial" w:cs="Arial"/>
          <w:sz w:val="24"/>
          <w:szCs w:val="24"/>
        </w:rPr>
      </w:pPr>
    </w:p>
    <w:p w14:paraId="1EFDEB0E" w14:textId="77777777" w:rsidR="00F1160A" w:rsidRPr="00841D89" w:rsidRDefault="00F1160A" w:rsidP="00D02498">
      <w:pPr>
        <w:rPr>
          <w:rFonts w:ascii="Arial" w:hAnsi="Arial" w:cs="Arial"/>
          <w:sz w:val="24"/>
          <w:szCs w:val="24"/>
        </w:rPr>
      </w:pPr>
    </w:p>
    <w:p w14:paraId="19E100F1" w14:textId="6706BF77" w:rsidR="00231C31" w:rsidRPr="00A03A89" w:rsidRDefault="00CE6527" w:rsidP="00D02498">
      <w:pPr>
        <w:rPr>
          <w:rFonts w:ascii="Arial" w:hAnsi="Arial" w:cs="Arial"/>
          <w:sz w:val="24"/>
          <w:szCs w:val="24"/>
        </w:rPr>
      </w:pPr>
      <w:r w:rsidRPr="00841D89">
        <w:rPr>
          <w:rFonts w:ascii="Arial" w:hAnsi="Arial" w:cs="Arial"/>
          <w:sz w:val="24"/>
        </w:rPr>
        <w:t>Fait à Arusha, ce premier jour du mois de décembre de l’an deux mille vingt-deux, en français et en anglais, le texte anglais faisant foi.</w:t>
      </w:r>
    </w:p>
    <w:sectPr w:rsidR="00231C31" w:rsidRPr="00A03A89" w:rsidSect="00DE52EF">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8170" w14:textId="77777777" w:rsidR="00320097" w:rsidRDefault="00320097" w:rsidP="001C58BD">
      <w:pPr>
        <w:spacing w:after="0" w:line="240" w:lineRule="auto"/>
      </w:pPr>
      <w:r>
        <w:separator/>
      </w:r>
    </w:p>
  </w:endnote>
  <w:endnote w:type="continuationSeparator" w:id="0">
    <w:p w14:paraId="7CCFBC96" w14:textId="77777777" w:rsidR="00320097" w:rsidRDefault="00320097" w:rsidP="001C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0462906"/>
      <w:docPartObj>
        <w:docPartGallery w:val="Page Numbers (Bottom of Page)"/>
        <w:docPartUnique/>
      </w:docPartObj>
    </w:sdtPr>
    <w:sdtEndPr>
      <w:rPr>
        <w:noProof/>
        <w:sz w:val="24"/>
      </w:rPr>
    </w:sdtEndPr>
    <w:sdtContent>
      <w:p w14:paraId="113BC57F" w14:textId="01593F63" w:rsidR="00FC1896" w:rsidRPr="00035A23" w:rsidRDefault="00FC1896">
        <w:pPr>
          <w:pStyle w:val="Footer"/>
          <w:jc w:val="center"/>
          <w:rPr>
            <w:rFonts w:ascii="Arial" w:hAnsi="Arial" w:cs="Arial"/>
            <w:sz w:val="24"/>
          </w:rPr>
        </w:pPr>
        <w:r w:rsidRPr="00035A23">
          <w:rPr>
            <w:rFonts w:ascii="Arial" w:hAnsi="Arial" w:cs="Arial"/>
            <w:sz w:val="24"/>
          </w:rPr>
          <w:fldChar w:fldCharType="begin"/>
        </w:r>
        <w:r w:rsidRPr="00035A23">
          <w:rPr>
            <w:rFonts w:ascii="Arial" w:hAnsi="Arial" w:cs="Arial"/>
            <w:sz w:val="24"/>
          </w:rPr>
          <w:instrText xml:space="preserve"> PAGE   \* MERGEFORMAT </w:instrText>
        </w:r>
        <w:r w:rsidRPr="00035A23">
          <w:rPr>
            <w:rFonts w:ascii="Arial" w:hAnsi="Arial" w:cs="Arial"/>
            <w:sz w:val="24"/>
          </w:rPr>
          <w:fldChar w:fldCharType="separate"/>
        </w:r>
        <w:r w:rsidR="00C351E3">
          <w:rPr>
            <w:rFonts w:ascii="Arial" w:hAnsi="Arial" w:cs="Arial"/>
            <w:noProof/>
            <w:sz w:val="24"/>
          </w:rPr>
          <w:t>17</w:t>
        </w:r>
        <w:r w:rsidRPr="00035A23">
          <w:rPr>
            <w:rFonts w:ascii="Arial" w:hAnsi="Arial" w:cs="Arial"/>
            <w:sz w:val="24"/>
          </w:rPr>
          <w:fldChar w:fldCharType="end"/>
        </w:r>
      </w:p>
    </w:sdtContent>
  </w:sdt>
  <w:p w14:paraId="3D145A8D" w14:textId="77777777" w:rsidR="00FC1896" w:rsidRPr="00035A23" w:rsidRDefault="00FC189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8CCF" w14:textId="77777777" w:rsidR="00FC1896" w:rsidRDefault="00FC1896">
    <w:pPr>
      <w:pStyle w:val="Footer"/>
      <w:jc w:val="center"/>
    </w:pPr>
  </w:p>
  <w:p w14:paraId="4A46A861" w14:textId="77777777" w:rsidR="00FC1896" w:rsidRDefault="00FC1896" w:rsidP="002079E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827438"/>
      <w:docPartObj>
        <w:docPartGallery w:val="Page Numbers (Bottom of Page)"/>
        <w:docPartUnique/>
      </w:docPartObj>
    </w:sdtPr>
    <w:sdtEndPr>
      <w:rPr>
        <w:rFonts w:ascii="Arial" w:hAnsi="Arial" w:cs="Arial"/>
        <w:noProof/>
        <w:sz w:val="24"/>
        <w:szCs w:val="24"/>
      </w:rPr>
    </w:sdtEndPr>
    <w:sdtContent>
      <w:p w14:paraId="5B6CCAF3" w14:textId="6A9F9723" w:rsidR="00FC1896" w:rsidRPr="00A263C3" w:rsidRDefault="00FC1896">
        <w:pPr>
          <w:pStyle w:val="Footer"/>
          <w:jc w:val="center"/>
          <w:rPr>
            <w:rFonts w:ascii="Arial" w:hAnsi="Arial" w:cs="Arial"/>
            <w:sz w:val="24"/>
            <w:szCs w:val="24"/>
          </w:rPr>
        </w:pPr>
        <w:r w:rsidRPr="00A263C3">
          <w:rPr>
            <w:rFonts w:ascii="Arial" w:hAnsi="Arial" w:cs="Arial"/>
            <w:sz w:val="24"/>
            <w:szCs w:val="24"/>
          </w:rPr>
          <w:fldChar w:fldCharType="begin"/>
        </w:r>
        <w:r w:rsidRPr="00A263C3">
          <w:rPr>
            <w:rFonts w:ascii="Arial" w:hAnsi="Arial" w:cs="Arial"/>
            <w:sz w:val="24"/>
            <w:szCs w:val="24"/>
          </w:rPr>
          <w:instrText xml:space="preserve"> PAGE   \* MERGEFORMAT </w:instrText>
        </w:r>
        <w:r w:rsidRPr="00A263C3">
          <w:rPr>
            <w:rFonts w:ascii="Arial" w:hAnsi="Arial" w:cs="Arial"/>
            <w:sz w:val="24"/>
            <w:szCs w:val="24"/>
          </w:rPr>
          <w:fldChar w:fldCharType="separate"/>
        </w:r>
        <w:r w:rsidR="00C351E3">
          <w:rPr>
            <w:rFonts w:ascii="Arial" w:hAnsi="Arial" w:cs="Arial"/>
            <w:noProof/>
            <w:sz w:val="24"/>
            <w:szCs w:val="24"/>
          </w:rPr>
          <w:t>1</w:t>
        </w:r>
        <w:r w:rsidRPr="00A263C3">
          <w:rPr>
            <w:rFonts w:ascii="Arial" w:hAnsi="Arial" w:cs="Arial"/>
            <w:sz w:val="24"/>
            <w:szCs w:val="24"/>
          </w:rPr>
          <w:fldChar w:fldCharType="end"/>
        </w:r>
      </w:p>
    </w:sdtContent>
  </w:sdt>
  <w:p w14:paraId="77B2B04E" w14:textId="77777777" w:rsidR="00FC1896" w:rsidRDefault="00FC1896" w:rsidP="002079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398B" w14:textId="77777777" w:rsidR="00320097" w:rsidRDefault="00320097" w:rsidP="001C58BD">
      <w:pPr>
        <w:spacing w:after="0" w:line="240" w:lineRule="auto"/>
      </w:pPr>
      <w:r>
        <w:separator/>
      </w:r>
    </w:p>
  </w:footnote>
  <w:footnote w:type="continuationSeparator" w:id="0">
    <w:p w14:paraId="0FB33F63" w14:textId="77777777" w:rsidR="00320097" w:rsidRDefault="00320097" w:rsidP="001C58BD">
      <w:pPr>
        <w:spacing w:after="0" w:line="240" w:lineRule="auto"/>
      </w:pPr>
      <w:r>
        <w:continuationSeparator/>
      </w:r>
    </w:p>
  </w:footnote>
  <w:footnote w:id="1">
    <w:p w14:paraId="2346B3B8" w14:textId="03A55D4F" w:rsidR="004C7450" w:rsidRPr="00A03A89" w:rsidRDefault="004C7450" w:rsidP="004C7450">
      <w:pPr>
        <w:pStyle w:val="FootnoteText"/>
        <w:jc w:val="both"/>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Andrew Ambrose Cheusi c. République-Unie de Tanzanie</w:t>
      </w:r>
      <w:r w:rsidRPr="00A03A89">
        <w:rPr>
          <w:rFonts w:ascii="Arial" w:hAnsi="Arial" w:cs="Arial"/>
        </w:rPr>
        <w:t>, CAfDHP, Requête N° 004/2015, Arrêt du 26 juin 2020 (fond et réparations), §§ 37 à 39.</w:t>
      </w:r>
    </w:p>
  </w:footnote>
  <w:footnote w:id="2">
    <w:p w14:paraId="2068FB93" w14:textId="6BB6C580" w:rsidR="00F76118" w:rsidRPr="00A03A89" w:rsidRDefault="00F76118">
      <w:pPr>
        <w:pStyle w:val="FootnoteText"/>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Andrew Ambrose Cheusi c. République-Unie de Tanzanie</w:t>
      </w:r>
      <w:r w:rsidRPr="00A03A89">
        <w:rPr>
          <w:rFonts w:ascii="Arial" w:hAnsi="Arial" w:cs="Arial"/>
        </w:rPr>
        <w:t xml:space="preserve"> (fond et réparations), §§ 37 à 39.</w:t>
      </w:r>
    </w:p>
  </w:footnote>
  <w:footnote w:id="3">
    <w:p w14:paraId="68F060B4" w14:textId="123E5B04" w:rsidR="0027548C" w:rsidRPr="00A03A89" w:rsidRDefault="0027548C" w:rsidP="0027548C">
      <w:pPr>
        <w:pStyle w:val="FootnoteText"/>
        <w:jc w:val="both"/>
        <w:rPr>
          <w:rFonts w:ascii="Arial" w:hAnsi="Arial" w:cs="Arial"/>
        </w:rPr>
      </w:pPr>
      <w:r w:rsidRPr="00A03A89">
        <w:rPr>
          <w:rStyle w:val="FootnoteReference"/>
          <w:rFonts w:ascii="Arial" w:hAnsi="Arial" w:cs="Arial"/>
        </w:rPr>
        <w:footnoteRef/>
      </w:r>
      <w:r w:rsidRPr="00A03A89">
        <w:rPr>
          <w:rFonts w:ascii="Arial" w:hAnsi="Arial" w:cs="Arial"/>
        </w:rPr>
        <w:t xml:space="preserve"> </w:t>
      </w:r>
      <w:bookmarkStart w:id="12" w:name="_Hlk115082447"/>
      <w:r w:rsidRPr="00A03A89">
        <w:rPr>
          <w:rFonts w:ascii="Arial" w:hAnsi="Arial" w:cs="Arial"/>
          <w:i/>
        </w:rPr>
        <w:t>Jebra Kambole</w:t>
      </w:r>
      <w:r w:rsidRPr="00A03A89">
        <w:rPr>
          <w:rFonts w:ascii="Arial" w:hAnsi="Arial" w:cs="Arial"/>
        </w:rPr>
        <w:t xml:space="preserve"> </w:t>
      </w:r>
      <w:r w:rsidRPr="00A03A89">
        <w:rPr>
          <w:rFonts w:ascii="Arial" w:hAnsi="Arial" w:cs="Arial"/>
          <w:i/>
          <w:iCs/>
        </w:rPr>
        <w:t>c. République-Unie de Tanzanie</w:t>
      </w:r>
      <w:r w:rsidRPr="00A03A89">
        <w:rPr>
          <w:rFonts w:ascii="Arial" w:hAnsi="Arial" w:cs="Arial"/>
        </w:rPr>
        <w:t>, Requête N° 018/2018, Arrêt du 15 juillet 2020 (fond et réparations), § 24</w:t>
      </w:r>
      <w:bookmarkEnd w:id="12"/>
      <w:r w:rsidRPr="00A03A89">
        <w:rPr>
          <w:rFonts w:ascii="Arial" w:hAnsi="Arial" w:cs="Arial"/>
        </w:rPr>
        <w:t xml:space="preserve"> ; </w:t>
      </w:r>
      <w:r w:rsidRPr="00A03A89">
        <w:rPr>
          <w:rFonts w:ascii="Arial" w:hAnsi="Arial" w:cs="Arial"/>
          <w:i/>
        </w:rPr>
        <w:t>Dismas Bunyerere</w:t>
      </w:r>
      <w:r w:rsidRPr="00A03A89">
        <w:rPr>
          <w:rFonts w:ascii="Arial" w:hAnsi="Arial" w:cs="Arial"/>
        </w:rPr>
        <w:t xml:space="preserve"> </w:t>
      </w:r>
      <w:r w:rsidRPr="00A03A89">
        <w:rPr>
          <w:rFonts w:ascii="Arial" w:hAnsi="Arial" w:cs="Arial"/>
          <w:i/>
          <w:iCs/>
        </w:rPr>
        <w:t>c.</w:t>
      </w:r>
      <w:r w:rsidRPr="00A03A89">
        <w:rPr>
          <w:rFonts w:ascii="Arial" w:hAnsi="Arial" w:cs="Arial"/>
        </w:rPr>
        <w:t xml:space="preserve"> </w:t>
      </w:r>
      <w:r w:rsidRPr="00A03A89">
        <w:rPr>
          <w:rFonts w:ascii="Arial" w:hAnsi="Arial" w:cs="Arial"/>
          <w:i/>
          <w:iCs/>
        </w:rPr>
        <w:t>République-Unie de Tanzanie</w:t>
      </w:r>
      <w:r w:rsidRPr="00A03A89">
        <w:rPr>
          <w:rFonts w:ascii="Arial" w:hAnsi="Arial" w:cs="Arial"/>
        </w:rPr>
        <w:t xml:space="preserve"> (fond et réparations) (28 novembre 2019), 3 RJCA 728, § 28(ii) ; </w:t>
      </w:r>
      <w:r w:rsidRPr="00A03A89">
        <w:rPr>
          <w:rFonts w:ascii="Arial" w:hAnsi="Arial" w:cs="Arial"/>
          <w:i/>
        </w:rPr>
        <w:t>Norbert Zongo et autres c. Burkina Faso</w:t>
      </w:r>
      <w:r w:rsidRPr="00A03A89">
        <w:rPr>
          <w:rFonts w:ascii="Arial" w:hAnsi="Arial" w:cs="Arial"/>
        </w:rPr>
        <w:t xml:space="preserve"> (exceptions préliminaires) (25 juin 2013), 1 RJCA 204, §§ 71 à 77.</w:t>
      </w:r>
    </w:p>
  </w:footnote>
  <w:footnote w:id="4">
    <w:p w14:paraId="59D32F80" w14:textId="603FAF11" w:rsidR="00A20BF5" w:rsidRPr="00A03A89" w:rsidRDefault="00A20BF5" w:rsidP="00A20BF5">
      <w:pPr>
        <w:pStyle w:val="FootnoteText"/>
        <w:jc w:val="both"/>
        <w:rPr>
          <w:rFonts w:ascii="Arial" w:hAnsi="Arial" w:cs="Arial"/>
          <w:i/>
          <w:iCs/>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iCs/>
        </w:rPr>
        <w:t>Mohamed</w:t>
      </w:r>
      <w:r w:rsidRPr="00A03A89">
        <w:rPr>
          <w:rFonts w:ascii="Arial" w:hAnsi="Arial" w:cs="Arial"/>
        </w:rPr>
        <w:t xml:space="preserve"> </w:t>
      </w:r>
      <w:r w:rsidRPr="00A03A89">
        <w:rPr>
          <w:rFonts w:ascii="Arial" w:hAnsi="Arial" w:cs="Arial"/>
          <w:i/>
        </w:rPr>
        <w:t xml:space="preserve">Abubakari c. Tanzanie </w:t>
      </w:r>
      <w:r w:rsidRPr="00A03A89">
        <w:rPr>
          <w:rFonts w:ascii="Arial" w:hAnsi="Arial" w:cs="Arial"/>
        </w:rPr>
        <w:t>(fond) (3 juin 2016), 1 RCJA 624, § 64</w:t>
      </w:r>
      <w:r w:rsidRPr="00A03A89">
        <w:rPr>
          <w:rFonts w:ascii="Arial" w:hAnsi="Arial" w:cs="Arial"/>
          <w:i/>
        </w:rPr>
        <w:t xml:space="preserve">. </w:t>
      </w:r>
      <w:r w:rsidRPr="00A03A89">
        <w:rPr>
          <w:rFonts w:ascii="Arial" w:hAnsi="Arial" w:cs="Arial"/>
        </w:rPr>
        <w:t xml:space="preserve">Voir également </w:t>
      </w:r>
      <w:r w:rsidRPr="00A03A89">
        <w:rPr>
          <w:rFonts w:ascii="Arial" w:hAnsi="Arial" w:cs="Arial"/>
          <w:i/>
          <w:iCs/>
        </w:rPr>
        <w:t>Alex Thomas c. Tanzanie</w:t>
      </w:r>
      <w:r w:rsidRPr="00A03A89">
        <w:rPr>
          <w:rFonts w:ascii="Arial" w:hAnsi="Arial" w:cs="Arial"/>
        </w:rPr>
        <w:t xml:space="preserve"> (fond) (20 novembre 2015), 1 RJCA 482, § 64 et </w:t>
      </w:r>
      <w:r w:rsidRPr="00A03A89">
        <w:rPr>
          <w:rFonts w:ascii="Arial" w:hAnsi="Arial" w:cs="Arial"/>
          <w:i/>
          <w:iCs/>
        </w:rPr>
        <w:t xml:space="preserve">Wilfred Onyango Nganyi et 9 autres c. Tanzanie </w:t>
      </w:r>
      <w:r w:rsidRPr="00A03A89">
        <w:rPr>
          <w:rFonts w:ascii="Arial" w:hAnsi="Arial" w:cs="Arial"/>
        </w:rPr>
        <w:t>(fond) (18 mars 2016), 1 RJCA 526, § 95.</w:t>
      </w:r>
    </w:p>
  </w:footnote>
  <w:footnote w:id="5">
    <w:p w14:paraId="15D2277B" w14:textId="56D711D2" w:rsidR="00A20BF5" w:rsidRPr="00A03A89" w:rsidRDefault="00A20BF5" w:rsidP="00A20BF5">
      <w:pPr>
        <w:pStyle w:val="FootnoteText"/>
        <w:jc w:val="both"/>
        <w:rPr>
          <w:rFonts w:ascii="Arial" w:hAnsi="Arial" w:cs="Arial"/>
          <w:i/>
          <w:iCs/>
        </w:rPr>
      </w:pPr>
      <w:r w:rsidRPr="00A03A89">
        <w:rPr>
          <w:rStyle w:val="FootnoteReference"/>
          <w:rFonts w:ascii="Arial" w:hAnsi="Arial" w:cs="Arial"/>
        </w:rPr>
        <w:footnoteRef/>
      </w:r>
      <w:r w:rsidRPr="00A03A89">
        <w:rPr>
          <w:rFonts w:ascii="Arial" w:hAnsi="Arial" w:cs="Arial"/>
          <w:i/>
        </w:rPr>
        <w:t xml:space="preserve"> Lohé Issa Konaté v. Burkina Faso</w:t>
      </w:r>
      <w:r w:rsidRPr="00A03A89">
        <w:rPr>
          <w:rFonts w:ascii="Arial" w:hAnsi="Arial" w:cs="Arial"/>
        </w:rPr>
        <w:t xml:space="preserve"> (fond) (5 décembre 2014), 1 RJCA 324, § 77</w:t>
      </w:r>
      <w:r w:rsidRPr="00A03A89">
        <w:rPr>
          <w:rFonts w:ascii="Arial" w:hAnsi="Arial" w:cs="Arial"/>
          <w:i/>
        </w:rPr>
        <w:t xml:space="preserve">. </w:t>
      </w:r>
      <w:r w:rsidRPr="00A03A89">
        <w:rPr>
          <w:rFonts w:ascii="Arial" w:hAnsi="Arial" w:cs="Arial"/>
        </w:rPr>
        <w:t xml:space="preserve">Voir également </w:t>
      </w:r>
      <w:r w:rsidRPr="00A03A89">
        <w:rPr>
          <w:rFonts w:ascii="Arial" w:hAnsi="Arial" w:cs="Arial"/>
          <w:i/>
          <w:iCs/>
        </w:rPr>
        <w:t xml:space="preserve">Peter Joseph Chacha c. Tanzanie </w:t>
      </w:r>
      <w:r w:rsidRPr="00A03A89">
        <w:rPr>
          <w:rFonts w:ascii="Arial" w:hAnsi="Arial" w:cs="Arial"/>
        </w:rPr>
        <w:t>(recevabilité) (28 mars 2014), 1 RJCA 413, § 40</w:t>
      </w:r>
      <w:r w:rsidRPr="00A03A89">
        <w:rPr>
          <w:rFonts w:ascii="Arial" w:hAnsi="Arial" w:cs="Arial"/>
          <w:i/>
        </w:rPr>
        <w:t>.</w:t>
      </w:r>
    </w:p>
  </w:footnote>
  <w:footnote w:id="6">
    <w:p w14:paraId="4E8F3F58" w14:textId="06A18699" w:rsidR="00FA7532" w:rsidRPr="00A03A89" w:rsidRDefault="00FA7532">
      <w:pPr>
        <w:pStyle w:val="FootnoteText"/>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Sadick Marwa</w:t>
      </w:r>
      <w:r w:rsidRPr="00A03A89">
        <w:rPr>
          <w:rFonts w:ascii="Arial" w:hAnsi="Arial" w:cs="Arial"/>
          <w:i/>
          <w:iCs/>
        </w:rPr>
        <w:t xml:space="preserve"> c. République-Unie de Tanzanie</w:t>
      </w:r>
      <w:r w:rsidRPr="00A03A89">
        <w:rPr>
          <w:rFonts w:ascii="Arial" w:hAnsi="Arial" w:cs="Arial"/>
        </w:rPr>
        <w:t>, CAfDHP, Requête N° 005/2016, Arrêt du 2 décembre 2021, § 52.</w:t>
      </w:r>
    </w:p>
  </w:footnote>
  <w:footnote w:id="7">
    <w:p w14:paraId="638350AA" w14:textId="77777777" w:rsidR="00ED5F82" w:rsidRPr="00A03A89" w:rsidRDefault="00ED5F82" w:rsidP="00ED5F82">
      <w:pPr>
        <w:pStyle w:val="FootnoteText"/>
        <w:jc w:val="both"/>
        <w:rPr>
          <w:rFonts w:ascii="Arial" w:hAnsi="Arial" w:cs="Arial"/>
          <w:b/>
          <w:highlight w:val="green"/>
        </w:rPr>
      </w:pPr>
      <w:r w:rsidRPr="00A03A89">
        <w:rPr>
          <w:rStyle w:val="FootnoteReference"/>
          <w:rFonts w:ascii="Arial" w:hAnsi="Arial" w:cs="Arial"/>
        </w:rPr>
        <w:footnoteRef/>
      </w:r>
      <w:r w:rsidRPr="00A03A89">
        <w:rPr>
          <w:rFonts w:ascii="Arial" w:hAnsi="Arial" w:cs="Arial"/>
          <w:lang w:val="en-US"/>
        </w:rPr>
        <w:t xml:space="preserve"> </w:t>
      </w:r>
      <w:r w:rsidRPr="00A03A89">
        <w:rPr>
          <w:rFonts w:ascii="Arial" w:hAnsi="Arial" w:cs="Arial"/>
          <w:i/>
          <w:iCs/>
          <w:lang w:val="en-US"/>
        </w:rPr>
        <w:t>Norbert Zongo c. Burkina Faso</w:t>
      </w:r>
      <w:r w:rsidRPr="00A03A89">
        <w:rPr>
          <w:rFonts w:ascii="Arial" w:hAnsi="Arial" w:cs="Arial"/>
          <w:lang w:val="en-US"/>
        </w:rPr>
        <w:t xml:space="preserve"> (fond), </w:t>
      </w:r>
      <w:r w:rsidRPr="00A03A89">
        <w:rPr>
          <w:rFonts w:ascii="Arial" w:hAnsi="Arial" w:cs="Arial"/>
          <w:i/>
          <w:iCs/>
          <w:lang w:val="en-US"/>
        </w:rPr>
        <w:t>op. cit</w:t>
      </w:r>
      <w:r w:rsidRPr="00A03A89">
        <w:rPr>
          <w:rFonts w:ascii="Arial" w:hAnsi="Arial" w:cs="Arial"/>
          <w:lang w:val="en-US"/>
        </w:rPr>
        <w:t xml:space="preserve">., § 92. </w:t>
      </w:r>
      <w:r w:rsidRPr="00A03A89">
        <w:rPr>
          <w:rFonts w:ascii="Arial" w:hAnsi="Arial" w:cs="Arial"/>
        </w:rPr>
        <w:t xml:space="preserve">Voir également </w:t>
      </w:r>
      <w:r w:rsidRPr="00A03A89">
        <w:rPr>
          <w:rFonts w:ascii="Arial" w:hAnsi="Arial" w:cs="Arial"/>
          <w:i/>
          <w:iCs/>
        </w:rPr>
        <w:t>Alex Thomas c. Tanzanie</w:t>
      </w:r>
      <w:r w:rsidRPr="00A03A89">
        <w:rPr>
          <w:rFonts w:ascii="Arial" w:hAnsi="Arial" w:cs="Arial"/>
        </w:rPr>
        <w:t xml:space="preserve"> (fond) </w:t>
      </w:r>
      <w:r w:rsidRPr="00A03A89">
        <w:rPr>
          <w:rFonts w:ascii="Arial" w:hAnsi="Arial" w:cs="Arial"/>
          <w:i/>
          <w:iCs/>
        </w:rPr>
        <w:t>op. cit</w:t>
      </w:r>
      <w:r w:rsidRPr="00A03A89">
        <w:rPr>
          <w:rFonts w:ascii="Arial" w:hAnsi="Arial" w:cs="Arial"/>
        </w:rPr>
        <w:t>., § 73.</w:t>
      </w:r>
    </w:p>
  </w:footnote>
  <w:footnote w:id="8">
    <w:p w14:paraId="3FBA726F" w14:textId="77777777" w:rsidR="00ED5F82" w:rsidRPr="00A03A89" w:rsidRDefault="00ED5F82" w:rsidP="00ED5F82">
      <w:pPr>
        <w:pStyle w:val="FootnoteText"/>
        <w:jc w:val="both"/>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Alex Thomas c. Tanzanie</w:t>
      </w:r>
      <w:r w:rsidRPr="00A03A89">
        <w:rPr>
          <w:rFonts w:ascii="Arial" w:hAnsi="Arial" w:cs="Arial"/>
        </w:rPr>
        <w:t xml:space="preserve"> (fond), </w:t>
      </w:r>
      <w:r w:rsidRPr="00A03A89">
        <w:rPr>
          <w:rFonts w:ascii="Arial" w:hAnsi="Arial" w:cs="Arial"/>
          <w:i/>
        </w:rPr>
        <w:t>op.cit.</w:t>
      </w:r>
      <w:r w:rsidRPr="00A03A89">
        <w:rPr>
          <w:rFonts w:ascii="Arial" w:hAnsi="Arial" w:cs="Arial"/>
        </w:rPr>
        <w:t xml:space="preserve">, § 73 ; </w:t>
      </w:r>
      <w:r w:rsidRPr="00A03A89">
        <w:rPr>
          <w:rFonts w:ascii="Arial" w:hAnsi="Arial" w:cs="Arial"/>
          <w:i/>
        </w:rPr>
        <w:t>Christopher Jonas c. Tanzanie</w:t>
      </w:r>
      <w:r w:rsidRPr="00A03A89">
        <w:rPr>
          <w:rFonts w:ascii="Arial" w:hAnsi="Arial" w:cs="Arial"/>
        </w:rPr>
        <w:t xml:space="preserve"> (fond) </w:t>
      </w:r>
      <w:r w:rsidRPr="00A03A89">
        <w:rPr>
          <w:rFonts w:ascii="Arial" w:hAnsi="Arial" w:cs="Arial"/>
          <w:i/>
        </w:rPr>
        <w:t>op.cit.</w:t>
      </w:r>
      <w:r w:rsidRPr="00A03A89">
        <w:rPr>
          <w:rFonts w:ascii="Arial" w:hAnsi="Arial" w:cs="Arial"/>
        </w:rPr>
        <w:t xml:space="preserve">, § 54 ; </w:t>
      </w:r>
      <w:r w:rsidRPr="00A03A89">
        <w:rPr>
          <w:rFonts w:ascii="Arial" w:hAnsi="Arial" w:cs="Arial"/>
          <w:i/>
          <w:iCs/>
        </w:rPr>
        <w:t xml:space="preserve">Amir </w:t>
      </w:r>
      <w:r w:rsidRPr="00A03A89">
        <w:rPr>
          <w:rFonts w:ascii="Arial" w:hAnsi="Arial" w:cs="Arial"/>
          <w:i/>
        </w:rPr>
        <w:t>Ramadhani c. République-Unie de Tanzanie</w:t>
      </w:r>
      <w:r w:rsidRPr="00A03A89">
        <w:rPr>
          <w:rFonts w:ascii="Arial" w:hAnsi="Arial" w:cs="Arial"/>
        </w:rPr>
        <w:t>, (fond) (11 mai 2018), 2 RJCA 356, § 83.</w:t>
      </w:r>
    </w:p>
  </w:footnote>
  <w:footnote w:id="9">
    <w:p w14:paraId="6EC4DCA5" w14:textId="77777777" w:rsidR="00ED5F82" w:rsidRPr="00A03A89" w:rsidRDefault="00ED5F82" w:rsidP="00ED5F82">
      <w:pPr>
        <w:pStyle w:val="FootnoteText"/>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Evodius Rutechura</w:t>
      </w:r>
      <w:r w:rsidRPr="00A03A89">
        <w:rPr>
          <w:rFonts w:ascii="Arial" w:hAnsi="Arial" w:cs="Arial"/>
          <w:i/>
          <w:iCs/>
        </w:rPr>
        <w:t xml:space="preserve"> c. République-Unie de Tanzanie</w:t>
      </w:r>
      <w:r w:rsidRPr="00A03A89">
        <w:rPr>
          <w:rFonts w:ascii="Arial" w:hAnsi="Arial" w:cs="Arial"/>
        </w:rPr>
        <w:t>, CAfDHP, Requête N° 004/2016, Arrêt du 26 février 2021, § 48.</w:t>
      </w:r>
    </w:p>
  </w:footnote>
  <w:footnote w:id="10">
    <w:p w14:paraId="11519B5B" w14:textId="77777777" w:rsidR="00ED5F82" w:rsidRPr="00A03A89" w:rsidRDefault="00ED5F82" w:rsidP="00ED5F82">
      <w:pPr>
        <w:pStyle w:val="FootnoteText"/>
        <w:jc w:val="both"/>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 xml:space="preserve">Armand Guéhi c. République-Unie de Tanzanie </w:t>
      </w:r>
      <w:r w:rsidRPr="00A03A89">
        <w:rPr>
          <w:rFonts w:ascii="Arial" w:hAnsi="Arial" w:cs="Arial"/>
        </w:rPr>
        <w:t xml:space="preserve">(fond et réparations) (7 décembre 2018), 2 RJCA 493, § 56 ; </w:t>
      </w:r>
      <w:r w:rsidRPr="00A03A89">
        <w:rPr>
          <w:rFonts w:ascii="Arial" w:hAnsi="Arial" w:cs="Arial"/>
          <w:i/>
        </w:rPr>
        <w:t xml:space="preserve">Werema Wangoko c. République-Unie de Tanzanie </w:t>
      </w:r>
      <w:r w:rsidRPr="00A03A89">
        <w:rPr>
          <w:rFonts w:ascii="Arial" w:hAnsi="Arial" w:cs="Arial"/>
        </w:rPr>
        <w:t>(fond) (7 décembre 2018), 2 RJCA 539,</w:t>
      </w:r>
      <w:r w:rsidRPr="00A03A89">
        <w:rPr>
          <w:rFonts w:ascii="Arial" w:hAnsi="Arial" w:cs="Arial"/>
          <w:i/>
        </w:rPr>
        <w:t xml:space="preserve"> </w:t>
      </w:r>
      <w:r w:rsidRPr="00A03A89">
        <w:rPr>
          <w:rFonts w:ascii="Arial" w:hAnsi="Arial" w:cs="Arial"/>
        </w:rPr>
        <w:t xml:space="preserve">§ 49 ; </w:t>
      </w:r>
      <w:r w:rsidRPr="00A03A89">
        <w:rPr>
          <w:rFonts w:ascii="Arial" w:hAnsi="Arial" w:cs="Arial"/>
          <w:i/>
        </w:rPr>
        <w:t xml:space="preserve">Alfred Agbes Woyome c. République du Ghana, </w:t>
      </w:r>
      <w:r w:rsidRPr="00A03A89">
        <w:rPr>
          <w:rFonts w:ascii="Arial" w:hAnsi="Arial" w:cs="Arial"/>
        </w:rPr>
        <w:t>(fond et réparations) (28 juin 2019), 3 RJCA 245</w:t>
      </w:r>
      <w:r w:rsidRPr="00A03A89">
        <w:rPr>
          <w:rFonts w:ascii="Arial" w:hAnsi="Arial" w:cs="Arial"/>
          <w:i/>
        </w:rPr>
        <w:t xml:space="preserve">, </w:t>
      </w:r>
      <w:r w:rsidRPr="00A03A89">
        <w:rPr>
          <w:rFonts w:ascii="Arial" w:hAnsi="Arial" w:cs="Arial"/>
        </w:rPr>
        <w:t>§§ 83 à 86.</w:t>
      </w:r>
    </w:p>
  </w:footnote>
  <w:footnote w:id="11">
    <w:p w14:paraId="2C376A4E" w14:textId="09C4D0B1" w:rsidR="00ED5F82" w:rsidRPr="00A03A89" w:rsidRDefault="00ED5F82" w:rsidP="00ED5F82">
      <w:pPr>
        <w:pStyle w:val="FootnoteText"/>
        <w:rPr>
          <w:rFonts w:ascii="Arial" w:hAnsi="Arial" w:cs="Arial"/>
        </w:rPr>
      </w:pPr>
      <w:r w:rsidRPr="00A03A89">
        <w:rPr>
          <w:rStyle w:val="FootnoteReference"/>
          <w:rFonts w:ascii="Arial" w:hAnsi="Arial" w:cs="Arial"/>
        </w:rPr>
        <w:footnoteRef/>
      </w:r>
      <w:r w:rsidRPr="00A03A89">
        <w:rPr>
          <w:rFonts w:ascii="Arial" w:hAnsi="Arial" w:cs="Arial"/>
        </w:rPr>
        <w:t xml:space="preserve"> Voir note 8 supra.</w:t>
      </w:r>
    </w:p>
  </w:footnote>
  <w:footnote w:id="12">
    <w:p w14:paraId="2F954ABA" w14:textId="5E86C86D" w:rsidR="001E6C8F" w:rsidRPr="00A03A89" w:rsidRDefault="001E6C8F">
      <w:pPr>
        <w:pStyle w:val="FootnoteText"/>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Kijiji</w:t>
      </w:r>
      <w:r w:rsidRPr="00A03A89">
        <w:rPr>
          <w:rFonts w:ascii="Arial" w:hAnsi="Arial" w:cs="Arial"/>
        </w:rPr>
        <w:t xml:space="preserve"> </w:t>
      </w:r>
      <w:r w:rsidRPr="00A03A89">
        <w:rPr>
          <w:rFonts w:ascii="Arial" w:hAnsi="Arial" w:cs="Arial"/>
          <w:i/>
        </w:rPr>
        <w:t>Isiaga</w:t>
      </w:r>
      <w:r w:rsidRPr="00A03A89">
        <w:rPr>
          <w:rFonts w:ascii="Arial" w:hAnsi="Arial" w:cs="Arial"/>
        </w:rPr>
        <w:t xml:space="preserve"> </w:t>
      </w:r>
      <w:r w:rsidRPr="00A03A89">
        <w:rPr>
          <w:rFonts w:ascii="Arial" w:hAnsi="Arial" w:cs="Arial"/>
          <w:i/>
        </w:rPr>
        <w:t>c. Tanzanie</w:t>
      </w:r>
      <w:r w:rsidRPr="00A03A89">
        <w:rPr>
          <w:rFonts w:ascii="Arial" w:hAnsi="Arial" w:cs="Arial"/>
        </w:rPr>
        <w:t xml:space="preserve"> (fond) (21 mars 2018), 2 RJCA 226, §</w:t>
      </w:r>
      <w:r w:rsidRPr="00A03A89">
        <w:rPr>
          <w:rFonts w:ascii="Arial" w:hAnsi="Arial" w:cs="Arial"/>
          <w:i/>
        </w:rPr>
        <w:t xml:space="preserve"> </w:t>
      </w:r>
      <w:r w:rsidRPr="00A03A89">
        <w:rPr>
          <w:rFonts w:ascii="Arial" w:hAnsi="Arial" w:cs="Arial"/>
        </w:rPr>
        <w:t>65.</w:t>
      </w:r>
    </w:p>
  </w:footnote>
  <w:footnote w:id="13">
    <w:p w14:paraId="67F8DFBA" w14:textId="5A398D69" w:rsidR="001F64E7" w:rsidRPr="00A03A89" w:rsidRDefault="001F64E7">
      <w:pPr>
        <w:pStyle w:val="FootnoteText"/>
        <w:rPr>
          <w:rFonts w:ascii="Arial" w:hAnsi="Arial" w:cs="Arial"/>
        </w:rPr>
      </w:pPr>
      <w:r w:rsidRPr="00A03A89">
        <w:rPr>
          <w:rStyle w:val="FootnoteReference"/>
          <w:rFonts w:ascii="Arial" w:hAnsi="Arial" w:cs="Arial"/>
        </w:rPr>
        <w:footnoteRef/>
      </w:r>
      <w:r w:rsidRPr="00A03A89">
        <w:rPr>
          <w:rFonts w:ascii="Arial" w:hAnsi="Arial" w:cs="Arial"/>
        </w:rPr>
        <w:t xml:space="preserve"> </w:t>
      </w:r>
      <w:r w:rsidRPr="00A03A89">
        <w:rPr>
          <w:rFonts w:ascii="Arial" w:hAnsi="Arial" w:cs="Arial"/>
          <w:i/>
        </w:rPr>
        <w:t>Alex Thomas c. Tanzani</w:t>
      </w:r>
      <w:r w:rsidRPr="00A03A89">
        <w:rPr>
          <w:rFonts w:ascii="Arial" w:hAnsi="Arial" w:cs="Arial"/>
        </w:rPr>
        <w:t>e (fond) (2015), 1 RJCA 482, § 140.</w:t>
      </w:r>
    </w:p>
  </w:footnote>
  <w:footnote w:id="14">
    <w:p w14:paraId="4371B397" w14:textId="2F80A8F6" w:rsidR="00B92F12" w:rsidRPr="00A03A89" w:rsidRDefault="00B92F12" w:rsidP="00CD2C7A">
      <w:pPr>
        <w:pStyle w:val="FootnoteText"/>
        <w:jc w:val="both"/>
        <w:rPr>
          <w:rFonts w:ascii="Arial" w:hAnsi="Arial" w:cs="Arial"/>
        </w:rPr>
      </w:pPr>
      <w:r w:rsidRPr="00A03A89">
        <w:rPr>
          <w:rStyle w:val="FootnoteReference"/>
          <w:rFonts w:ascii="Arial" w:hAnsi="Arial" w:cs="Arial"/>
        </w:rPr>
        <w:footnoteRef/>
      </w:r>
      <w:r w:rsidRPr="00A03A89">
        <w:rPr>
          <w:rFonts w:ascii="Arial" w:hAnsi="Arial" w:cs="Arial"/>
        </w:rPr>
        <w:t xml:space="preserve"> </w:t>
      </w:r>
      <w:bookmarkStart w:id="38" w:name="_Hlk120039384"/>
      <w:r w:rsidRPr="00A03A89">
        <w:rPr>
          <w:rFonts w:ascii="Arial" w:hAnsi="Arial" w:cs="Arial"/>
          <w:i/>
        </w:rPr>
        <w:t xml:space="preserve">Ally Rajabu et autres c. République-Unie de Tanzanie </w:t>
      </w:r>
      <w:r w:rsidRPr="00A03A89">
        <w:rPr>
          <w:rFonts w:ascii="Arial" w:hAnsi="Arial" w:cs="Arial"/>
        </w:rPr>
        <w:t>(fond et réparations) (28 novembre 2019), 3 RJCA 562, §§ 104 à 114.</w:t>
      </w:r>
      <w:r w:rsidRPr="00A03A89">
        <w:rPr>
          <w:rFonts w:ascii="Arial" w:hAnsi="Arial" w:cs="Arial"/>
          <w:i/>
        </w:rPr>
        <w:t xml:space="preserve"> Voir également, Amini Juma c. République-Unie de Tanzanie, </w:t>
      </w:r>
      <w:r w:rsidRPr="00A03A89">
        <w:rPr>
          <w:rFonts w:ascii="Arial" w:hAnsi="Arial" w:cs="Arial"/>
        </w:rPr>
        <w:t xml:space="preserve">CAfDHP, Requête N° 024/2016, Arrêt du 30 septembre 2021, §§ 120 à 131 et </w:t>
      </w:r>
      <w:r w:rsidRPr="00A03A89">
        <w:rPr>
          <w:rFonts w:ascii="Arial" w:hAnsi="Arial" w:cs="Arial"/>
          <w:i/>
        </w:rPr>
        <w:t>Gozbert Henerico c. République-Unie de Tanzanie</w:t>
      </w:r>
      <w:r w:rsidRPr="00A03A89">
        <w:rPr>
          <w:rFonts w:ascii="Arial" w:hAnsi="Arial" w:cs="Arial"/>
        </w:rPr>
        <w:t>, CAfDHP, Requête N° 056/2016, Arrêt du 10 janvier 2022, § 160.</w:t>
      </w:r>
    </w:p>
    <w:bookmarkEnd w:id="38"/>
  </w:footnote>
  <w:footnote w:id="15">
    <w:p w14:paraId="2894ABBB" w14:textId="5FAA9BCF" w:rsidR="00346E99" w:rsidRPr="00A03A89" w:rsidRDefault="00346E99" w:rsidP="00671A60">
      <w:pPr>
        <w:pStyle w:val="FootnoteText"/>
        <w:jc w:val="both"/>
        <w:rPr>
          <w:rFonts w:ascii="Arial" w:hAnsi="Arial" w:cs="Arial"/>
        </w:rPr>
      </w:pPr>
      <w:r w:rsidRPr="00A03A89">
        <w:rPr>
          <w:rStyle w:val="FootnoteReference"/>
          <w:rFonts w:ascii="Arial" w:hAnsi="Arial" w:cs="Arial"/>
        </w:rPr>
        <w:footnoteRef/>
      </w:r>
      <w:r w:rsidRPr="00A03A89">
        <w:rPr>
          <w:rFonts w:ascii="Arial" w:hAnsi="Arial" w:cs="Arial"/>
        </w:rPr>
        <w:t xml:space="preserve"> </w:t>
      </w:r>
      <w:bookmarkStart w:id="39" w:name="_Hlk120039741"/>
      <w:r w:rsidRPr="00A03A89">
        <w:rPr>
          <w:rFonts w:ascii="Arial" w:hAnsi="Arial" w:cs="Arial"/>
          <w:i/>
          <w:iCs/>
        </w:rPr>
        <w:t>Ally Rajabu et autres c. République-Unie de Tanzanie</w:t>
      </w:r>
      <w:r w:rsidRPr="00A03A89">
        <w:rPr>
          <w:rFonts w:ascii="Arial" w:hAnsi="Arial" w:cs="Arial"/>
        </w:rPr>
        <w:t xml:space="preserve"> (fond et réparations), § 171.</w:t>
      </w:r>
      <w:r w:rsidRPr="00A03A89">
        <w:rPr>
          <w:rFonts w:ascii="Arial" w:hAnsi="Arial" w:cs="Arial"/>
          <w:i/>
        </w:rPr>
        <w:t xml:space="preserve"> </w:t>
      </w:r>
      <w:r w:rsidRPr="00A03A89">
        <w:rPr>
          <w:rFonts w:ascii="Arial" w:hAnsi="Arial" w:cs="Arial"/>
        </w:rPr>
        <w:t xml:space="preserve">Voir également </w:t>
      </w:r>
      <w:r w:rsidRPr="00A03A89">
        <w:rPr>
          <w:rFonts w:ascii="Arial" w:hAnsi="Arial" w:cs="Arial"/>
          <w:i/>
          <w:iCs/>
        </w:rPr>
        <w:t>Amini Juma c. Tanzanie</w:t>
      </w:r>
      <w:r w:rsidRPr="00A03A89">
        <w:rPr>
          <w:rFonts w:ascii="Arial" w:hAnsi="Arial" w:cs="Arial"/>
        </w:rPr>
        <w:t xml:space="preserve"> (fond et réparations), § 174 ; </w:t>
      </w:r>
      <w:r w:rsidRPr="00A03A89">
        <w:rPr>
          <w:rFonts w:ascii="Arial" w:hAnsi="Arial" w:cs="Arial"/>
          <w:i/>
          <w:iCs/>
        </w:rPr>
        <w:t>Gozbert Henerico c. Tanzanie</w:t>
      </w:r>
      <w:r w:rsidRPr="00A03A89">
        <w:rPr>
          <w:rFonts w:ascii="Arial" w:hAnsi="Arial" w:cs="Arial"/>
        </w:rPr>
        <w:t xml:space="preserve"> (fond et réparations), § 217.</w:t>
      </w:r>
      <w:bookmarkEnd w:id="3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41C"/>
    <w:multiLevelType w:val="hybridMultilevel"/>
    <w:tmpl w:val="42D090DE"/>
    <w:lvl w:ilvl="0" w:tplc="F1B07434">
      <w:start w:val="1"/>
      <w:numFmt w:val="lowerRoman"/>
      <w:lvlText w:val="%1."/>
      <w:lvlJc w:val="left"/>
      <w:pPr>
        <w:ind w:left="1800" w:hanging="360"/>
      </w:pPr>
      <w:rPr>
        <w:rFonts w:hAnsi="Arial Unicode MS" w:hint="default"/>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1C63EA">
      <w:start w:val="1"/>
      <w:numFmt w:val="lowerRoman"/>
      <w:lvlText w:val="%2."/>
      <w:lvlJc w:val="left"/>
      <w:pPr>
        <w:ind w:left="1800" w:hanging="360"/>
      </w:pPr>
      <w:rPr>
        <w:rFonts w:hint="default"/>
      </w:rPr>
    </w:lvl>
    <w:lvl w:ilvl="2" w:tplc="E23464A6">
      <w:start w:val="1"/>
      <w:numFmt w:val="upperLetter"/>
      <w:lvlText w:val="(%3)"/>
      <w:lvlJc w:val="left"/>
      <w:pPr>
        <w:ind w:left="3420" w:hanging="360"/>
      </w:pPr>
      <w:rPr>
        <w:rFonts w:hint="default"/>
      </w:rPr>
    </w:lvl>
    <w:lvl w:ilvl="3" w:tplc="9DFAFD5C">
      <w:start w:val="1"/>
      <w:numFmt w:val="upperLetter"/>
      <w:lvlText w:val="%4."/>
      <w:lvlJc w:val="left"/>
      <w:pPr>
        <w:ind w:left="1353" w:hanging="360"/>
      </w:pPr>
      <w:rPr>
        <w:rFonts w:hint="default"/>
      </w:r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E2022E8"/>
    <w:multiLevelType w:val="hybridMultilevel"/>
    <w:tmpl w:val="AE22E2D6"/>
    <w:lvl w:ilvl="0" w:tplc="AD4A6C46">
      <w:start w:val="1"/>
      <w:numFmt w:val="lowerLetter"/>
      <w:lvlText w:val="%1."/>
      <w:lvlJc w:val="left"/>
      <w:pPr>
        <w:ind w:left="2268" w:hanging="360"/>
      </w:pPr>
      <w:rPr>
        <w:rFonts w:hint="default"/>
        <w:b w:val="0"/>
        <w:bCs w:val="0"/>
        <w:sz w:val="22"/>
        <w:szCs w:val="22"/>
      </w:rPr>
    </w:lvl>
    <w:lvl w:ilvl="1" w:tplc="08090019" w:tentative="1">
      <w:start w:val="1"/>
      <w:numFmt w:val="lowerLetter"/>
      <w:lvlText w:val="%2."/>
      <w:lvlJc w:val="left"/>
      <w:pPr>
        <w:ind w:left="2988" w:hanging="360"/>
      </w:pPr>
    </w:lvl>
    <w:lvl w:ilvl="2" w:tplc="0809001B" w:tentative="1">
      <w:start w:val="1"/>
      <w:numFmt w:val="lowerRoman"/>
      <w:lvlText w:val="%3."/>
      <w:lvlJc w:val="right"/>
      <w:pPr>
        <w:ind w:left="3708" w:hanging="180"/>
      </w:pPr>
    </w:lvl>
    <w:lvl w:ilvl="3" w:tplc="0809000F" w:tentative="1">
      <w:start w:val="1"/>
      <w:numFmt w:val="decimal"/>
      <w:lvlText w:val="%4."/>
      <w:lvlJc w:val="left"/>
      <w:pPr>
        <w:ind w:left="4428" w:hanging="360"/>
      </w:pPr>
    </w:lvl>
    <w:lvl w:ilvl="4" w:tplc="08090019" w:tentative="1">
      <w:start w:val="1"/>
      <w:numFmt w:val="lowerLetter"/>
      <w:lvlText w:val="%5."/>
      <w:lvlJc w:val="left"/>
      <w:pPr>
        <w:ind w:left="5148" w:hanging="360"/>
      </w:pPr>
    </w:lvl>
    <w:lvl w:ilvl="5" w:tplc="0809001B" w:tentative="1">
      <w:start w:val="1"/>
      <w:numFmt w:val="lowerRoman"/>
      <w:lvlText w:val="%6."/>
      <w:lvlJc w:val="right"/>
      <w:pPr>
        <w:ind w:left="5868" w:hanging="180"/>
      </w:pPr>
    </w:lvl>
    <w:lvl w:ilvl="6" w:tplc="0809000F" w:tentative="1">
      <w:start w:val="1"/>
      <w:numFmt w:val="decimal"/>
      <w:lvlText w:val="%7."/>
      <w:lvlJc w:val="left"/>
      <w:pPr>
        <w:ind w:left="6588" w:hanging="360"/>
      </w:pPr>
    </w:lvl>
    <w:lvl w:ilvl="7" w:tplc="08090019" w:tentative="1">
      <w:start w:val="1"/>
      <w:numFmt w:val="lowerLetter"/>
      <w:lvlText w:val="%8."/>
      <w:lvlJc w:val="left"/>
      <w:pPr>
        <w:ind w:left="7308" w:hanging="360"/>
      </w:pPr>
    </w:lvl>
    <w:lvl w:ilvl="8" w:tplc="0809001B" w:tentative="1">
      <w:start w:val="1"/>
      <w:numFmt w:val="lowerRoman"/>
      <w:lvlText w:val="%9."/>
      <w:lvlJc w:val="right"/>
      <w:pPr>
        <w:ind w:left="8028" w:hanging="180"/>
      </w:pPr>
    </w:lvl>
  </w:abstractNum>
  <w:abstractNum w:abstractNumId="2" w15:restartNumberingAfterBreak="0">
    <w:nsid w:val="20FD37A6"/>
    <w:multiLevelType w:val="hybridMultilevel"/>
    <w:tmpl w:val="55CAA444"/>
    <w:lvl w:ilvl="0" w:tplc="0409000F">
      <w:start w:val="1"/>
      <w:numFmt w:val="decimal"/>
      <w:lvlText w:val="%1."/>
      <w:lvlJc w:val="left"/>
      <w:pPr>
        <w:ind w:left="1474" w:hanging="360"/>
      </w:p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3" w15:restartNumberingAfterBreak="0">
    <w:nsid w:val="2B4B152B"/>
    <w:multiLevelType w:val="hybridMultilevel"/>
    <w:tmpl w:val="3386ED3E"/>
    <w:lvl w:ilvl="0" w:tplc="FFFFFFFF">
      <w:start w:val="1"/>
      <w:numFmt w:val="decimal"/>
      <w:lvlText w:val="%1."/>
      <w:lvlJc w:val="left"/>
      <w:pPr>
        <w:ind w:left="1080" w:hanging="360"/>
      </w:pPr>
      <w:rPr>
        <w:rFonts w:hint="default"/>
        <w:b w:val="0"/>
        <w:sz w:val="24"/>
        <w:szCs w:val="24"/>
      </w:rPr>
    </w:lvl>
    <w:lvl w:ilvl="1" w:tplc="FFFFFFFF">
      <w:start w:val="1"/>
      <w:numFmt w:val="lowerLetter"/>
      <w:lvlText w:val="%2."/>
      <w:lvlJc w:val="left"/>
      <w:pPr>
        <w:ind w:left="19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0D52B17"/>
    <w:multiLevelType w:val="hybridMultilevel"/>
    <w:tmpl w:val="0F2E9828"/>
    <w:lvl w:ilvl="0" w:tplc="4656D63C">
      <w:start w:val="4"/>
      <w:numFmt w:val="upperRoman"/>
      <w:lvlText w:val="%1."/>
      <w:lvlJc w:val="right"/>
      <w:pPr>
        <w:ind w:left="810" w:hanging="360"/>
      </w:pPr>
      <w:rPr>
        <w:rFonts w:hint="default"/>
      </w:rPr>
    </w:lvl>
    <w:lvl w:ilvl="1" w:tplc="9BD276D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FF03D2"/>
    <w:multiLevelType w:val="hybridMultilevel"/>
    <w:tmpl w:val="97AADD8C"/>
    <w:lvl w:ilvl="0" w:tplc="04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38294536"/>
    <w:multiLevelType w:val="hybridMultilevel"/>
    <w:tmpl w:val="6C428642"/>
    <w:lvl w:ilvl="0" w:tplc="0382DC10">
      <w:start w:val="1"/>
      <w:numFmt w:val="lowerLetter"/>
      <w:lvlText w:val="%1."/>
      <w:lvlJc w:val="left"/>
      <w:pPr>
        <w:ind w:left="1571" w:hanging="360"/>
      </w:pPr>
      <w:rPr>
        <w:rFonts w:hint="default"/>
        <w:b w:val="0"/>
        <w:sz w:val="22"/>
        <w:szCs w:val="22"/>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7" w15:restartNumberingAfterBreak="0">
    <w:nsid w:val="3D9B1B4F"/>
    <w:multiLevelType w:val="hybridMultilevel"/>
    <w:tmpl w:val="63401B6A"/>
    <w:lvl w:ilvl="0" w:tplc="3190D744">
      <w:start w:val="1"/>
      <w:numFmt w:val="decimal"/>
      <w:lvlText w:val="%1."/>
      <w:lvlJc w:val="left"/>
      <w:pPr>
        <w:ind w:left="1080" w:hanging="360"/>
      </w:pPr>
      <w:rPr>
        <w:rFonts w:ascii="Arial" w:hAnsi="Arial" w:cs="Arial" w:hint="default"/>
        <w:b w:val="0"/>
        <w:sz w:val="24"/>
        <w:szCs w:val="24"/>
      </w:rPr>
    </w:lvl>
    <w:lvl w:ilvl="1" w:tplc="C8F4CF12">
      <w:start w:val="1"/>
      <w:numFmt w:val="lowerLetter"/>
      <w:lvlText w:val="%2."/>
      <w:lvlJc w:val="left"/>
      <w:pPr>
        <w:ind w:left="19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95B52"/>
    <w:multiLevelType w:val="hybridMultilevel"/>
    <w:tmpl w:val="7388A5EA"/>
    <w:lvl w:ilvl="0" w:tplc="4672D854">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71CC7"/>
    <w:multiLevelType w:val="hybridMultilevel"/>
    <w:tmpl w:val="8C62376C"/>
    <w:lvl w:ilvl="0" w:tplc="04090015">
      <w:start w:val="1"/>
      <w:numFmt w:val="upp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0" w15:restartNumberingAfterBreak="0">
    <w:nsid w:val="53C27D95"/>
    <w:multiLevelType w:val="hybridMultilevel"/>
    <w:tmpl w:val="18B09564"/>
    <w:styleLink w:val="ImportedStyle2"/>
    <w:lvl w:ilvl="0" w:tplc="A540F86C">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0A93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58749E">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E2D6E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BAA88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FE0C8C">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C604F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EAEF88">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ECD36C">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8A613A"/>
    <w:multiLevelType w:val="hybridMultilevel"/>
    <w:tmpl w:val="988CBE06"/>
    <w:lvl w:ilvl="0" w:tplc="FFFFFFFF">
      <w:start w:val="1"/>
      <w:numFmt w:val="decimal"/>
      <w:lvlText w:val="%1."/>
      <w:lvlJc w:val="left"/>
      <w:pPr>
        <w:ind w:left="1080" w:hanging="360"/>
      </w:pPr>
      <w:rPr>
        <w:rFonts w:hint="default"/>
        <w:b w:val="0"/>
        <w:sz w:val="24"/>
        <w:szCs w:val="24"/>
      </w:rPr>
    </w:lvl>
    <w:lvl w:ilvl="1" w:tplc="FFFFFFFF">
      <w:start w:val="1"/>
      <w:numFmt w:val="lowerLetter"/>
      <w:lvlText w:val="%2."/>
      <w:lvlJc w:val="left"/>
      <w:pPr>
        <w:ind w:left="19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BCC6B42"/>
    <w:multiLevelType w:val="hybridMultilevel"/>
    <w:tmpl w:val="07F0EE64"/>
    <w:lvl w:ilvl="0" w:tplc="AAEA85FC">
      <w:start w:val="1"/>
      <w:numFmt w:val="lowerRoman"/>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F2E4C"/>
    <w:multiLevelType w:val="multilevel"/>
    <w:tmpl w:val="18B09564"/>
    <w:numStyleLink w:val="ImportedStyle2"/>
  </w:abstractNum>
  <w:abstractNum w:abstractNumId="14" w15:restartNumberingAfterBreak="0">
    <w:nsid w:val="5F4938B2"/>
    <w:multiLevelType w:val="hybridMultilevel"/>
    <w:tmpl w:val="112E7CB2"/>
    <w:lvl w:ilvl="0" w:tplc="35D45E5A">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7827D7"/>
    <w:multiLevelType w:val="hybridMultilevel"/>
    <w:tmpl w:val="1EE20ACC"/>
    <w:lvl w:ilvl="0" w:tplc="343C6AB8">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BC61EF"/>
    <w:multiLevelType w:val="hybridMultilevel"/>
    <w:tmpl w:val="29D08048"/>
    <w:lvl w:ilvl="0" w:tplc="B596CD78">
      <w:start w:val="1"/>
      <w:numFmt w:val="decimal"/>
      <w:lvlText w:val="%1."/>
      <w:lvlJc w:val="left"/>
      <w:pPr>
        <w:ind w:left="360" w:hanging="360"/>
      </w:pPr>
      <w:rPr>
        <w:rFonts w:hint="default"/>
        <w:b w:val="0"/>
        <w:bCs/>
        <w:sz w:val="24"/>
        <w:szCs w:val="24"/>
      </w:rPr>
    </w:lvl>
    <w:lvl w:ilvl="1" w:tplc="6A4C7012">
      <w:start w:val="1"/>
      <w:numFmt w:val="lowerLetter"/>
      <w:lvlText w:val="%2."/>
      <w:lvlJc w:val="left"/>
      <w:pPr>
        <w:ind w:left="2160" w:hanging="360"/>
      </w:pPr>
      <w:rPr>
        <w:sz w:val="24"/>
      </w:rPr>
    </w:lvl>
    <w:lvl w:ilvl="2" w:tplc="19D2E662">
      <w:start w:val="1"/>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F1356A5"/>
    <w:multiLevelType w:val="hybridMultilevel"/>
    <w:tmpl w:val="032ACD12"/>
    <w:lvl w:ilvl="0" w:tplc="6024D72E">
      <w:start w:val="1"/>
      <w:numFmt w:val="upp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1586037211">
    <w:abstractNumId w:val="14"/>
  </w:num>
  <w:num w:numId="2" w16cid:durableId="716397454">
    <w:abstractNumId w:val="7"/>
  </w:num>
  <w:num w:numId="3" w16cid:durableId="1330791152">
    <w:abstractNumId w:val="15"/>
  </w:num>
  <w:num w:numId="4" w16cid:durableId="1835605661">
    <w:abstractNumId w:val="8"/>
  </w:num>
  <w:num w:numId="5" w16cid:durableId="84152170">
    <w:abstractNumId w:val="12"/>
  </w:num>
  <w:num w:numId="6" w16cid:durableId="1075934790">
    <w:abstractNumId w:val="6"/>
  </w:num>
  <w:num w:numId="7" w16cid:durableId="1392266314">
    <w:abstractNumId w:val="10"/>
  </w:num>
  <w:num w:numId="8" w16cid:durableId="2106682729">
    <w:abstractNumId w:val="4"/>
  </w:num>
  <w:num w:numId="9" w16cid:durableId="177736141">
    <w:abstractNumId w:val="5"/>
  </w:num>
  <w:num w:numId="10" w16cid:durableId="2033917310">
    <w:abstractNumId w:val="13"/>
    <w:lvlOverride w:ilvl="0">
      <w:lvl w:ilvl="0">
        <w:start w:val="1"/>
        <w:numFmt w:val="decimal"/>
        <w:lvlText w:val="%1."/>
        <w:lvlJc w:val="left"/>
        <w:pPr>
          <w:ind w:left="1080" w:hanging="360"/>
        </w:pPr>
        <w:rPr>
          <w:rFonts w:ascii="Arial" w:hAnsi="Arial" w:cs="Arial" w:hint="default"/>
          <w:b w:val="0"/>
          <w:i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458499301">
    <w:abstractNumId w:val="9"/>
  </w:num>
  <w:num w:numId="12" w16cid:durableId="1632637477">
    <w:abstractNumId w:val="17"/>
  </w:num>
  <w:num w:numId="13" w16cid:durableId="502279574">
    <w:abstractNumId w:val="17"/>
  </w:num>
  <w:num w:numId="14" w16cid:durableId="1674605103">
    <w:abstractNumId w:val="1"/>
  </w:num>
  <w:num w:numId="15" w16cid:durableId="1560481397">
    <w:abstractNumId w:val="2"/>
  </w:num>
  <w:num w:numId="16" w16cid:durableId="49616513">
    <w:abstractNumId w:val="16"/>
  </w:num>
  <w:num w:numId="17" w16cid:durableId="1650741060">
    <w:abstractNumId w:val="0"/>
  </w:num>
  <w:num w:numId="18" w16cid:durableId="1355572538">
    <w:abstractNumId w:val="3"/>
  </w:num>
  <w:num w:numId="19" w16cid:durableId="17358547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F3"/>
    <w:rsid w:val="000015E5"/>
    <w:rsid w:val="00001621"/>
    <w:rsid w:val="00001961"/>
    <w:rsid w:val="000028A5"/>
    <w:rsid w:val="00004F3D"/>
    <w:rsid w:val="000055E2"/>
    <w:rsid w:val="000065D8"/>
    <w:rsid w:val="00007FA2"/>
    <w:rsid w:val="00010EE5"/>
    <w:rsid w:val="000127FD"/>
    <w:rsid w:val="000135DB"/>
    <w:rsid w:val="00014E15"/>
    <w:rsid w:val="00015A72"/>
    <w:rsid w:val="00015C5A"/>
    <w:rsid w:val="00016CF2"/>
    <w:rsid w:val="0002175F"/>
    <w:rsid w:val="00022370"/>
    <w:rsid w:val="0002278C"/>
    <w:rsid w:val="0002321D"/>
    <w:rsid w:val="00030E8D"/>
    <w:rsid w:val="00031978"/>
    <w:rsid w:val="0003388A"/>
    <w:rsid w:val="00033AD0"/>
    <w:rsid w:val="00035878"/>
    <w:rsid w:val="00035A23"/>
    <w:rsid w:val="0003668F"/>
    <w:rsid w:val="00037343"/>
    <w:rsid w:val="00037954"/>
    <w:rsid w:val="00040040"/>
    <w:rsid w:val="00040C3C"/>
    <w:rsid w:val="000414DE"/>
    <w:rsid w:val="00043444"/>
    <w:rsid w:val="00045865"/>
    <w:rsid w:val="00045BFE"/>
    <w:rsid w:val="00045CF7"/>
    <w:rsid w:val="0004711D"/>
    <w:rsid w:val="00047200"/>
    <w:rsid w:val="0004724E"/>
    <w:rsid w:val="000473A9"/>
    <w:rsid w:val="00047D29"/>
    <w:rsid w:val="000521B2"/>
    <w:rsid w:val="000523D5"/>
    <w:rsid w:val="000528E1"/>
    <w:rsid w:val="00054700"/>
    <w:rsid w:val="000574A2"/>
    <w:rsid w:val="00057E08"/>
    <w:rsid w:val="0006020C"/>
    <w:rsid w:val="00060690"/>
    <w:rsid w:val="00060B9E"/>
    <w:rsid w:val="00062582"/>
    <w:rsid w:val="0006413A"/>
    <w:rsid w:val="0006449E"/>
    <w:rsid w:val="00066C14"/>
    <w:rsid w:val="00066D67"/>
    <w:rsid w:val="000678AF"/>
    <w:rsid w:val="00067A19"/>
    <w:rsid w:val="000705A5"/>
    <w:rsid w:val="00070AF2"/>
    <w:rsid w:val="0007236A"/>
    <w:rsid w:val="00072F0E"/>
    <w:rsid w:val="00073999"/>
    <w:rsid w:val="000747DC"/>
    <w:rsid w:val="00074D5C"/>
    <w:rsid w:val="000771EF"/>
    <w:rsid w:val="00077541"/>
    <w:rsid w:val="000817E9"/>
    <w:rsid w:val="00081CD2"/>
    <w:rsid w:val="0008369B"/>
    <w:rsid w:val="000867BC"/>
    <w:rsid w:val="00086B6B"/>
    <w:rsid w:val="00087C4A"/>
    <w:rsid w:val="00093127"/>
    <w:rsid w:val="00093E7E"/>
    <w:rsid w:val="00094EF7"/>
    <w:rsid w:val="000A3478"/>
    <w:rsid w:val="000A498D"/>
    <w:rsid w:val="000A4A85"/>
    <w:rsid w:val="000A5734"/>
    <w:rsid w:val="000A5837"/>
    <w:rsid w:val="000A5918"/>
    <w:rsid w:val="000A6794"/>
    <w:rsid w:val="000A6857"/>
    <w:rsid w:val="000A6EF8"/>
    <w:rsid w:val="000A7074"/>
    <w:rsid w:val="000A7794"/>
    <w:rsid w:val="000A7855"/>
    <w:rsid w:val="000B3778"/>
    <w:rsid w:val="000B38CD"/>
    <w:rsid w:val="000B4487"/>
    <w:rsid w:val="000B5215"/>
    <w:rsid w:val="000B5FAD"/>
    <w:rsid w:val="000C0442"/>
    <w:rsid w:val="000C0446"/>
    <w:rsid w:val="000C4362"/>
    <w:rsid w:val="000C4E0F"/>
    <w:rsid w:val="000C4F74"/>
    <w:rsid w:val="000C79E7"/>
    <w:rsid w:val="000D00DE"/>
    <w:rsid w:val="000D0990"/>
    <w:rsid w:val="000D0FE0"/>
    <w:rsid w:val="000D18E0"/>
    <w:rsid w:val="000D2478"/>
    <w:rsid w:val="000D325F"/>
    <w:rsid w:val="000D5570"/>
    <w:rsid w:val="000D5822"/>
    <w:rsid w:val="000D6C8F"/>
    <w:rsid w:val="000D6F62"/>
    <w:rsid w:val="000D77F9"/>
    <w:rsid w:val="000E3966"/>
    <w:rsid w:val="000E584A"/>
    <w:rsid w:val="000E6886"/>
    <w:rsid w:val="000F11DC"/>
    <w:rsid w:val="000F16D8"/>
    <w:rsid w:val="000F1885"/>
    <w:rsid w:val="000F2D81"/>
    <w:rsid w:val="000F30DC"/>
    <w:rsid w:val="000F7B5D"/>
    <w:rsid w:val="00100896"/>
    <w:rsid w:val="00101C00"/>
    <w:rsid w:val="001029DE"/>
    <w:rsid w:val="00103C4E"/>
    <w:rsid w:val="00103E39"/>
    <w:rsid w:val="00105731"/>
    <w:rsid w:val="00106AC6"/>
    <w:rsid w:val="00110DA6"/>
    <w:rsid w:val="001112CB"/>
    <w:rsid w:val="00111EAD"/>
    <w:rsid w:val="00113258"/>
    <w:rsid w:val="0011399B"/>
    <w:rsid w:val="0011460F"/>
    <w:rsid w:val="00116F6A"/>
    <w:rsid w:val="00117E26"/>
    <w:rsid w:val="00121906"/>
    <w:rsid w:val="001249CA"/>
    <w:rsid w:val="0012568E"/>
    <w:rsid w:val="001267F4"/>
    <w:rsid w:val="0012705E"/>
    <w:rsid w:val="00130B97"/>
    <w:rsid w:val="001330DA"/>
    <w:rsid w:val="00133F30"/>
    <w:rsid w:val="001345AE"/>
    <w:rsid w:val="00135356"/>
    <w:rsid w:val="0013665E"/>
    <w:rsid w:val="001366EA"/>
    <w:rsid w:val="00140ABC"/>
    <w:rsid w:val="001427CD"/>
    <w:rsid w:val="001427EF"/>
    <w:rsid w:val="00147CDA"/>
    <w:rsid w:val="00147FB2"/>
    <w:rsid w:val="00151A45"/>
    <w:rsid w:val="00153329"/>
    <w:rsid w:val="00155392"/>
    <w:rsid w:val="00155823"/>
    <w:rsid w:val="00156980"/>
    <w:rsid w:val="001630D6"/>
    <w:rsid w:val="001700FE"/>
    <w:rsid w:val="00170468"/>
    <w:rsid w:val="00170F55"/>
    <w:rsid w:val="00175DA8"/>
    <w:rsid w:val="0017607E"/>
    <w:rsid w:val="00177842"/>
    <w:rsid w:val="00180440"/>
    <w:rsid w:val="0018044A"/>
    <w:rsid w:val="001813FC"/>
    <w:rsid w:val="00183304"/>
    <w:rsid w:val="00183992"/>
    <w:rsid w:val="00185D7A"/>
    <w:rsid w:val="001865E7"/>
    <w:rsid w:val="00186687"/>
    <w:rsid w:val="00187EB9"/>
    <w:rsid w:val="00191B96"/>
    <w:rsid w:val="00192926"/>
    <w:rsid w:val="0019392C"/>
    <w:rsid w:val="0019613B"/>
    <w:rsid w:val="00196927"/>
    <w:rsid w:val="001974C8"/>
    <w:rsid w:val="00197BC8"/>
    <w:rsid w:val="001A05B4"/>
    <w:rsid w:val="001A0918"/>
    <w:rsid w:val="001A2C22"/>
    <w:rsid w:val="001A651F"/>
    <w:rsid w:val="001A6884"/>
    <w:rsid w:val="001A7380"/>
    <w:rsid w:val="001B1206"/>
    <w:rsid w:val="001B1947"/>
    <w:rsid w:val="001B37F4"/>
    <w:rsid w:val="001B76B4"/>
    <w:rsid w:val="001C1020"/>
    <w:rsid w:val="001C1DA8"/>
    <w:rsid w:val="001C4818"/>
    <w:rsid w:val="001C58BD"/>
    <w:rsid w:val="001D071E"/>
    <w:rsid w:val="001D3A5C"/>
    <w:rsid w:val="001D4BD1"/>
    <w:rsid w:val="001D4D9A"/>
    <w:rsid w:val="001D65CE"/>
    <w:rsid w:val="001D761A"/>
    <w:rsid w:val="001E0098"/>
    <w:rsid w:val="001E2FCB"/>
    <w:rsid w:val="001E4EC0"/>
    <w:rsid w:val="001E5B42"/>
    <w:rsid w:val="001E5BC8"/>
    <w:rsid w:val="001E69CC"/>
    <w:rsid w:val="001E6AB0"/>
    <w:rsid w:val="001E6C8F"/>
    <w:rsid w:val="001E79FD"/>
    <w:rsid w:val="001F011A"/>
    <w:rsid w:val="001F1BE5"/>
    <w:rsid w:val="001F246C"/>
    <w:rsid w:val="001F4ED9"/>
    <w:rsid w:val="001F5A6B"/>
    <w:rsid w:val="001F64E7"/>
    <w:rsid w:val="001F6531"/>
    <w:rsid w:val="00200392"/>
    <w:rsid w:val="0020091C"/>
    <w:rsid w:val="002019DA"/>
    <w:rsid w:val="0020206E"/>
    <w:rsid w:val="00205097"/>
    <w:rsid w:val="0020572E"/>
    <w:rsid w:val="00206A6B"/>
    <w:rsid w:val="002079EE"/>
    <w:rsid w:val="002127FB"/>
    <w:rsid w:val="00214365"/>
    <w:rsid w:val="00216E6B"/>
    <w:rsid w:val="00221411"/>
    <w:rsid w:val="00222BBE"/>
    <w:rsid w:val="00224DCE"/>
    <w:rsid w:val="00226F08"/>
    <w:rsid w:val="00227D6D"/>
    <w:rsid w:val="002306FA"/>
    <w:rsid w:val="00230D9F"/>
    <w:rsid w:val="00231C31"/>
    <w:rsid w:val="00233007"/>
    <w:rsid w:val="00233DF1"/>
    <w:rsid w:val="00237B4C"/>
    <w:rsid w:val="00240A35"/>
    <w:rsid w:val="00242838"/>
    <w:rsid w:val="0024413B"/>
    <w:rsid w:val="0024712D"/>
    <w:rsid w:val="00247437"/>
    <w:rsid w:val="002478E1"/>
    <w:rsid w:val="00251C9C"/>
    <w:rsid w:val="00252908"/>
    <w:rsid w:val="00253E9E"/>
    <w:rsid w:val="00253EAB"/>
    <w:rsid w:val="00253FD8"/>
    <w:rsid w:val="00254287"/>
    <w:rsid w:val="00254895"/>
    <w:rsid w:val="00254E74"/>
    <w:rsid w:val="0025591D"/>
    <w:rsid w:val="0025625C"/>
    <w:rsid w:val="00257882"/>
    <w:rsid w:val="002612F9"/>
    <w:rsid w:val="00265CE8"/>
    <w:rsid w:val="00265D9D"/>
    <w:rsid w:val="00271C7D"/>
    <w:rsid w:val="002727F8"/>
    <w:rsid w:val="00274362"/>
    <w:rsid w:val="0027472F"/>
    <w:rsid w:val="0027548C"/>
    <w:rsid w:val="00275564"/>
    <w:rsid w:val="0027683A"/>
    <w:rsid w:val="00280135"/>
    <w:rsid w:val="002801B8"/>
    <w:rsid w:val="0028178C"/>
    <w:rsid w:val="00281E49"/>
    <w:rsid w:val="002838DC"/>
    <w:rsid w:val="00283CC3"/>
    <w:rsid w:val="0028546A"/>
    <w:rsid w:val="0028623A"/>
    <w:rsid w:val="00287163"/>
    <w:rsid w:val="00287250"/>
    <w:rsid w:val="002874F4"/>
    <w:rsid w:val="0028786D"/>
    <w:rsid w:val="002941AD"/>
    <w:rsid w:val="002949E0"/>
    <w:rsid w:val="00294D76"/>
    <w:rsid w:val="002950BE"/>
    <w:rsid w:val="002961AB"/>
    <w:rsid w:val="0029687B"/>
    <w:rsid w:val="00297C2F"/>
    <w:rsid w:val="002A0A23"/>
    <w:rsid w:val="002A0D73"/>
    <w:rsid w:val="002A1D36"/>
    <w:rsid w:val="002A1F29"/>
    <w:rsid w:val="002A3160"/>
    <w:rsid w:val="002A321D"/>
    <w:rsid w:val="002A4558"/>
    <w:rsid w:val="002A7AD4"/>
    <w:rsid w:val="002B1636"/>
    <w:rsid w:val="002B1C1E"/>
    <w:rsid w:val="002B39B1"/>
    <w:rsid w:val="002B3B0C"/>
    <w:rsid w:val="002B456A"/>
    <w:rsid w:val="002B4B0E"/>
    <w:rsid w:val="002B6691"/>
    <w:rsid w:val="002B672F"/>
    <w:rsid w:val="002B6F9F"/>
    <w:rsid w:val="002C1451"/>
    <w:rsid w:val="002C22A8"/>
    <w:rsid w:val="002C25B7"/>
    <w:rsid w:val="002C2B7A"/>
    <w:rsid w:val="002C60D2"/>
    <w:rsid w:val="002D369D"/>
    <w:rsid w:val="002D3F1E"/>
    <w:rsid w:val="002D40CB"/>
    <w:rsid w:val="002D4F21"/>
    <w:rsid w:val="002D6838"/>
    <w:rsid w:val="002D74FB"/>
    <w:rsid w:val="002D77D3"/>
    <w:rsid w:val="002E00F6"/>
    <w:rsid w:val="002E030A"/>
    <w:rsid w:val="002E0C62"/>
    <w:rsid w:val="002E0F6D"/>
    <w:rsid w:val="002E1D3C"/>
    <w:rsid w:val="002E1F3C"/>
    <w:rsid w:val="002E3084"/>
    <w:rsid w:val="002E4DEA"/>
    <w:rsid w:val="002E5185"/>
    <w:rsid w:val="002E61D9"/>
    <w:rsid w:val="002E7C77"/>
    <w:rsid w:val="002F1325"/>
    <w:rsid w:val="002F2E2F"/>
    <w:rsid w:val="0030271E"/>
    <w:rsid w:val="00302DBF"/>
    <w:rsid w:val="00302FE7"/>
    <w:rsid w:val="003033D2"/>
    <w:rsid w:val="00304317"/>
    <w:rsid w:val="0030468C"/>
    <w:rsid w:val="003050B8"/>
    <w:rsid w:val="00305383"/>
    <w:rsid w:val="00306D33"/>
    <w:rsid w:val="00307034"/>
    <w:rsid w:val="00307C5B"/>
    <w:rsid w:val="00307DF1"/>
    <w:rsid w:val="003122CF"/>
    <w:rsid w:val="003125A2"/>
    <w:rsid w:val="003127F5"/>
    <w:rsid w:val="003136EC"/>
    <w:rsid w:val="00313B9F"/>
    <w:rsid w:val="00315973"/>
    <w:rsid w:val="00320097"/>
    <w:rsid w:val="003203EC"/>
    <w:rsid w:val="00321573"/>
    <w:rsid w:val="003219F8"/>
    <w:rsid w:val="00321F9B"/>
    <w:rsid w:val="0032249F"/>
    <w:rsid w:val="0032466A"/>
    <w:rsid w:val="00324CA5"/>
    <w:rsid w:val="00325E0C"/>
    <w:rsid w:val="0032650E"/>
    <w:rsid w:val="00326C4B"/>
    <w:rsid w:val="00330877"/>
    <w:rsid w:val="00333065"/>
    <w:rsid w:val="00333429"/>
    <w:rsid w:val="003344B5"/>
    <w:rsid w:val="00335645"/>
    <w:rsid w:val="003375E2"/>
    <w:rsid w:val="00340132"/>
    <w:rsid w:val="0034093D"/>
    <w:rsid w:val="00340F1B"/>
    <w:rsid w:val="003418E0"/>
    <w:rsid w:val="00341F23"/>
    <w:rsid w:val="0034372F"/>
    <w:rsid w:val="00343FC3"/>
    <w:rsid w:val="003446E3"/>
    <w:rsid w:val="00345859"/>
    <w:rsid w:val="00346E99"/>
    <w:rsid w:val="00347941"/>
    <w:rsid w:val="00351796"/>
    <w:rsid w:val="00353D50"/>
    <w:rsid w:val="003555F1"/>
    <w:rsid w:val="00360484"/>
    <w:rsid w:val="003604E0"/>
    <w:rsid w:val="00360A37"/>
    <w:rsid w:val="00360EE4"/>
    <w:rsid w:val="00363A04"/>
    <w:rsid w:val="00365702"/>
    <w:rsid w:val="00365EF7"/>
    <w:rsid w:val="00366596"/>
    <w:rsid w:val="00370339"/>
    <w:rsid w:val="00370F13"/>
    <w:rsid w:val="00371917"/>
    <w:rsid w:val="00372A05"/>
    <w:rsid w:val="00372E7C"/>
    <w:rsid w:val="00373BEE"/>
    <w:rsid w:val="00376AED"/>
    <w:rsid w:val="00380F2B"/>
    <w:rsid w:val="0038139E"/>
    <w:rsid w:val="003813AF"/>
    <w:rsid w:val="003818F3"/>
    <w:rsid w:val="00381D34"/>
    <w:rsid w:val="0038224F"/>
    <w:rsid w:val="003871B2"/>
    <w:rsid w:val="0039022E"/>
    <w:rsid w:val="00390CAD"/>
    <w:rsid w:val="0039101F"/>
    <w:rsid w:val="003920E6"/>
    <w:rsid w:val="00392248"/>
    <w:rsid w:val="00394ECF"/>
    <w:rsid w:val="00395030"/>
    <w:rsid w:val="003966B0"/>
    <w:rsid w:val="003A18F1"/>
    <w:rsid w:val="003A2FE5"/>
    <w:rsid w:val="003A68F3"/>
    <w:rsid w:val="003A78CF"/>
    <w:rsid w:val="003A7B4C"/>
    <w:rsid w:val="003A7B82"/>
    <w:rsid w:val="003B1EF2"/>
    <w:rsid w:val="003B2CFA"/>
    <w:rsid w:val="003B3186"/>
    <w:rsid w:val="003B606E"/>
    <w:rsid w:val="003B6297"/>
    <w:rsid w:val="003C0A1F"/>
    <w:rsid w:val="003C0B07"/>
    <w:rsid w:val="003C1FAA"/>
    <w:rsid w:val="003C6EE6"/>
    <w:rsid w:val="003C790E"/>
    <w:rsid w:val="003C7A20"/>
    <w:rsid w:val="003C7D04"/>
    <w:rsid w:val="003C7F0A"/>
    <w:rsid w:val="003D0B3D"/>
    <w:rsid w:val="003D0F2E"/>
    <w:rsid w:val="003D2340"/>
    <w:rsid w:val="003D2360"/>
    <w:rsid w:val="003D4A3A"/>
    <w:rsid w:val="003D747F"/>
    <w:rsid w:val="003D79D4"/>
    <w:rsid w:val="003E0060"/>
    <w:rsid w:val="003E010A"/>
    <w:rsid w:val="003E0C17"/>
    <w:rsid w:val="003E14D1"/>
    <w:rsid w:val="003E1D1D"/>
    <w:rsid w:val="003E2634"/>
    <w:rsid w:val="003E26D5"/>
    <w:rsid w:val="003E2DF3"/>
    <w:rsid w:val="003E4BD8"/>
    <w:rsid w:val="003E53CF"/>
    <w:rsid w:val="003E6F93"/>
    <w:rsid w:val="003E7F1F"/>
    <w:rsid w:val="003F058F"/>
    <w:rsid w:val="003F0C53"/>
    <w:rsid w:val="003F19EE"/>
    <w:rsid w:val="003F7505"/>
    <w:rsid w:val="00400E91"/>
    <w:rsid w:val="00400EE0"/>
    <w:rsid w:val="00401C67"/>
    <w:rsid w:val="00402A6E"/>
    <w:rsid w:val="0040548B"/>
    <w:rsid w:val="004054A9"/>
    <w:rsid w:val="0040658F"/>
    <w:rsid w:val="00407C79"/>
    <w:rsid w:val="004115ED"/>
    <w:rsid w:val="00412DC1"/>
    <w:rsid w:val="00413FA3"/>
    <w:rsid w:val="00415D8F"/>
    <w:rsid w:val="00415E59"/>
    <w:rsid w:val="00416432"/>
    <w:rsid w:val="00420EC3"/>
    <w:rsid w:val="004214DA"/>
    <w:rsid w:val="00421658"/>
    <w:rsid w:val="00423E3D"/>
    <w:rsid w:val="00425C27"/>
    <w:rsid w:val="0042676F"/>
    <w:rsid w:val="00427813"/>
    <w:rsid w:val="00432336"/>
    <w:rsid w:val="004326F5"/>
    <w:rsid w:val="004340C8"/>
    <w:rsid w:val="00435F3D"/>
    <w:rsid w:val="0043757E"/>
    <w:rsid w:val="00437AB1"/>
    <w:rsid w:val="004428AE"/>
    <w:rsid w:val="00443347"/>
    <w:rsid w:val="00443CCE"/>
    <w:rsid w:val="00444592"/>
    <w:rsid w:val="00450849"/>
    <w:rsid w:val="00450FE2"/>
    <w:rsid w:val="004546CC"/>
    <w:rsid w:val="00454AA6"/>
    <w:rsid w:val="00454E3D"/>
    <w:rsid w:val="0046059E"/>
    <w:rsid w:val="0046236A"/>
    <w:rsid w:val="004628CE"/>
    <w:rsid w:val="00462A53"/>
    <w:rsid w:val="00463592"/>
    <w:rsid w:val="00467B28"/>
    <w:rsid w:val="0047253A"/>
    <w:rsid w:val="00473C62"/>
    <w:rsid w:val="00474937"/>
    <w:rsid w:val="004755A5"/>
    <w:rsid w:val="00476C8F"/>
    <w:rsid w:val="00477853"/>
    <w:rsid w:val="00481081"/>
    <w:rsid w:val="004810BD"/>
    <w:rsid w:val="004826C4"/>
    <w:rsid w:val="00483C07"/>
    <w:rsid w:val="004853AC"/>
    <w:rsid w:val="004905D7"/>
    <w:rsid w:val="00491D6C"/>
    <w:rsid w:val="004925A5"/>
    <w:rsid w:val="00492C3C"/>
    <w:rsid w:val="004931BC"/>
    <w:rsid w:val="0049404E"/>
    <w:rsid w:val="004944F8"/>
    <w:rsid w:val="00494745"/>
    <w:rsid w:val="00494B89"/>
    <w:rsid w:val="0049503C"/>
    <w:rsid w:val="004972E9"/>
    <w:rsid w:val="004A007F"/>
    <w:rsid w:val="004A10FC"/>
    <w:rsid w:val="004A1295"/>
    <w:rsid w:val="004A3557"/>
    <w:rsid w:val="004A3D9C"/>
    <w:rsid w:val="004A3F02"/>
    <w:rsid w:val="004A4138"/>
    <w:rsid w:val="004A5934"/>
    <w:rsid w:val="004A60DC"/>
    <w:rsid w:val="004B11F3"/>
    <w:rsid w:val="004B17DF"/>
    <w:rsid w:val="004B19DE"/>
    <w:rsid w:val="004B26BF"/>
    <w:rsid w:val="004B57CB"/>
    <w:rsid w:val="004B5D2E"/>
    <w:rsid w:val="004B614D"/>
    <w:rsid w:val="004C0DB3"/>
    <w:rsid w:val="004C11F0"/>
    <w:rsid w:val="004C24E5"/>
    <w:rsid w:val="004C28E3"/>
    <w:rsid w:val="004C534F"/>
    <w:rsid w:val="004C551C"/>
    <w:rsid w:val="004C617A"/>
    <w:rsid w:val="004C6AF8"/>
    <w:rsid w:val="004C7450"/>
    <w:rsid w:val="004D062B"/>
    <w:rsid w:val="004D11D1"/>
    <w:rsid w:val="004D211D"/>
    <w:rsid w:val="004D2709"/>
    <w:rsid w:val="004D4D8A"/>
    <w:rsid w:val="004D78D3"/>
    <w:rsid w:val="004E6BAC"/>
    <w:rsid w:val="004F068E"/>
    <w:rsid w:val="004F12A3"/>
    <w:rsid w:val="004F1A71"/>
    <w:rsid w:val="004F38D8"/>
    <w:rsid w:val="004F4875"/>
    <w:rsid w:val="004F77DB"/>
    <w:rsid w:val="005013FC"/>
    <w:rsid w:val="005024A8"/>
    <w:rsid w:val="00503272"/>
    <w:rsid w:val="00503D4D"/>
    <w:rsid w:val="005051DB"/>
    <w:rsid w:val="00510409"/>
    <w:rsid w:val="005112D7"/>
    <w:rsid w:val="005115FE"/>
    <w:rsid w:val="00511792"/>
    <w:rsid w:val="00512396"/>
    <w:rsid w:val="00512D90"/>
    <w:rsid w:val="005138D6"/>
    <w:rsid w:val="00513F8B"/>
    <w:rsid w:val="005155A6"/>
    <w:rsid w:val="00520E0D"/>
    <w:rsid w:val="00521CAC"/>
    <w:rsid w:val="00521D0F"/>
    <w:rsid w:val="005227BE"/>
    <w:rsid w:val="00522DA0"/>
    <w:rsid w:val="00523698"/>
    <w:rsid w:val="0052380E"/>
    <w:rsid w:val="00525040"/>
    <w:rsid w:val="00525560"/>
    <w:rsid w:val="005276ED"/>
    <w:rsid w:val="0053175B"/>
    <w:rsid w:val="00532F5E"/>
    <w:rsid w:val="005347C6"/>
    <w:rsid w:val="0053569F"/>
    <w:rsid w:val="00535B66"/>
    <w:rsid w:val="005361B8"/>
    <w:rsid w:val="00540814"/>
    <w:rsid w:val="005412BF"/>
    <w:rsid w:val="00541418"/>
    <w:rsid w:val="005447AA"/>
    <w:rsid w:val="00544D61"/>
    <w:rsid w:val="0054704A"/>
    <w:rsid w:val="00547584"/>
    <w:rsid w:val="00547BEC"/>
    <w:rsid w:val="005530D1"/>
    <w:rsid w:val="00554B38"/>
    <w:rsid w:val="00554E93"/>
    <w:rsid w:val="005559F2"/>
    <w:rsid w:val="0055604A"/>
    <w:rsid w:val="00556345"/>
    <w:rsid w:val="00556529"/>
    <w:rsid w:val="0055697E"/>
    <w:rsid w:val="00556DE1"/>
    <w:rsid w:val="0055751C"/>
    <w:rsid w:val="00557750"/>
    <w:rsid w:val="005616AF"/>
    <w:rsid w:val="0056461B"/>
    <w:rsid w:val="00564630"/>
    <w:rsid w:val="0056493E"/>
    <w:rsid w:val="005649D1"/>
    <w:rsid w:val="005654FC"/>
    <w:rsid w:val="0056769A"/>
    <w:rsid w:val="00567827"/>
    <w:rsid w:val="00570CD3"/>
    <w:rsid w:val="00571900"/>
    <w:rsid w:val="00572C44"/>
    <w:rsid w:val="00573199"/>
    <w:rsid w:val="005772CD"/>
    <w:rsid w:val="005772E7"/>
    <w:rsid w:val="005779CF"/>
    <w:rsid w:val="00580970"/>
    <w:rsid w:val="00581D6A"/>
    <w:rsid w:val="00582045"/>
    <w:rsid w:val="005832F6"/>
    <w:rsid w:val="00585AA2"/>
    <w:rsid w:val="00585E44"/>
    <w:rsid w:val="005915C6"/>
    <w:rsid w:val="00592970"/>
    <w:rsid w:val="00593D54"/>
    <w:rsid w:val="00593F19"/>
    <w:rsid w:val="00593FC0"/>
    <w:rsid w:val="005966C1"/>
    <w:rsid w:val="0059702A"/>
    <w:rsid w:val="00597FA3"/>
    <w:rsid w:val="005A30DB"/>
    <w:rsid w:val="005A3A8E"/>
    <w:rsid w:val="005B02B5"/>
    <w:rsid w:val="005B10E0"/>
    <w:rsid w:val="005B2020"/>
    <w:rsid w:val="005B2FCC"/>
    <w:rsid w:val="005B36EA"/>
    <w:rsid w:val="005B4DEC"/>
    <w:rsid w:val="005B4E60"/>
    <w:rsid w:val="005B6E6B"/>
    <w:rsid w:val="005B77BE"/>
    <w:rsid w:val="005C1529"/>
    <w:rsid w:val="005C1E5C"/>
    <w:rsid w:val="005C425C"/>
    <w:rsid w:val="005C6E89"/>
    <w:rsid w:val="005D1D0D"/>
    <w:rsid w:val="005D24A8"/>
    <w:rsid w:val="005D3AD8"/>
    <w:rsid w:val="005D499E"/>
    <w:rsid w:val="005D50B9"/>
    <w:rsid w:val="005D51E2"/>
    <w:rsid w:val="005D5385"/>
    <w:rsid w:val="005D5A0E"/>
    <w:rsid w:val="005D6266"/>
    <w:rsid w:val="005D645D"/>
    <w:rsid w:val="005D72BF"/>
    <w:rsid w:val="005D72D3"/>
    <w:rsid w:val="005E0A55"/>
    <w:rsid w:val="005E0D07"/>
    <w:rsid w:val="005E147E"/>
    <w:rsid w:val="005E2A26"/>
    <w:rsid w:val="005E5151"/>
    <w:rsid w:val="005E5ED2"/>
    <w:rsid w:val="005E645F"/>
    <w:rsid w:val="005E6CE8"/>
    <w:rsid w:val="005F49B6"/>
    <w:rsid w:val="005F543A"/>
    <w:rsid w:val="005F7A0D"/>
    <w:rsid w:val="005F7A76"/>
    <w:rsid w:val="005F7EE1"/>
    <w:rsid w:val="00600D5E"/>
    <w:rsid w:val="00600F4C"/>
    <w:rsid w:val="00601574"/>
    <w:rsid w:val="00601AFC"/>
    <w:rsid w:val="006041C0"/>
    <w:rsid w:val="006065F3"/>
    <w:rsid w:val="00606755"/>
    <w:rsid w:val="00606766"/>
    <w:rsid w:val="006069A7"/>
    <w:rsid w:val="0060714C"/>
    <w:rsid w:val="00607BB8"/>
    <w:rsid w:val="006103C4"/>
    <w:rsid w:val="0061096D"/>
    <w:rsid w:val="00611B6A"/>
    <w:rsid w:val="006120B3"/>
    <w:rsid w:val="00612366"/>
    <w:rsid w:val="006126CA"/>
    <w:rsid w:val="00612BB1"/>
    <w:rsid w:val="00612EBB"/>
    <w:rsid w:val="00613BA0"/>
    <w:rsid w:val="00615893"/>
    <w:rsid w:val="00615FD5"/>
    <w:rsid w:val="00621475"/>
    <w:rsid w:val="006233CA"/>
    <w:rsid w:val="0062388A"/>
    <w:rsid w:val="006242A8"/>
    <w:rsid w:val="00626C80"/>
    <w:rsid w:val="00631D52"/>
    <w:rsid w:val="00632BE7"/>
    <w:rsid w:val="00633670"/>
    <w:rsid w:val="006343E6"/>
    <w:rsid w:val="006369EB"/>
    <w:rsid w:val="006376C0"/>
    <w:rsid w:val="00643C00"/>
    <w:rsid w:val="00645BD0"/>
    <w:rsid w:val="006460B2"/>
    <w:rsid w:val="006470CA"/>
    <w:rsid w:val="00653136"/>
    <w:rsid w:val="006542FE"/>
    <w:rsid w:val="00654BB8"/>
    <w:rsid w:val="00656AE6"/>
    <w:rsid w:val="0065700B"/>
    <w:rsid w:val="006614C2"/>
    <w:rsid w:val="006622AE"/>
    <w:rsid w:val="00663586"/>
    <w:rsid w:val="00663BD4"/>
    <w:rsid w:val="006656B4"/>
    <w:rsid w:val="00666D1C"/>
    <w:rsid w:val="0066736A"/>
    <w:rsid w:val="0066738D"/>
    <w:rsid w:val="006700B3"/>
    <w:rsid w:val="00670E8A"/>
    <w:rsid w:val="00671A60"/>
    <w:rsid w:val="00673423"/>
    <w:rsid w:val="00673EE6"/>
    <w:rsid w:val="00674A76"/>
    <w:rsid w:val="00675396"/>
    <w:rsid w:val="00675A60"/>
    <w:rsid w:val="00684CEC"/>
    <w:rsid w:val="006855F1"/>
    <w:rsid w:val="0068595C"/>
    <w:rsid w:val="00685BBE"/>
    <w:rsid w:val="006862E9"/>
    <w:rsid w:val="00686983"/>
    <w:rsid w:val="00686D79"/>
    <w:rsid w:val="00687E00"/>
    <w:rsid w:val="0069053B"/>
    <w:rsid w:val="00691DF4"/>
    <w:rsid w:val="00692129"/>
    <w:rsid w:val="00692453"/>
    <w:rsid w:val="006965EE"/>
    <w:rsid w:val="00697D50"/>
    <w:rsid w:val="00697EBC"/>
    <w:rsid w:val="006A0953"/>
    <w:rsid w:val="006A0FCB"/>
    <w:rsid w:val="006A331F"/>
    <w:rsid w:val="006A3396"/>
    <w:rsid w:val="006A3A1B"/>
    <w:rsid w:val="006A46AF"/>
    <w:rsid w:val="006A72AE"/>
    <w:rsid w:val="006B0A7C"/>
    <w:rsid w:val="006B2C8B"/>
    <w:rsid w:val="006B38D2"/>
    <w:rsid w:val="006B49E7"/>
    <w:rsid w:val="006B5FF2"/>
    <w:rsid w:val="006B682A"/>
    <w:rsid w:val="006B7C4F"/>
    <w:rsid w:val="006C0124"/>
    <w:rsid w:val="006C0147"/>
    <w:rsid w:val="006C0F06"/>
    <w:rsid w:val="006C5520"/>
    <w:rsid w:val="006C5530"/>
    <w:rsid w:val="006C6CBF"/>
    <w:rsid w:val="006D2254"/>
    <w:rsid w:val="006D3482"/>
    <w:rsid w:val="006D3C73"/>
    <w:rsid w:val="006D58EF"/>
    <w:rsid w:val="006D631B"/>
    <w:rsid w:val="006D76A9"/>
    <w:rsid w:val="006D7F09"/>
    <w:rsid w:val="006E0DD5"/>
    <w:rsid w:val="006E0F2E"/>
    <w:rsid w:val="006E241A"/>
    <w:rsid w:val="006E2642"/>
    <w:rsid w:val="006E4B66"/>
    <w:rsid w:val="006F2313"/>
    <w:rsid w:val="006F2BC1"/>
    <w:rsid w:val="006F44BE"/>
    <w:rsid w:val="006F571D"/>
    <w:rsid w:val="006F65E0"/>
    <w:rsid w:val="007012E5"/>
    <w:rsid w:val="00701A0A"/>
    <w:rsid w:val="00701DAC"/>
    <w:rsid w:val="00702CD8"/>
    <w:rsid w:val="00703916"/>
    <w:rsid w:val="00703BFA"/>
    <w:rsid w:val="007046F4"/>
    <w:rsid w:val="00704E54"/>
    <w:rsid w:val="0070595C"/>
    <w:rsid w:val="007061FD"/>
    <w:rsid w:val="00707D65"/>
    <w:rsid w:val="00711B5E"/>
    <w:rsid w:val="00712188"/>
    <w:rsid w:val="00712A94"/>
    <w:rsid w:val="00712D12"/>
    <w:rsid w:val="00713589"/>
    <w:rsid w:val="007208A6"/>
    <w:rsid w:val="00720F85"/>
    <w:rsid w:val="0072294F"/>
    <w:rsid w:val="007234EC"/>
    <w:rsid w:val="007235BA"/>
    <w:rsid w:val="00723B0C"/>
    <w:rsid w:val="007240AA"/>
    <w:rsid w:val="007242C0"/>
    <w:rsid w:val="00725C8B"/>
    <w:rsid w:val="00733071"/>
    <w:rsid w:val="007345DE"/>
    <w:rsid w:val="00735F07"/>
    <w:rsid w:val="007364E6"/>
    <w:rsid w:val="00740FA6"/>
    <w:rsid w:val="00740FAE"/>
    <w:rsid w:val="007410FA"/>
    <w:rsid w:val="00741FE3"/>
    <w:rsid w:val="007433DB"/>
    <w:rsid w:val="00744159"/>
    <w:rsid w:val="00744BFB"/>
    <w:rsid w:val="00745053"/>
    <w:rsid w:val="00745EE4"/>
    <w:rsid w:val="00746179"/>
    <w:rsid w:val="00747C09"/>
    <w:rsid w:val="00753667"/>
    <w:rsid w:val="007555F6"/>
    <w:rsid w:val="00755697"/>
    <w:rsid w:val="00760995"/>
    <w:rsid w:val="00761A16"/>
    <w:rsid w:val="00763835"/>
    <w:rsid w:val="0076383D"/>
    <w:rsid w:val="007647D4"/>
    <w:rsid w:val="00766B5F"/>
    <w:rsid w:val="00767366"/>
    <w:rsid w:val="007728AE"/>
    <w:rsid w:val="00772FF6"/>
    <w:rsid w:val="007745ED"/>
    <w:rsid w:val="0077460B"/>
    <w:rsid w:val="0077567D"/>
    <w:rsid w:val="00781284"/>
    <w:rsid w:val="00781EFC"/>
    <w:rsid w:val="00782A55"/>
    <w:rsid w:val="00785147"/>
    <w:rsid w:val="00785278"/>
    <w:rsid w:val="00785CEB"/>
    <w:rsid w:val="00786782"/>
    <w:rsid w:val="00787A1D"/>
    <w:rsid w:val="007918F8"/>
    <w:rsid w:val="00792117"/>
    <w:rsid w:val="007928D6"/>
    <w:rsid w:val="007934BE"/>
    <w:rsid w:val="00794F96"/>
    <w:rsid w:val="00797B02"/>
    <w:rsid w:val="007A05F9"/>
    <w:rsid w:val="007A23FE"/>
    <w:rsid w:val="007A4354"/>
    <w:rsid w:val="007A6ABC"/>
    <w:rsid w:val="007A7E31"/>
    <w:rsid w:val="007B5AFB"/>
    <w:rsid w:val="007B5B81"/>
    <w:rsid w:val="007C00A8"/>
    <w:rsid w:val="007C2908"/>
    <w:rsid w:val="007C45DA"/>
    <w:rsid w:val="007C4A6F"/>
    <w:rsid w:val="007C51DF"/>
    <w:rsid w:val="007C5926"/>
    <w:rsid w:val="007C70E5"/>
    <w:rsid w:val="007C7C26"/>
    <w:rsid w:val="007D1115"/>
    <w:rsid w:val="007D19B8"/>
    <w:rsid w:val="007D1D53"/>
    <w:rsid w:val="007D240B"/>
    <w:rsid w:val="007D2B0F"/>
    <w:rsid w:val="007D3840"/>
    <w:rsid w:val="007D4629"/>
    <w:rsid w:val="007E0CCB"/>
    <w:rsid w:val="007E1842"/>
    <w:rsid w:val="007F171E"/>
    <w:rsid w:val="007F211B"/>
    <w:rsid w:val="007F4190"/>
    <w:rsid w:val="007F55C2"/>
    <w:rsid w:val="007F5749"/>
    <w:rsid w:val="007F752F"/>
    <w:rsid w:val="0080298D"/>
    <w:rsid w:val="00802EB2"/>
    <w:rsid w:val="00802EE3"/>
    <w:rsid w:val="008032E2"/>
    <w:rsid w:val="00803725"/>
    <w:rsid w:val="00805782"/>
    <w:rsid w:val="0080794A"/>
    <w:rsid w:val="00811101"/>
    <w:rsid w:val="00813885"/>
    <w:rsid w:val="00813A30"/>
    <w:rsid w:val="0081400F"/>
    <w:rsid w:val="00814834"/>
    <w:rsid w:val="00816595"/>
    <w:rsid w:val="00821473"/>
    <w:rsid w:val="00822F0C"/>
    <w:rsid w:val="00825547"/>
    <w:rsid w:val="0082594B"/>
    <w:rsid w:val="00825BB1"/>
    <w:rsid w:val="008279E7"/>
    <w:rsid w:val="00834567"/>
    <w:rsid w:val="00834AE0"/>
    <w:rsid w:val="0083534B"/>
    <w:rsid w:val="00835C4C"/>
    <w:rsid w:val="0084193A"/>
    <w:rsid w:val="00841D89"/>
    <w:rsid w:val="00842BCD"/>
    <w:rsid w:val="00844911"/>
    <w:rsid w:val="00850733"/>
    <w:rsid w:val="008507A7"/>
    <w:rsid w:val="00850E7B"/>
    <w:rsid w:val="00851062"/>
    <w:rsid w:val="00851554"/>
    <w:rsid w:val="00853E3B"/>
    <w:rsid w:val="008541AA"/>
    <w:rsid w:val="0085681F"/>
    <w:rsid w:val="008600CD"/>
    <w:rsid w:val="008602AE"/>
    <w:rsid w:val="00860C74"/>
    <w:rsid w:val="008645F6"/>
    <w:rsid w:val="00864A86"/>
    <w:rsid w:val="0086689E"/>
    <w:rsid w:val="00866A17"/>
    <w:rsid w:val="00867D39"/>
    <w:rsid w:val="008712E3"/>
    <w:rsid w:val="00871770"/>
    <w:rsid w:val="00872AAA"/>
    <w:rsid w:val="00873420"/>
    <w:rsid w:val="00875AE8"/>
    <w:rsid w:val="00876DFF"/>
    <w:rsid w:val="008809E2"/>
    <w:rsid w:val="0088246F"/>
    <w:rsid w:val="00882874"/>
    <w:rsid w:val="00882ABD"/>
    <w:rsid w:val="00882FA6"/>
    <w:rsid w:val="00884665"/>
    <w:rsid w:val="00886A14"/>
    <w:rsid w:val="00887537"/>
    <w:rsid w:val="00894ABA"/>
    <w:rsid w:val="00894AC1"/>
    <w:rsid w:val="008961AE"/>
    <w:rsid w:val="00897FEE"/>
    <w:rsid w:val="008A1D00"/>
    <w:rsid w:val="008A35C3"/>
    <w:rsid w:val="008A46B2"/>
    <w:rsid w:val="008A4E5C"/>
    <w:rsid w:val="008B2CF1"/>
    <w:rsid w:val="008B3BE5"/>
    <w:rsid w:val="008B6E3B"/>
    <w:rsid w:val="008B715A"/>
    <w:rsid w:val="008C03C8"/>
    <w:rsid w:val="008C27ED"/>
    <w:rsid w:val="008C2E18"/>
    <w:rsid w:val="008C33D7"/>
    <w:rsid w:val="008C4716"/>
    <w:rsid w:val="008C6B4B"/>
    <w:rsid w:val="008C6DA3"/>
    <w:rsid w:val="008D02BC"/>
    <w:rsid w:val="008D0B8D"/>
    <w:rsid w:val="008D2B23"/>
    <w:rsid w:val="008D3580"/>
    <w:rsid w:val="008D3A91"/>
    <w:rsid w:val="008D6B7F"/>
    <w:rsid w:val="008E23FA"/>
    <w:rsid w:val="008E28E8"/>
    <w:rsid w:val="008E5B17"/>
    <w:rsid w:val="008E6DF7"/>
    <w:rsid w:val="008E7584"/>
    <w:rsid w:val="008E79C9"/>
    <w:rsid w:val="008F1B28"/>
    <w:rsid w:val="008F2CD2"/>
    <w:rsid w:val="008F6237"/>
    <w:rsid w:val="008F6933"/>
    <w:rsid w:val="008F7894"/>
    <w:rsid w:val="00900AB2"/>
    <w:rsid w:val="009024B0"/>
    <w:rsid w:val="00902CDD"/>
    <w:rsid w:val="00902FCA"/>
    <w:rsid w:val="009040C8"/>
    <w:rsid w:val="009059FA"/>
    <w:rsid w:val="00905B2F"/>
    <w:rsid w:val="00907999"/>
    <w:rsid w:val="009105D5"/>
    <w:rsid w:val="00910673"/>
    <w:rsid w:val="00913FA1"/>
    <w:rsid w:val="0091459F"/>
    <w:rsid w:val="00914D52"/>
    <w:rsid w:val="009163E2"/>
    <w:rsid w:val="009175F6"/>
    <w:rsid w:val="00917D20"/>
    <w:rsid w:val="00917D4F"/>
    <w:rsid w:val="00920682"/>
    <w:rsid w:val="00922C05"/>
    <w:rsid w:val="00923444"/>
    <w:rsid w:val="00924A84"/>
    <w:rsid w:val="0092531B"/>
    <w:rsid w:val="00926EFC"/>
    <w:rsid w:val="0092743A"/>
    <w:rsid w:val="009309DC"/>
    <w:rsid w:val="00930EBA"/>
    <w:rsid w:val="00932696"/>
    <w:rsid w:val="0093372B"/>
    <w:rsid w:val="009346ED"/>
    <w:rsid w:val="00937B2E"/>
    <w:rsid w:val="009409F1"/>
    <w:rsid w:val="00940F8C"/>
    <w:rsid w:val="00941493"/>
    <w:rsid w:val="00941608"/>
    <w:rsid w:val="00941DE2"/>
    <w:rsid w:val="00942071"/>
    <w:rsid w:val="009427E7"/>
    <w:rsid w:val="00944402"/>
    <w:rsid w:val="00946BB9"/>
    <w:rsid w:val="0094718C"/>
    <w:rsid w:val="0094733C"/>
    <w:rsid w:val="00947423"/>
    <w:rsid w:val="00947DB2"/>
    <w:rsid w:val="00950B2D"/>
    <w:rsid w:val="00951F6A"/>
    <w:rsid w:val="00952040"/>
    <w:rsid w:val="00952FA8"/>
    <w:rsid w:val="00953A72"/>
    <w:rsid w:val="00954BC5"/>
    <w:rsid w:val="009556C7"/>
    <w:rsid w:val="009559B3"/>
    <w:rsid w:val="0096014F"/>
    <w:rsid w:val="0096254C"/>
    <w:rsid w:val="00962F05"/>
    <w:rsid w:val="00964121"/>
    <w:rsid w:val="0096701F"/>
    <w:rsid w:val="0097044B"/>
    <w:rsid w:val="00971009"/>
    <w:rsid w:val="00972A2F"/>
    <w:rsid w:val="00972C6E"/>
    <w:rsid w:val="00974AA8"/>
    <w:rsid w:val="009768FC"/>
    <w:rsid w:val="00977283"/>
    <w:rsid w:val="00977C5B"/>
    <w:rsid w:val="00980202"/>
    <w:rsid w:val="00981C3C"/>
    <w:rsid w:val="009827DF"/>
    <w:rsid w:val="0098281E"/>
    <w:rsid w:val="0098482C"/>
    <w:rsid w:val="0098537C"/>
    <w:rsid w:val="009855F8"/>
    <w:rsid w:val="00987906"/>
    <w:rsid w:val="0099005F"/>
    <w:rsid w:val="00990ED9"/>
    <w:rsid w:val="0099504A"/>
    <w:rsid w:val="00995BF4"/>
    <w:rsid w:val="009968DC"/>
    <w:rsid w:val="00996B67"/>
    <w:rsid w:val="009975B3"/>
    <w:rsid w:val="00997D3F"/>
    <w:rsid w:val="00997F2C"/>
    <w:rsid w:val="009A09E5"/>
    <w:rsid w:val="009A11EB"/>
    <w:rsid w:val="009A14B0"/>
    <w:rsid w:val="009A261B"/>
    <w:rsid w:val="009A3932"/>
    <w:rsid w:val="009A3C1D"/>
    <w:rsid w:val="009A54F5"/>
    <w:rsid w:val="009A5E18"/>
    <w:rsid w:val="009A73FE"/>
    <w:rsid w:val="009B06C2"/>
    <w:rsid w:val="009B0ACD"/>
    <w:rsid w:val="009B1653"/>
    <w:rsid w:val="009B3343"/>
    <w:rsid w:val="009B57A0"/>
    <w:rsid w:val="009B626A"/>
    <w:rsid w:val="009B6426"/>
    <w:rsid w:val="009B6C94"/>
    <w:rsid w:val="009B7E5E"/>
    <w:rsid w:val="009C2CC2"/>
    <w:rsid w:val="009C3676"/>
    <w:rsid w:val="009C43A7"/>
    <w:rsid w:val="009C7EDD"/>
    <w:rsid w:val="009D0136"/>
    <w:rsid w:val="009D038D"/>
    <w:rsid w:val="009D0781"/>
    <w:rsid w:val="009D386A"/>
    <w:rsid w:val="009D7C2C"/>
    <w:rsid w:val="009E29C1"/>
    <w:rsid w:val="009E3BD6"/>
    <w:rsid w:val="009E491E"/>
    <w:rsid w:val="009E58EC"/>
    <w:rsid w:val="009F0C68"/>
    <w:rsid w:val="009F21C0"/>
    <w:rsid w:val="009F2B63"/>
    <w:rsid w:val="009F34F5"/>
    <w:rsid w:val="009F48CB"/>
    <w:rsid w:val="00A00642"/>
    <w:rsid w:val="00A01C6F"/>
    <w:rsid w:val="00A03A89"/>
    <w:rsid w:val="00A04414"/>
    <w:rsid w:val="00A04DE5"/>
    <w:rsid w:val="00A05CAC"/>
    <w:rsid w:val="00A07FA3"/>
    <w:rsid w:val="00A10B85"/>
    <w:rsid w:val="00A12516"/>
    <w:rsid w:val="00A1287A"/>
    <w:rsid w:val="00A12AB4"/>
    <w:rsid w:val="00A135D9"/>
    <w:rsid w:val="00A20BF5"/>
    <w:rsid w:val="00A2118C"/>
    <w:rsid w:val="00A2143F"/>
    <w:rsid w:val="00A21834"/>
    <w:rsid w:val="00A2243D"/>
    <w:rsid w:val="00A23D0B"/>
    <w:rsid w:val="00A243BD"/>
    <w:rsid w:val="00A248FB"/>
    <w:rsid w:val="00A252D1"/>
    <w:rsid w:val="00A255C8"/>
    <w:rsid w:val="00A263C3"/>
    <w:rsid w:val="00A27AF8"/>
    <w:rsid w:val="00A36D47"/>
    <w:rsid w:val="00A406A3"/>
    <w:rsid w:val="00A42F7C"/>
    <w:rsid w:val="00A43398"/>
    <w:rsid w:val="00A5098F"/>
    <w:rsid w:val="00A518AF"/>
    <w:rsid w:val="00A52853"/>
    <w:rsid w:val="00A56FBF"/>
    <w:rsid w:val="00A61595"/>
    <w:rsid w:val="00A63C35"/>
    <w:rsid w:val="00A64C79"/>
    <w:rsid w:val="00A64CBC"/>
    <w:rsid w:val="00A665EA"/>
    <w:rsid w:val="00A67ADD"/>
    <w:rsid w:val="00A67AF0"/>
    <w:rsid w:val="00A709DF"/>
    <w:rsid w:val="00A7214E"/>
    <w:rsid w:val="00A72983"/>
    <w:rsid w:val="00A74C9F"/>
    <w:rsid w:val="00A7550F"/>
    <w:rsid w:val="00A77D0B"/>
    <w:rsid w:val="00A8029B"/>
    <w:rsid w:val="00A80AA9"/>
    <w:rsid w:val="00A8260E"/>
    <w:rsid w:val="00A82BD8"/>
    <w:rsid w:val="00A8464E"/>
    <w:rsid w:val="00A869D6"/>
    <w:rsid w:val="00A87F1D"/>
    <w:rsid w:val="00A9078A"/>
    <w:rsid w:val="00A90CEC"/>
    <w:rsid w:val="00A94BB0"/>
    <w:rsid w:val="00A94BF8"/>
    <w:rsid w:val="00A95071"/>
    <w:rsid w:val="00A963F6"/>
    <w:rsid w:val="00A97B8D"/>
    <w:rsid w:val="00AA00B5"/>
    <w:rsid w:val="00AA2929"/>
    <w:rsid w:val="00AA2D52"/>
    <w:rsid w:val="00AA30DF"/>
    <w:rsid w:val="00AA4326"/>
    <w:rsid w:val="00AA44EF"/>
    <w:rsid w:val="00AA5676"/>
    <w:rsid w:val="00AA5EF6"/>
    <w:rsid w:val="00AB03F9"/>
    <w:rsid w:val="00AB1574"/>
    <w:rsid w:val="00AB1F64"/>
    <w:rsid w:val="00AB494D"/>
    <w:rsid w:val="00AB4CBA"/>
    <w:rsid w:val="00AB7180"/>
    <w:rsid w:val="00AC02A8"/>
    <w:rsid w:val="00AC10CF"/>
    <w:rsid w:val="00AC1AEE"/>
    <w:rsid w:val="00AC2BDE"/>
    <w:rsid w:val="00AC64E4"/>
    <w:rsid w:val="00AC6A39"/>
    <w:rsid w:val="00AD05C7"/>
    <w:rsid w:val="00AD2876"/>
    <w:rsid w:val="00AD28A8"/>
    <w:rsid w:val="00AD40C8"/>
    <w:rsid w:val="00AD4A24"/>
    <w:rsid w:val="00AD5752"/>
    <w:rsid w:val="00AD5CC0"/>
    <w:rsid w:val="00AD6D5B"/>
    <w:rsid w:val="00AD78E1"/>
    <w:rsid w:val="00AD7EC4"/>
    <w:rsid w:val="00AE27F9"/>
    <w:rsid w:val="00AE2CD5"/>
    <w:rsid w:val="00AE702D"/>
    <w:rsid w:val="00AE7EF8"/>
    <w:rsid w:val="00AE7F81"/>
    <w:rsid w:val="00AF1E0E"/>
    <w:rsid w:val="00AF2062"/>
    <w:rsid w:val="00AF27ED"/>
    <w:rsid w:val="00AF2CBE"/>
    <w:rsid w:val="00AF4197"/>
    <w:rsid w:val="00AF4BA2"/>
    <w:rsid w:val="00AF5B55"/>
    <w:rsid w:val="00AF73FA"/>
    <w:rsid w:val="00AF748C"/>
    <w:rsid w:val="00B012DF"/>
    <w:rsid w:val="00B016A8"/>
    <w:rsid w:val="00B022D4"/>
    <w:rsid w:val="00B06211"/>
    <w:rsid w:val="00B06E11"/>
    <w:rsid w:val="00B07344"/>
    <w:rsid w:val="00B074D8"/>
    <w:rsid w:val="00B07F07"/>
    <w:rsid w:val="00B17EB0"/>
    <w:rsid w:val="00B22378"/>
    <w:rsid w:val="00B2274E"/>
    <w:rsid w:val="00B22E55"/>
    <w:rsid w:val="00B23AF2"/>
    <w:rsid w:val="00B23E42"/>
    <w:rsid w:val="00B2448E"/>
    <w:rsid w:val="00B26813"/>
    <w:rsid w:val="00B26FF7"/>
    <w:rsid w:val="00B31127"/>
    <w:rsid w:val="00B3143A"/>
    <w:rsid w:val="00B32CEB"/>
    <w:rsid w:val="00B32D51"/>
    <w:rsid w:val="00B40B2F"/>
    <w:rsid w:val="00B43A9D"/>
    <w:rsid w:val="00B506BE"/>
    <w:rsid w:val="00B54A78"/>
    <w:rsid w:val="00B55015"/>
    <w:rsid w:val="00B578F5"/>
    <w:rsid w:val="00B60F71"/>
    <w:rsid w:val="00B62ADE"/>
    <w:rsid w:val="00B66EC7"/>
    <w:rsid w:val="00B671DE"/>
    <w:rsid w:val="00B67B2E"/>
    <w:rsid w:val="00B71A4A"/>
    <w:rsid w:val="00B7243A"/>
    <w:rsid w:val="00B75E14"/>
    <w:rsid w:val="00B76F19"/>
    <w:rsid w:val="00B8016D"/>
    <w:rsid w:val="00B80AA5"/>
    <w:rsid w:val="00B82D02"/>
    <w:rsid w:val="00B82F78"/>
    <w:rsid w:val="00B86D98"/>
    <w:rsid w:val="00B8702F"/>
    <w:rsid w:val="00B875E5"/>
    <w:rsid w:val="00B87871"/>
    <w:rsid w:val="00B879F8"/>
    <w:rsid w:val="00B902B2"/>
    <w:rsid w:val="00B90695"/>
    <w:rsid w:val="00B908B1"/>
    <w:rsid w:val="00B9225E"/>
    <w:rsid w:val="00B922D3"/>
    <w:rsid w:val="00B92627"/>
    <w:rsid w:val="00B92F12"/>
    <w:rsid w:val="00B94D34"/>
    <w:rsid w:val="00B9567D"/>
    <w:rsid w:val="00B956A7"/>
    <w:rsid w:val="00B9791A"/>
    <w:rsid w:val="00BA04D3"/>
    <w:rsid w:val="00BA226D"/>
    <w:rsid w:val="00BA33E2"/>
    <w:rsid w:val="00BA3B6B"/>
    <w:rsid w:val="00BA3C29"/>
    <w:rsid w:val="00BA3C55"/>
    <w:rsid w:val="00BA4E3F"/>
    <w:rsid w:val="00BA61E4"/>
    <w:rsid w:val="00BA65BF"/>
    <w:rsid w:val="00BB1659"/>
    <w:rsid w:val="00BB4152"/>
    <w:rsid w:val="00BB4600"/>
    <w:rsid w:val="00BC0ACF"/>
    <w:rsid w:val="00BC493A"/>
    <w:rsid w:val="00BC4C31"/>
    <w:rsid w:val="00BC77DE"/>
    <w:rsid w:val="00BD04B3"/>
    <w:rsid w:val="00BD2516"/>
    <w:rsid w:val="00BD303B"/>
    <w:rsid w:val="00BD3965"/>
    <w:rsid w:val="00BD3A3A"/>
    <w:rsid w:val="00BD5134"/>
    <w:rsid w:val="00BD6141"/>
    <w:rsid w:val="00BD7E8E"/>
    <w:rsid w:val="00BE6E92"/>
    <w:rsid w:val="00BE7F3C"/>
    <w:rsid w:val="00BF4253"/>
    <w:rsid w:val="00BF4480"/>
    <w:rsid w:val="00C0060D"/>
    <w:rsid w:val="00C02936"/>
    <w:rsid w:val="00C03EC7"/>
    <w:rsid w:val="00C05A7F"/>
    <w:rsid w:val="00C0735A"/>
    <w:rsid w:val="00C10EB8"/>
    <w:rsid w:val="00C120A7"/>
    <w:rsid w:val="00C126DD"/>
    <w:rsid w:val="00C14669"/>
    <w:rsid w:val="00C158B8"/>
    <w:rsid w:val="00C1691C"/>
    <w:rsid w:val="00C16DAC"/>
    <w:rsid w:val="00C17447"/>
    <w:rsid w:val="00C17488"/>
    <w:rsid w:val="00C22B2D"/>
    <w:rsid w:val="00C24F29"/>
    <w:rsid w:val="00C265D2"/>
    <w:rsid w:val="00C27F38"/>
    <w:rsid w:val="00C3077D"/>
    <w:rsid w:val="00C31167"/>
    <w:rsid w:val="00C3155B"/>
    <w:rsid w:val="00C3289E"/>
    <w:rsid w:val="00C334BB"/>
    <w:rsid w:val="00C351E3"/>
    <w:rsid w:val="00C36827"/>
    <w:rsid w:val="00C40984"/>
    <w:rsid w:val="00C41400"/>
    <w:rsid w:val="00C42344"/>
    <w:rsid w:val="00C4407E"/>
    <w:rsid w:val="00C447DF"/>
    <w:rsid w:val="00C4583D"/>
    <w:rsid w:val="00C516E3"/>
    <w:rsid w:val="00C52A8A"/>
    <w:rsid w:val="00C53860"/>
    <w:rsid w:val="00C5505E"/>
    <w:rsid w:val="00C55C6F"/>
    <w:rsid w:val="00C56B18"/>
    <w:rsid w:val="00C63E7C"/>
    <w:rsid w:val="00C66443"/>
    <w:rsid w:val="00C705DB"/>
    <w:rsid w:val="00C71178"/>
    <w:rsid w:val="00C77D7A"/>
    <w:rsid w:val="00C86FFB"/>
    <w:rsid w:val="00C8732F"/>
    <w:rsid w:val="00C87768"/>
    <w:rsid w:val="00C902E6"/>
    <w:rsid w:val="00C915FB"/>
    <w:rsid w:val="00C917D0"/>
    <w:rsid w:val="00C9257E"/>
    <w:rsid w:val="00C94AD8"/>
    <w:rsid w:val="00C95C1F"/>
    <w:rsid w:val="00CA205F"/>
    <w:rsid w:val="00CA2968"/>
    <w:rsid w:val="00CA49D9"/>
    <w:rsid w:val="00CA4F80"/>
    <w:rsid w:val="00CA5017"/>
    <w:rsid w:val="00CA5464"/>
    <w:rsid w:val="00CA6FA1"/>
    <w:rsid w:val="00CB0296"/>
    <w:rsid w:val="00CB0FC2"/>
    <w:rsid w:val="00CB2648"/>
    <w:rsid w:val="00CB285B"/>
    <w:rsid w:val="00CB37AD"/>
    <w:rsid w:val="00CB391F"/>
    <w:rsid w:val="00CB3F35"/>
    <w:rsid w:val="00CC282B"/>
    <w:rsid w:val="00CC29ED"/>
    <w:rsid w:val="00CC2C12"/>
    <w:rsid w:val="00CC3274"/>
    <w:rsid w:val="00CC3A0D"/>
    <w:rsid w:val="00CC5D39"/>
    <w:rsid w:val="00CC69FE"/>
    <w:rsid w:val="00CC7BE9"/>
    <w:rsid w:val="00CD2C7A"/>
    <w:rsid w:val="00CD38EF"/>
    <w:rsid w:val="00CD488F"/>
    <w:rsid w:val="00CD4CBD"/>
    <w:rsid w:val="00CD4CF5"/>
    <w:rsid w:val="00CD60D7"/>
    <w:rsid w:val="00CE00E6"/>
    <w:rsid w:val="00CE2D8D"/>
    <w:rsid w:val="00CE3C4E"/>
    <w:rsid w:val="00CE4F26"/>
    <w:rsid w:val="00CE5265"/>
    <w:rsid w:val="00CE5739"/>
    <w:rsid w:val="00CE6527"/>
    <w:rsid w:val="00CE6609"/>
    <w:rsid w:val="00CE7243"/>
    <w:rsid w:val="00CE77AA"/>
    <w:rsid w:val="00CE7E91"/>
    <w:rsid w:val="00CF1475"/>
    <w:rsid w:val="00CF220E"/>
    <w:rsid w:val="00CF281A"/>
    <w:rsid w:val="00CF2F89"/>
    <w:rsid w:val="00CF431D"/>
    <w:rsid w:val="00CF45E0"/>
    <w:rsid w:val="00CF53D9"/>
    <w:rsid w:val="00CF544B"/>
    <w:rsid w:val="00CF5985"/>
    <w:rsid w:val="00CF619A"/>
    <w:rsid w:val="00D00C74"/>
    <w:rsid w:val="00D02498"/>
    <w:rsid w:val="00D0410A"/>
    <w:rsid w:val="00D047E1"/>
    <w:rsid w:val="00D077AE"/>
    <w:rsid w:val="00D078C5"/>
    <w:rsid w:val="00D10185"/>
    <w:rsid w:val="00D10450"/>
    <w:rsid w:val="00D13FD5"/>
    <w:rsid w:val="00D141F3"/>
    <w:rsid w:val="00D14834"/>
    <w:rsid w:val="00D160A4"/>
    <w:rsid w:val="00D2265E"/>
    <w:rsid w:val="00D2418E"/>
    <w:rsid w:val="00D24682"/>
    <w:rsid w:val="00D2583C"/>
    <w:rsid w:val="00D2767D"/>
    <w:rsid w:val="00D27EB2"/>
    <w:rsid w:val="00D32690"/>
    <w:rsid w:val="00D336F4"/>
    <w:rsid w:val="00D33D80"/>
    <w:rsid w:val="00D34538"/>
    <w:rsid w:val="00D356F8"/>
    <w:rsid w:val="00D360FE"/>
    <w:rsid w:val="00D3693A"/>
    <w:rsid w:val="00D36AD2"/>
    <w:rsid w:val="00D37104"/>
    <w:rsid w:val="00D4081C"/>
    <w:rsid w:val="00D40854"/>
    <w:rsid w:val="00D43AFA"/>
    <w:rsid w:val="00D453B7"/>
    <w:rsid w:val="00D46E96"/>
    <w:rsid w:val="00D46FEF"/>
    <w:rsid w:val="00D472FE"/>
    <w:rsid w:val="00D504F0"/>
    <w:rsid w:val="00D50804"/>
    <w:rsid w:val="00D50920"/>
    <w:rsid w:val="00D50CE2"/>
    <w:rsid w:val="00D51974"/>
    <w:rsid w:val="00D52B3B"/>
    <w:rsid w:val="00D52C4C"/>
    <w:rsid w:val="00D53D8E"/>
    <w:rsid w:val="00D57EAB"/>
    <w:rsid w:val="00D61BB9"/>
    <w:rsid w:val="00D6249E"/>
    <w:rsid w:val="00D631DE"/>
    <w:rsid w:val="00D639CD"/>
    <w:rsid w:val="00D63AD0"/>
    <w:rsid w:val="00D64D56"/>
    <w:rsid w:val="00D673C3"/>
    <w:rsid w:val="00D73A61"/>
    <w:rsid w:val="00D73C55"/>
    <w:rsid w:val="00D73EA3"/>
    <w:rsid w:val="00D74655"/>
    <w:rsid w:val="00D75764"/>
    <w:rsid w:val="00D81FAD"/>
    <w:rsid w:val="00D82D56"/>
    <w:rsid w:val="00D856FC"/>
    <w:rsid w:val="00D85C62"/>
    <w:rsid w:val="00D9257E"/>
    <w:rsid w:val="00D929A8"/>
    <w:rsid w:val="00D9603A"/>
    <w:rsid w:val="00D9676D"/>
    <w:rsid w:val="00DA1E9B"/>
    <w:rsid w:val="00DA37DF"/>
    <w:rsid w:val="00DA4916"/>
    <w:rsid w:val="00DA5E7A"/>
    <w:rsid w:val="00DA6252"/>
    <w:rsid w:val="00DA7A15"/>
    <w:rsid w:val="00DB5066"/>
    <w:rsid w:val="00DB600D"/>
    <w:rsid w:val="00DB7C8F"/>
    <w:rsid w:val="00DC0395"/>
    <w:rsid w:val="00DC19E6"/>
    <w:rsid w:val="00DC3DBF"/>
    <w:rsid w:val="00DC7EB8"/>
    <w:rsid w:val="00DD2E69"/>
    <w:rsid w:val="00DD4CDA"/>
    <w:rsid w:val="00DD66BF"/>
    <w:rsid w:val="00DE52EF"/>
    <w:rsid w:val="00DE7202"/>
    <w:rsid w:val="00DF0D78"/>
    <w:rsid w:val="00DF1BF5"/>
    <w:rsid w:val="00DF2273"/>
    <w:rsid w:val="00DF4E27"/>
    <w:rsid w:val="00DF6CD2"/>
    <w:rsid w:val="00DF707A"/>
    <w:rsid w:val="00DF7C46"/>
    <w:rsid w:val="00DF7E78"/>
    <w:rsid w:val="00E00D12"/>
    <w:rsid w:val="00E04172"/>
    <w:rsid w:val="00E06413"/>
    <w:rsid w:val="00E07CA7"/>
    <w:rsid w:val="00E118B3"/>
    <w:rsid w:val="00E1241A"/>
    <w:rsid w:val="00E12BCF"/>
    <w:rsid w:val="00E1377D"/>
    <w:rsid w:val="00E13C6D"/>
    <w:rsid w:val="00E13DB5"/>
    <w:rsid w:val="00E15466"/>
    <w:rsid w:val="00E1558B"/>
    <w:rsid w:val="00E15A67"/>
    <w:rsid w:val="00E17303"/>
    <w:rsid w:val="00E17E1D"/>
    <w:rsid w:val="00E2101B"/>
    <w:rsid w:val="00E214DD"/>
    <w:rsid w:val="00E23548"/>
    <w:rsid w:val="00E24F3D"/>
    <w:rsid w:val="00E25522"/>
    <w:rsid w:val="00E265FB"/>
    <w:rsid w:val="00E268A6"/>
    <w:rsid w:val="00E26B44"/>
    <w:rsid w:val="00E30381"/>
    <w:rsid w:val="00E31D51"/>
    <w:rsid w:val="00E32E3A"/>
    <w:rsid w:val="00E33176"/>
    <w:rsid w:val="00E335A2"/>
    <w:rsid w:val="00E339E8"/>
    <w:rsid w:val="00E40941"/>
    <w:rsid w:val="00E411DC"/>
    <w:rsid w:val="00E422ED"/>
    <w:rsid w:val="00E43970"/>
    <w:rsid w:val="00E47425"/>
    <w:rsid w:val="00E47E89"/>
    <w:rsid w:val="00E5086D"/>
    <w:rsid w:val="00E53D98"/>
    <w:rsid w:val="00E54F7C"/>
    <w:rsid w:val="00E567F2"/>
    <w:rsid w:val="00E57B37"/>
    <w:rsid w:val="00E6037A"/>
    <w:rsid w:val="00E60915"/>
    <w:rsid w:val="00E61686"/>
    <w:rsid w:val="00E64982"/>
    <w:rsid w:val="00E64F55"/>
    <w:rsid w:val="00E651F6"/>
    <w:rsid w:val="00E654B7"/>
    <w:rsid w:val="00E66E76"/>
    <w:rsid w:val="00E66FE2"/>
    <w:rsid w:val="00E704E7"/>
    <w:rsid w:val="00E707D9"/>
    <w:rsid w:val="00E70DC0"/>
    <w:rsid w:val="00E70F68"/>
    <w:rsid w:val="00E727F3"/>
    <w:rsid w:val="00E763CA"/>
    <w:rsid w:val="00E770C6"/>
    <w:rsid w:val="00E77428"/>
    <w:rsid w:val="00E77607"/>
    <w:rsid w:val="00E820D0"/>
    <w:rsid w:val="00E825DD"/>
    <w:rsid w:val="00E833FF"/>
    <w:rsid w:val="00E83FD0"/>
    <w:rsid w:val="00E86DDD"/>
    <w:rsid w:val="00E907C7"/>
    <w:rsid w:val="00E90D92"/>
    <w:rsid w:val="00E91B10"/>
    <w:rsid w:val="00E93A55"/>
    <w:rsid w:val="00E956FE"/>
    <w:rsid w:val="00E966B6"/>
    <w:rsid w:val="00E96B0B"/>
    <w:rsid w:val="00EA0B49"/>
    <w:rsid w:val="00EA13D9"/>
    <w:rsid w:val="00EA24CA"/>
    <w:rsid w:val="00EA42FE"/>
    <w:rsid w:val="00EA430D"/>
    <w:rsid w:val="00EA4C5D"/>
    <w:rsid w:val="00EA63D8"/>
    <w:rsid w:val="00EB224F"/>
    <w:rsid w:val="00EB407A"/>
    <w:rsid w:val="00EB54A4"/>
    <w:rsid w:val="00EB5604"/>
    <w:rsid w:val="00EB5A40"/>
    <w:rsid w:val="00EB758B"/>
    <w:rsid w:val="00EB7F42"/>
    <w:rsid w:val="00EB7F9E"/>
    <w:rsid w:val="00EC04EB"/>
    <w:rsid w:val="00EC22F7"/>
    <w:rsid w:val="00EC390E"/>
    <w:rsid w:val="00EC4504"/>
    <w:rsid w:val="00EC5E8A"/>
    <w:rsid w:val="00ED1660"/>
    <w:rsid w:val="00ED1B78"/>
    <w:rsid w:val="00ED21C3"/>
    <w:rsid w:val="00ED2F5A"/>
    <w:rsid w:val="00ED3CE6"/>
    <w:rsid w:val="00ED4AAF"/>
    <w:rsid w:val="00ED53C8"/>
    <w:rsid w:val="00ED5F82"/>
    <w:rsid w:val="00ED6238"/>
    <w:rsid w:val="00ED70B5"/>
    <w:rsid w:val="00EE1C51"/>
    <w:rsid w:val="00EE1DE9"/>
    <w:rsid w:val="00EE26F0"/>
    <w:rsid w:val="00EE2B1D"/>
    <w:rsid w:val="00EE4BDD"/>
    <w:rsid w:val="00EE51B6"/>
    <w:rsid w:val="00EE7892"/>
    <w:rsid w:val="00EF0488"/>
    <w:rsid w:val="00EF10CB"/>
    <w:rsid w:val="00EF1347"/>
    <w:rsid w:val="00EF41EC"/>
    <w:rsid w:val="00EF441D"/>
    <w:rsid w:val="00EF4441"/>
    <w:rsid w:val="00EF5018"/>
    <w:rsid w:val="00EF6A40"/>
    <w:rsid w:val="00EF6E46"/>
    <w:rsid w:val="00EF7D01"/>
    <w:rsid w:val="00F00842"/>
    <w:rsid w:val="00F0097D"/>
    <w:rsid w:val="00F03AA0"/>
    <w:rsid w:val="00F03C63"/>
    <w:rsid w:val="00F0645F"/>
    <w:rsid w:val="00F114C6"/>
    <w:rsid w:val="00F1160A"/>
    <w:rsid w:val="00F14313"/>
    <w:rsid w:val="00F1546B"/>
    <w:rsid w:val="00F154AA"/>
    <w:rsid w:val="00F22569"/>
    <w:rsid w:val="00F23489"/>
    <w:rsid w:val="00F234D3"/>
    <w:rsid w:val="00F23B5F"/>
    <w:rsid w:val="00F24927"/>
    <w:rsid w:val="00F25CA8"/>
    <w:rsid w:val="00F25E80"/>
    <w:rsid w:val="00F264E7"/>
    <w:rsid w:val="00F26702"/>
    <w:rsid w:val="00F26704"/>
    <w:rsid w:val="00F273A5"/>
    <w:rsid w:val="00F31923"/>
    <w:rsid w:val="00F31E60"/>
    <w:rsid w:val="00F3270D"/>
    <w:rsid w:val="00F32F68"/>
    <w:rsid w:val="00F34F4F"/>
    <w:rsid w:val="00F3559A"/>
    <w:rsid w:val="00F35B05"/>
    <w:rsid w:val="00F40F1B"/>
    <w:rsid w:val="00F41160"/>
    <w:rsid w:val="00F42D2E"/>
    <w:rsid w:val="00F43CEF"/>
    <w:rsid w:val="00F443D9"/>
    <w:rsid w:val="00F452D9"/>
    <w:rsid w:val="00F4532E"/>
    <w:rsid w:val="00F4564E"/>
    <w:rsid w:val="00F522A6"/>
    <w:rsid w:val="00F52C3A"/>
    <w:rsid w:val="00F57014"/>
    <w:rsid w:val="00F57EA7"/>
    <w:rsid w:val="00F60B8C"/>
    <w:rsid w:val="00F60B99"/>
    <w:rsid w:val="00F613D6"/>
    <w:rsid w:val="00F633A6"/>
    <w:rsid w:val="00F63D35"/>
    <w:rsid w:val="00F64211"/>
    <w:rsid w:val="00F649D1"/>
    <w:rsid w:val="00F64E0E"/>
    <w:rsid w:val="00F64EF1"/>
    <w:rsid w:val="00F66592"/>
    <w:rsid w:val="00F67D35"/>
    <w:rsid w:val="00F719DC"/>
    <w:rsid w:val="00F71EFD"/>
    <w:rsid w:val="00F723FA"/>
    <w:rsid w:val="00F7298C"/>
    <w:rsid w:val="00F72D0B"/>
    <w:rsid w:val="00F7493E"/>
    <w:rsid w:val="00F7521E"/>
    <w:rsid w:val="00F76118"/>
    <w:rsid w:val="00F76E77"/>
    <w:rsid w:val="00F76FFC"/>
    <w:rsid w:val="00F77A62"/>
    <w:rsid w:val="00F80859"/>
    <w:rsid w:val="00F838CD"/>
    <w:rsid w:val="00F84225"/>
    <w:rsid w:val="00F845F9"/>
    <w:rsid w:val="00F8469A"/>
    <w:rsid w:val="00F86468"/>
    <w:rsid w:val="00F8694B"/>
    <w:rsid w:val="00F87145"/>
    <w:rsid w:val="00F8723E"/>
    <w:rsid w:val="00F87843"/>
    <w:rsid w:val="00F87D8B"/>
    <w:rsid w:val="00F90E82"/>
    <w:rsid w:val="00F95A84"/>
    <w:rsid w:val="00F95DDD"/>
    <w:rsid w:val="00F96CCC"/>
    <w:rsid w:val="00F96E49"/>
    <w:rsid w:val="00F9732F"/>
    <w:rsid w:val="00FA0AE6"/>
    <w:rsid w:val="00FA33DC"/>
    <w:rsid w:val="00FA6C5E"/>
    <w:rsid w:val="00FA7532"/>
    <w:rsid w:val="00FA78D8"/>
    <w:rsid w:val="00FB0DA8"/>
    <w:rsid w:val="00FB29BF"/>
    <w:rsid w:val="00FB2CB6"/>
    <w:rsid w:val="00FB3ED9"/>
    <w:rsid w:val="00FB6E80"/>
    <w:rsid w:val="00FC03AE"/>
    <w:rsid w:val="00FC1896"/>
    <w:rsid w:val="00FC1CD3"/>
    <w:rsid w:val="00FC2D3E"/>
    <w:rsid w:val="00FC2F24"/>
    <w:rsid w:val="00FC39DC"/>
    <w:rsid w:val="00FC6A42"/>
    <w:rsid w:val="00FC7572"/>
    <w:rsid w:val="00FC7D4F"/>
    <w:rsid w:val="00FD05BA"/>
    <w:rsid w:val="00FD05F2"/>
    <w:rsid w:val="00FD1BA0"/>
    <w:rsid w:val="00FD4D40"/>
    <w:rsid w:val="00FE0846"/>
    <w:rsid w:val="00FE1A3F"/>
    <w:rsid w:val="00FE4463"/>
    <w:rsid w:val="00FE506A"/>
    <w:rsid w:val="00FE5788"/>
    <w:rsid w:val="00FE5DD8"/>
    <w:rsid w:val="00FE6038"/>
    <w:rsid w:val="00FE68BF"/>
    <w:rsid w:val="00FE7745"/>
    <w:rsid w:val="00FE7B65"/>
    <w:rsid w:val="00FF065E"/>
    <w:rsid w:val="00FF19FD"/>
    <w:rsid w:val="00FF2464"/>
    <w:rsid w:val="00FF28A9"/>
    <w:rsid w:val="00FF2D29"/>
    <w:rsid w:val="00FF3628"/>
    <w:rsid w:val="00FF5154"/>
    <w:rsid w:val="00FF7C69"/>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F463"/>
  <w15:chartTrackingRefBased/>
  <w15:docId w15:val="{CAFEA78C-B584-4594-964B-68E845A4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F3"/>
  </w:style>
  <w:style w:type="paragraph" w:styleId="Heading1">
    <w:name w:val="heading 1"/>
    <w:basedOn w:val="Normal"/>
    <w:next w:val="Normal"/>
    <w:link w:val="Heading1Char"/>
    <w:uiPriority w:val="9"/>
    <w:qFormat/>
    <w:rsid w:val="002E0F6D"/>
    <w:pPr>
      <w:keepNext/>
      <w:keepLines/>
      <w:numPr>
        <w:numId w:val="3"/>
      </w:numPr>
      <w:spacing w:after="0" w:line="360" w:lineRule="auto"/>
      <w:contextualSpacing/>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6F2313"/>
    <w:pPr>
      <w:keepNext/>
      <w:keepLines/>
      <w:numPr>
        <w:numId w:val="4"/>
      </w:numPr>
      <w:spacing w:after="0" w:line="360" w:lineRule="auto"/>
      <w:contextualSpacing/>
      <w:outlineLvl w:val="1"/>
    </w:pPr>
    <w:rPr>
      <w:rFonts w:ascii="Arial Bold" w:eastAsiaTheme="majorEastAsia" w:hAnsi="Arial Bold" w:cstheme="majorBidi"/>
      <w:b/>
      <w:sz w:val="26"/>
      <w:szCs w:val="26"/>
    </w:rPr>
  </w:style>
  <w:style w:type="paragraph" w:styleId="Heading3">
    <w:name w:val="heading 3"/>
    <w:basedOn w:val="Normal"/>
    <w:next w:val="Normal"/>
    <w:link w:val="Heading3Char"/>
    <w:uiPriority w:val="9"/>
    <w:unhideWhenUsed/>
    <w:qFormat/>
    <w:rsid w:val="009024B0"/>
    <w:pPr>
      <w:keepNext/>
      <w:keepLines/>
      <w:numPr>
        <w:numId w:val="5"/>
      </w:numPr>
      <w:spacing w:after="0" w:line="360" w:lineRule="auto"/>
      <w:contextualSpacing/>
      <w:outlineLvl w:val="2"/>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árrafo de lista1,Colorful List - Accent 11"/>
    <w:basedOn w:val="Normal"/>
    <w:link w:val="ListParagraphChar"/>
    <w:uiPriority w:val="34"/>
    <w:qFormat/>
    <w:rsid w:val="0006449E"/>
    <w:pPr>
      <w:ind w:left="720"/>
      <w:contextualSpacing/>
    </w:pPr>
  </w:style>
  <w:style w:type="paragraph" w:styleId="FootnoteText">
    <w:name w:val="footnote text"/>
    <w:aliases w:val="FA Fu,FA Fu Char,Footnote Text Char Char Char,Footnote Text Char Char Char Char,Footnote Text Char Char Char Char Char,Footnote Text Char Char Char Char Char Char Char Char,Footnote Text Char Char Char Char Char Char,footnote text,Ca"/>
    <w:basedOn w:val="Normal"/>
    <w:link w:val="FootnoteTextChar"/>
    <w:uiPriority w:val="99"/>
    <w:unhideWhenUsed/>
    <w:qFormat/>
    <w:rsid w:val="001C58BD"/>
    <w:pPr>
      <w:spacing w:after="0" w:line="240" w:lineRule="auto"/>
    </w:pPr>
    <w:rPr>
      <w:sz w:val="20"/>
      <w:szCs w:val="20"/>
    </w:rPr>
  </w:style>
  <w:style w:type="character" w:customStyle="1" w:styleId="FootnoteTextChar">
    <w:name w:val="Footnote Text Char"/>
    <w:aliases w:val="FA Fu Char1,FA Fu Char Char,Footnote Text Char Char Char Char1,Footnote Text Char Char Char Char Char1,Footnote Text Char Char Char Char Char Char1,Footnote Text Char Char Char Char Char Char Char Char Char,footnote text Char,Ca Char"/>
    <w:basedOn w:val="DefaultParagraphFont"/>
    <w:link w:val="FootnoteText"/>
    <w:uiPriority w:val="99"/>
    <w:rsid w:val="001C58BD"/>
    <w:rPr>
      <w:sz w:val="20"/>
      <w:szCs w:val="20"/>
    </w:rPr>
  </w:style>
  <w:style w:type="character" w:styleId="FootnoteReference">
    <w:name w:val="footnote reference"/>
    <w:aliases w:val="Texto de nota al pie,Footnote number,Footnote Reference Char3,Footnote Reference Char1 Char,Char Char Car Char Car Char Car Char Car Char Car Char Char Char1 Char,Footnote Reference Char Char Char,4_G,Appel note de bas de page"/>
    <w:basedOn w:val="DefaultParagraphFont"/>
    <w:link w:val="AppelnotedebasdepageCharCharCharCharCharCharChar"/>
    <w:uiPriority w:val="99"/>
    <w:unhideWhenUsed/>
    <w:qFormat/>
    <w:rsid w:val="001C58BD"/>
    <w:rPr>
      <w:vertAlign w:val="superscript"/>
    </w:rPr>
  </w:style>
  <w:style w:type="character" w:customStyle="1" w:styleId="Heading1Char">
    <w:name w:val="Heading 1 Char"/>
    <w:basedOn w:val="DefaultParagraphFont"/>
    <w:link w:val="Heading1"/>
    <w:uiPriority w:val="9"/>
    <w:rsid w:val="002E0F6D"/>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656AE6"/>
    <w:pPr>
      <w:outlineLvl w:val="9"/>
    </w:pPr>
  </w:style>
  <w:style w:type="paragraph" w:styleId="TOC1">
    <w:name w:val="toc 1"/>
    <w:basedOn w:val="Normal"/>
    <w:next w:val="Normal"/>
    <w:autoRedefine/>
    <w:uiPriority w:val="39"/>
    <w:unhideWhenUsed/>
    <w:rsid w:val="00656AE6"/>
    <w:pPr>
      <w:spacing w:after="100"/>
    </w:pPr>
  </w:style>
  <w:style w:type="character" w:styleId="Hyperlink">
    <w:name w:val="Hyperlink"/>
    <w:basedOn w:val="DefaultParagraphFont"/>
    <w:uiPriority w:val="99"/>
    <w:unhideWhenUsed/>
    <w:rsid w:val="00656AE6"/>
    <w:rPr>
      <w:color w:val="0563C1" w:themeColor="hyperlink"/>
      <w:u w:val="single"/>
    </w:rPr>
  </w:style>
  <w:style w:type="paragraph" w:styleId="Header">
    <w:name w:val="header"/>
    <w:basedOn w:val="Normal"/>
    <w:link w:val="HeaderChar"/>
    <w:uiPriority w:val="99"/>
    <w:unhideWhenUsed/>
    <w:rsid w:val="009B6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C94"/>
  </w:style>
  <w:style w:type="paragraph" w:styleId="Footer">
    <w:name w:val="footer"/>
    <w:basedOn w:val="Normal"/>
    <w:link w:val="FooterChar"/>
    <w:uiPriority w:val="99"/>
    <w:unhideWhenUsed/>
    <w:rsid w:val="009B6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C94"/>
  </w:style>
  <w:style w:type="paragraph" w:styleId="BalloonText">
    <w:name w:val="Balloon Text"/>
    <w:basedOn w:val="Normal"/>
    <w:link w:val="BalloonTextChar"/>
    <w:uiPriority w:val="99"/>
    <w:semiHidden/>
    <w:unhideWhenUsed/>
    <w:rsid w:val="00B6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ADE"/>
    <w:rPr>
      <w:rFonts w:ascii="Segoe UI" w:hAnsi="Segoe UI" w:cs="Segoe UI"/>
      <w:sz w:val="18"/>
      <w:szCs w:val="18"/>
    </w:rPr>
  </w:style>
  <w:style w:type="character" w:styleId="CommentReference">
    <w:name w:val="annotation reference"/>
    <w:basedOn w:val="DefaultParagraphFont"/>
    <w:uiPriority w:val="99"/>
    <w:semiHidden/>
    <w:unhideWhenUsed/>
    <w:rsid w:val="007240AA"/>
    <w:rPr>
      <w:sz w:val="16"/>
      <w:szCs w:val="16"/>
    </w:rPr>
  </w:style>
  <w:style w:type="paragraph" w:styleId="CommentText">
    <w:name w:val="annotation text"/>
    <w:basedOn w:val="Normal"/>
    <w:link w:val="CommentTextChar"/>
    <w:uiPriority w:val="99"/>
    <w:unhideWhenUsed/>
    <w:rsid w:val="007240AA"/>
    <w:pPr>
      <w:spacing w:line="240" w:lineRule="auto"/>
    </w:pPr>
    <w:rPr>
      <w:sz w:val="20"/>
      <w:szCs w:val="20"/>
    </w:rPr>
  </w:style>
  <w:style w:type="character" w:customStyle="1" w:styleId="CommentTextChar">
    <w:name w:val="Comment Text Char"/>
    <w:basedOn w:val="DefaultParagraphFont"/>
    <w:link w:val="CommentText"/>
    <w:uiPriority w:val="99"/>
    <w:rsid w:val="007240AA"/>
    <w:rPr>
      <w:sz w:val="20"/>
      <w:szCs w:val="20"/>
    </w:rPr>
  </w:style>
  <w:style w:type="paragraph" w:styleId="CommentSubject">
    <w:name w:val="annotation subject"/>
    <w:basedOn w:val="CommentText"/>
    <w:next w:val="CommentText"/>
    <w:link w:val="CommentSubjectChar"/>
    <w:uiPriority w:val="99"/>
    <w:semiHidden/>
    <w:unhideWhenUsed/>
    <w:rsid w:val="007240AA"/>
    <w:rPr>
      <w:b/>
      <w:bCs/>
    </w:rPr>
  </w:style>
  <w:style w:type="character" w:customStyle="1" w:styleId="CommentSubjectChar">
    <w:name w:val="Comment Subject Char"/>
    <w:basedOn w:val="CommentTextChar"/>
    <w:link w:val="CommentSubject"/>
    <w:uiPriority w:val="99"/>
    <w:semiHidden/>
    <w:rsid w:val="007240AA"/>
    <w:rPr>
      <w:b/>
      <w:bCs/>
      <w:sz w:val="20"/>
      <w:szCs w:val="20"/>
    </w:rPr>
  </w:style>
  <w:style w:type="character" w:styleId="LineNumber">
    <w:name w:val="line number"/>
    <w:basedOn w:val="DefaultParagraphFont"/>
    <w:uiPriority w:val="99"/>
    <w:semiHidden/>
    <w:unhideWhenUsed/>
    <w:rsid w:val="000A3478"/>
  </w:style>
  <w:style w:type="character" w:customStyle="1" w:styleId="Heading2Char">
    <w:name w:val="Heading 2 Char"/>
    <w:basedOn w:val="DefaultParagraphFont"/>
    <w:link w:val="Heading2"/>
    <w:uiPriority w:val="9"/>
    <w:rsid w:val="006F2313"/>
    <w:rPr>
      <w:rFonts w:ascii="Arial Bold" w:eastAsiaTheme="majorEastAsia" w:hAnsi="Arial Bold" w:cstheme="majorBidi"/>
      <w:b/>
      <w:sz w:val="26"/>
      <w:szCs w:val="26"/>
    </w:rPr>
  </w:style>
  <w:style w:type="paragraph" w:styleId="NoSpacing">
    <w:name w:val="No Spacing"/>
    <w:link w:val="NoSpacingChar"/>
    <w:uiPriority w:val="1"/>
    <w:qFormat/>
    <w:rsid w:val="006F2313"/>
    <w:pPr>
      <w:spacing w:after="0" w:line="240" w:lineRule="auto"/>
    </w:pPr>
  </w:style>
  <w:style w:type="character" w:customStyle="1" w:styleId="Heading3Char">
    <w:name w:val="Heading 3 Char"/>
    <w:basedOn w:val="DefaultParagraphFont"/>
    <w:link w:val="Heading3"/>
    <w:uiPriority w:val="9"/>
    <w:rsid w:val="009024B0"/>
    <w:rPr>
      <w:rFonts w:ascii="Arial" w:eastAsiaTheme="majorEastAsia" w:hAnsi="Arial" w:cstheme="majorBidi"/>
      <w:b/>
      <w:color w:val="000000" w:themeColor="text1"/>
      <w:sz w:val="24"/>
      <w:szCs w:val="24"/>
    </w:rPr>
  </w:style>
  <w:style w:type="paragraph" w:styleId="TOC2">
    <w:name w:val="toc 2"/>
    <w:basedOn w:val="Normal"/>
    <w:next w:val="Normal"/>
    <w:autoRedefine/>
    <w:uiPriority w:val="39"/>
    <w:unhideWhenUsed/>
    <w:rsid w:val="00D2418E"/>
    <w:pPr>
      <w:tabs>
        <w:tab w:val="left" w:pos="720"/>
        <w:tab w:val="right" w:leader="dot" w:pos="9016"/>
      </w:tabs>
      <w:spacing w:after="100"/>
    </w:pPr>
  </w:style>
  <w:style w:type="paragraph" w:styleId="TOC3">
    <w:name w:val="toc 3"/>
    <w:basedOn w:val="Normal"/>
    <w:next w:val="Normal"/>
    <w:autoRedefine/>
    <w:uiPriority w:val="39"/>
    <w:unhideWhenUsed/>
    <w:rsid w:val="00321573"/>
    <w:pPr>
      <w:spacing w:after="100"/>
      <w:ind w:left="440"/>
    </w:pPr>
  </w:style>
  <w:style w:type="paragraph" w:styleId="Revision">
    <w:name w:val="Revision"/>
    <w:hidden/>
    <w:uiPriority w:val="99"/>
    <w:semiHidden/>
    <w:rsid w:val="00C705DB"/>
    <w:pPr>
      <w:spacing w:after="0" w:line="240" w:lineRule="auto"/>
    </w:pPr>
  </w:style>
  <w:style w:type="numbering" w:customStyle="1" w:styleId="ImportedStyle2">
    <w:name w:val="Imported Style 2"/>
    <w:rsid w:val="000528E1"/>
    <w:pPr>
      <w:numPr>
        <w:numId w:val="7"/>
      </w:numPr>
    </w:pPr>
  </w:style>
  <w:style w:type="character" w:customStyle="1" w:styleId="ListParagraphChar">
    <w:name w:val="List Paragraph Char"/>
    <w:aliases w:val="Párrafo de lista1 Char,Colorful List - Accent 11 Char"/>
    <w:link w:val="ListParagraph"/>
    <w:uiPriority w:val="34"/>
    <w:rsid w:val="000528E1"/>
    <w:rPr>
      <w:lang w:val="fr-FR"/>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607BB8"/>
    <w:pPr>
      <w:spacing w:after="0" w:line="240" w:lineRule="auto"/>
      <w:jc w:val="both"/>
    </w:pPr>
    <w:rPr>
      <w:vertAlign w:val="superscript"/>
    </w:rPr>
  </w:style>
  <w:style w:type="paragraph" w:customStyle="1" w:styleId="Body">
    <w:name w:val="Body"/>
    <w:rsid w:val="00522DA0"/>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HTMLPreformatted">
    <w:name w:val="HTML Preformatted"/>
    <w:basedOn w:val="Normal"/>
    <w:link w:val="HTMLPreformattedChar"/>
    <w:uiPriority w:val="99"/>
    <w:semiHidden/>
    <w:unhideWhenUsed/>
    <w:rsid w:val="003246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66A"/>
    <w:rPr>
      <w:rFonts w:ascii="Consolas" w:hAnsi="Consolas"/>
      <w:sz w:val="20"/>
      <w:szCs w:val="20"/>
    </w:rPr>
  </w:style>
  <w:style w:type="character" w:customStyle="1" w:styleId="NoSpacingChar">
    <w:name w:val="No Spacing Char"/>
    <w:basedOn w:val="DefaultParagraphFont"/>
    <w:link w:val="NoSpacing"/>
    <w:uiPriority w:val="1"/>
    <w:rsid w:val="0084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0551">
      <w:bodyDiv w:val="1"/>
      <w:marLeft w:val="0"/>
      <w:marRight w:val="0"/>
      <w:marTop w:val="0"/>
      <w:marBottom w:val="0"/>
      <w:divBdr>
        <w:top w:val="none" w:sz="0" w:space="0" w:color="auto"/>
        <w:left w:val="none" w:sz="0" w:space="0" w:color="auto"/>
        <w:bottom w:val="none" w:sz="0" w:space="0" w:color="auto"/>
        <w:right w:val="none" w:sz="0" w:space="0" w:color="auto"/>
      </w:divBdr>
    </w:div>
    <w:div w:id="322197149">
      <w:bodyDiv w:val="1"/>
      <w:marLeft w:val="0"/>
      <w:marRight w:val="0"/>
      <w:marTop w:val="0"/>
      <w:marBottom w:val="0"/>
      <w:divBdr>
        <w:top w:val="none" w:sz="0" w:space="0" w:color="auto"/>
        <w:left w:val="none" w:sz="0" w:space="0" w:color="auto"/>
        <w:bottom w:val="none" w:sz="0" w:space="0" w:color="auto"/>
        <w:right w:val="none" w:sz="0" w:space="0" w:color="auto"/>
      </w:divBdr>
    </w:div>
    <w:div w:id="385645630">
      <w:bodyDiv w:val="1"/>
      <w:marLeft w:val="0"/>
      <w:marRight w:val="0"/>
      <w:marTop w:val="0"/>
      <w:marBottom w:val="0"/>
      <w:divBdr>
        <w:top w:val="none" w:sz="0" w:space="0" w:color="auto"/>
        <w:left w:val="none" w:sz="0" w:space="0" w:color="auto"/>
        <w:bottom w:val="none" w:sz="0" w:space="0" w:color="auto"/>
        <w:right w:val="none" w:sz="0" w:space="0" w:color="auto"/>
      </w:divBdr>
    </w:div>
    <w:div w:id="770667578">
      <w:bodyDiv w:val="1"/>
      <w:marLeft w:val="0"/>
      <w:marRight w:val="0"/>
      <w:marTop w:val="0"/>
      <w:marBottom w:val="0"/>
      <w:divBdr>
        <w:top w:val="none" w:sz="0" w:space="0" w:color="auto"/>
        <w:left w:val="none" w:sz="0" w:space="0" w:color="auto"/>
        <w:bottom w:val="none" w:sz="0" w:space="0" w:color="auto"/>
        <w:right w:val="none" w:sz="0" w:space="0" w:color="auto"/>
      </w:divBdr>
    </w:div>
    <w:div w:id="834606814">
      <w:bodyDiv w:val="1"/>
      <w:marLeft w:val="0"/>
      <w:marRight w:val="0"/>
      <w:marTop w:val="0"/>
      <w:marBottom w:val="0"/>
      <w:divBdr>
        <w:top w:val="none" w:sz="0" w:space="0" w:color="auto"/>
        <w:left w:val="none" w:sz="0" w:space="0" w:color="auto"/>
        <w:bottom w:val="none" w:sz="0" w:space="0" w:color="auto"/>
        <w:right w:val="none" w:sz="0" w:space="0" w:color="auto"/>
      </w:divBdr>
    </w:div>
    <w:div w:id="915824271">
      <w:bodyDiv w:val="1"/>
      <w:marLeft w:val="0"/>
      <w:marRight w:val="0"/>
      <w:marTop w:val="0"/>
      <w:marBottom w:val="0"/>
      <w:divBdr>
        <w:top w:val="none" w:sz="0" w:space="0" w:color="auto"/>
        <w:left w:val="none" w:sz="0" w:space="0" w:color="auto"/>
        <w:bottom w:val="none" w:sz="0" w:space="0" w:color="auto"/>
        <w:right w:val="none" w:sz="0" w:space="0" w:color="auto"/>
      </w:divBdr>
    </w:div>
    <w:div w:id="2016421874">
      <w:bodyDiv w:val="1"/>
      <w:marLeft w:val="0"/>
      <w:marRight w:val="0"/>
      <w:marTop w:val="0"/>
      <w:marBottom w:val="0"/>
      <w:divBdr>
        <w:top w:val="none" w:sz="0" w:space="0" w:color="auto"/>
        <w:left w:val="none" w:sz="0" w:space="0" w:color="auto"/>
        <w:bottom w:val="none" w:sz="0" w:space="0" w:color="auto"/>
        <w:right w:val="none" w:sz="0" w:space="0" w:color="auto"/>
      </w:divBdr>
    </w:div>
    <w:div w:id="20771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9FCE-1368-4536-A041-CA117513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3876</Words>
  <Characters>22094</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Jedida Mupako</dc:creator>
  <cp:keywords/>
  <dc:description/>
  <cp:lastModifiedBy>sathish mohan</cp:lastModifiedBy>
  <cp:revision>8</cp:revision>
  <cp:lastPrinted>2022-11-16T14:53:00Z</cp:lastPrinted>
  <dcterms:created xsi:type="dcterms:W3CDTF">2022-12-03T04:12:00Z</dcterms:created>
  <dcterms:modified xsi:type="dcterms:W3CDTF">2025-06-26T14:49:00Z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934edfc2a9c3944aa7af70e65288d3fede4afb2f0c4d3cce6850eaad1bbb93f4</vt:lpwstr>
  </property>
</Properties>
</file>