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114"/>
        <w:gridCol w:w="2835"/>
        <w:gridCol w:w="2977"/>
      </w:tblGrid>
      <w:tr w:rsidR="00C208FA" w:rsidRPr="00091FC2" w14:paraId="486AFB57" w14:textId="77777777" w:rsidTr="001B2323">
        <w:trPr>
          <w:trHeight w:val="283"/>
          <w:jc w:val="center"/>
        </w:trPr>
        <w:tc>
          <w:tcPr>
            <w:tcW w:w="3114" w:type="dxa"/>
            <w:tcBorders>
              <w:top w:val="single" w:sz="4" w:space="0" w:color="auto"/>
              <w:right w:val="single" w:sz="4" w:space="0" w:color="auto"/>
            </w:tcBorders>
            <w:vAlign w:val="center"/>
          </w:tcPr>
          <w:p w14:paraId="5B440755" w14:textId="78C189CC" w:rsidR="00C208FA" w:rsidRPr="00D33EC8" w:rsidRDefault="00C208FA" w:rsidP="00A8297E">
            <w:pPr>
              <w:rPr>
                <w:lang w:val="en-US"/>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BDA3DD1" w14:textId="77777777" w:rsidR="00C208FA" w:rsidRPr="00091FC2" w:rsidRDefault="00C208FA" w:rsidP="00A8297E">
            <w:r w:rsidRPr="00091FC2">
              <w:rPr>
                <w:rFonts w:asciiTheme="minorHAnsi" w:hAnsiTheme="minorHAnsi"/>
                <w:sz w:val="22"/>
                <w:lang w:val="en-US"/>
              </w:rPr>
              <w:object w:dxaOrig="8282" w:dyaOrig="8282" w14:anchorId="681DD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2pt;height:94.8pt;mso-width-percent:0;mso-height-percent:0;mso-width-percent:0;mso-height-percent:0" o:ole="">
                  <v:imagedata r:id="rId8" o:title=""/>
                </v:shape>
                <o:OLEObject Type="Embed" ProgID="CorelDRAW.Graphic.11" ShapeID="_x0000_i1025" DrawAspect="Content" ObjectID="_1812655477" r:id="rId9"/>
              </w:object>
            </w:r>
          </w:p>
        </w:tc>
        <w:tc>
          <w:tcPr>
            <w:tcW w:w="2977" w:type="dxa"/>
            <w:tcBorders>
              <w:top w:val="single" w:sz="4" w:space="0" w:color="auto"/>
              <w:left w:val="single" w:sz="4" w:space="0" w:color="auto"/>
            </w:tcBorders>
            <w:vAlign w:val="center"/>
          </w:tcPr>
          <w:p w14:paraId="5E825104" w14:textId="77777777" w:rsidR="00C208FA" w:rsidRPr="00091FC2" w:rsidRDefault="00C208FA" w:rsidP="00A8297E"/>
        </w:tc>
      </w:tr>
      <w:tr w:rsidR="00C208FA" w:rsidRPr="00091FC2" w14:paraId="4F834D23" w14:textId="77777777" w:rsidTr="001B2323">
        <w:trPr>
          <w:trHeight w:val="283"/>
          <w:jc w:val="center"/>
        </w:trPr>
        <w:tc>
          <w:tcPr>
            <w:tcW w:w="3114" w:type="dxa"/>
            <w:tcBorders>
              <w:bottom w:val="nil"/>
              <w:right w:val="single" w:sz="4" w:space="0" w:color="auto"/>
            </w:tcBorders>
            <w:vAlign w:val="center"/>
          </w:tcPr>
          <w:p w14:paraId="4B39203B" w14:textId="77777777" w:rsidR="00C208FA" w:rsidRPr="00091FC2" w:rsidRDefault="00C208FA" w:rsidP="00A8297E">
            <w:r w:rsidRPr="00091FC2">
              <w:t>AFRICAN UNION</w:t>
            </w:r>
          </w:p>
        </w:tc>
        <w:tc>
          <w:tcPr>
            <w:tcW w:w="2835" w:type="dxa"/>
            <w:vMerge/>
            <w:tcBorders>
              <w:left w:val="single" w:sz="4" w:space="0" w:color="auto"/>
              <w:bottom w:val="single" w:sz="4" w:space="0" w:color="auto"/>
              <w:right w:val="single" w:sz="4" w:space="0" w:color="auto"/>
            </w:tcBorders>
            <w:vAlign w:val="center"/>
          </w:tcPr>
          <w:p w14:paraId="6996594A" w14:textId="77777777" w:rsidR="00C208FA" w:rsidRPr="00091FC2" w:rsidRDefault="00C208FA" w:rsidP="00A8297E"/>
        </w:tc>
        <w:tc>
          <w:tcPr>
            <w:tcW w:w="2977" w:type="dxa"/>
            <w:tcBorders>
              <w:left w:val="single" w:sz="4" w:space="0" w:color="auto"/>
              <w:bottom w:val="nil"/>
            </w:tcBorders>
            <w:vAlign w:val="center"/>
          </w:tcPr>
          <w:p w14:paraId="47EC4E43" w14:textId="77777777" w:rsidR="00C208FA" w:rsidRPr="00091FC2" w:rsidRDefault="00C208FA" w:rsidP="00A8297E">
            <w:r w:rsidRPr="00091FC2">
              <w:t>UNION AFRICAINE</w:t>
            </w:r>
          </w:p>
        </w:tc>
      </w:tr>
      <w:tr w:rsidR="00C208FA" w:rsidRPr="00091FC2" w14:paraId="1099E86E" w14:textId="77777777" w:rsidTr="001B2323">
        <w:trPr>
          <w:trHeight w:val="283"/>
          <w:jc w:val="center"/>
        </w:trPr>
        <w:tc>
          <w:tcPr>
            <w:tcW w:w="3114" w:type="dxa"/>
            <w:tcBorders>
              <w:top w:val="nil"/>
              <w:bottom w:val="single" w:sz="4" w:space="0" w:color="auto"/>
              <w:right w:val="single" w:sz="4" w:space="0" w:color="auto"/>
            </w:tcBorders>
            <w:vAlign w:val="center"/>
          </w:tcPr>
          <w:p w14:paraId="7B3307A9" w14:textId="77777777" w:rsidR="00C208FA" w:rsidRPr="00091FC2" w:rsidRDefault="00C208FA" w:rsidP="00A8297E"/>
        </w:tc>
        <w:tc>
          <w:tcPr>
            <w:tcW w:w="2835" w:type="dxa"/>
            <w:vMerge/>
            <w:tcBorders>
              <w:top w:val="nil"/>
              <w:left w:val="single" w:sz="4" w:space="0" w:color="auto"/>
              <w:bottom w:val="single" w:sz="4" w:space="0" w:color="auto"/>
              <w:right w:val="single" w:sz="4" w:space="0" w:color="auto"/>
            </w:tcBorders>
            <w:vAlign w:val="center"/>
          </w:tcPr>
          <w:p w14:paraId="6FB9D754" w14:textId="77777777" w:rsidR="00C208FA" w:rsidRPr="00091FC2" w:rsidRDefault="00C208FA" w:rsidP="00A8297E"/>
        </w:tc>
        <w:tc>
          <w:tcPr>
            <w:tcW w:w="2977" w:type="dxa"/>
            <w:tcBorders>
              <w:top w:val="nil"/>
              <w:left w:val="single" w:sz="4" w:space="0" w:color="auto"/>
              <w:bottom w:val="single" w:sz="4" w:space="0" w:color="auto"/>
            </w:tcBorders>
            <w:vAlign w:val="center"/>
          </w:tcPr>
          <w:p w14:paraId="478691F3" w14:textId="77777777" w:rsidR="00C208FA" w:rsidRPr="00091FC2" w:rsidRDefault="00C208FA" w:rsidP="00A8297E"/>
        </w:tc>
      </w:tr>
      <w:tr w:rsidR="00C208FA" w:rsidRPr="00091FC2" w14:paraId="1FE68342" w14:textId="77777777" w:rsidTr="001B2323">
        <w:trPr>
          <w:trHeight w:val="283"/>
          <w:jc w:val="center"/>
        </w:trPr>
        <w:tc>
          <w:tcPr>
            <w:tcW w:w="3114" w:type="dxa"/>
            <w:tcBorders>
              <w:top w:val="single" w:sz="4" w:space="0" w:color="auto"/>
              <w:right w:val="single" w:sz="4" w:space="0" w:color="auto"/>
            </w:tcBorders>
            <w:vAlign w:val="center"/>
          </w:tcPr>
          <w:p w14:paraId="7B766C92" w14:textId="77777777" w:rsidR="00C208FA" w:rsidRPr="00091FC2" w:rsidRDefault="00C208FA" w:rsidP="00A8297E"/>
        </w:tc>
        <w:tc>
          <w:tcPr>
            <w:tcW w:w="2835" w:type="dxa"/>
            <w:vMerge/>
            <w:tcBorders>
              <w:top w:val="single" w:sz="4" w:space="0" w:color="auto"/>
              <w:left w:val="single" w:sz="4" w:space="0" w:color="auto"/>
              <w:bottom w:val="single" w:sz="4" w:space="0" w:color="auto"/>
              <w:right w:val="single" w:sz="4" w:space="0" w:color="auto"/>
            </w:tcBorders>
            <w:vAlign w:val="center"/>
          </w:tcPr>
          <w:p w14:paraId="0930081E" w14:textId="77777777" w:rsidR="00C208FA" w:rsidRPr="00091FC2" w:rsidRDefault="00C208FA" w:rsidP="00A8297E"/>
        </w:tc>
        <w:tc>
          <w:tcPr>
            <w:tcW w:w="2977" w:type="dxa"/>
            <w:tcBorders>
              <w:top w:val="single" w:sz="4" w:space="0" w:color="auto"/>
              <w:left w:val="single" w:sz="4" w:space="0" w:color="auto"/>
            </w:tcBorders>
            <w:vAlign w:val="center"/>
          </w:tcPr>
          <w:p w14:paraId="12B409BE" w14:textId="77777777" w:rsidR="00C208FA" w:rsidRPr="00091FC2" w:rsidRDefault="00C208FA" w:rsidP="00A8297E"/>
        </w:tc>
      </w:tr>
      <w:tr w:rsidR="00C208FA" w:rsidRPr="00091FC2" w14:paraId="7608DAA6" w14:textId="77777777" w:rsidTr="001B2323">
        <w:trPr>
          <w:trHeight w:val="283"/>
          <w:jc w:val="center"/>
        </w:trPr>
        <w:tc>
          <w:tcPr>
            <w:tcW w:w="3114" w:type="dxa"/>
            <w:tcBorders>
              <w:bottom w:val="nil"/>
              <w:right w:val="single" w:sz="4" w:space="0" w:color="auto"/>
            </w:tcBorders>
            <w:vAlign w:val="center"/>
          </w:tcPr>
          <w:p w14:paraId="69464E85" w14:textId="41465851" w:rsidR="00C208FA" w:rsidRPr="00091FC2" w:rsidRDefault="00C208FA" w:rsidP="00A8297E">
            <w:pPr>
              <w:rPr>
                <w:bCs/>
              </w:rPr>
            </w:pPr>
            <w:r w:rsidRPr="00091FC2">
              <w:rPr>
                <w:noProof/>
                <w:lang w:eastAsia="fr-FR"/>
              </w:rPr>
              <w:drawing>
                <wp:inline distT="0" distB="0" distL="0" distR="0" wp14:anchorId="03769EB5" wp14:editId="78B33C26">
                  <wp:extent cx="1169155" cy="234466"/>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rotWithShape="1">
                          <a:blip r:embed="rId10"/>
                          <a:srcRect l="16492" t="31433" r="27407" b="44489"/>
                          <a:stretch/>
                        </pic:blipFill>
                        <pic:spPr bwMode="auto">
                          <a:xfrm>
                            <a:off x="0" y="0"/>
                            <a:ext cx="1191424" cy="238932"/>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Merge/>
            <w:tcBorders>
              <w:left w:val="single" w:sz="4" w:space="0" w:color="auto"/>
              <w:bottom w:val="single" w:sz="4" w:space="0" w:color="auto"/>
              <w:right w:val="single" w:sz="4" w:space="0" w:color="auto"/>
            </w:tcBorders>
            <w:vAlign w:val="center"/>
          </w:tcPr>
          <w:p w14:paraId="493F3276" w14:textId="77777777" w:rsidR="00C208FA" w:rsidRPr="00091FC2" w:rsidRDefault="00C208FA" w:rsidP="00A8297E"/>
        </w:tc>
        <w:tc>
          <w:tcPr>
            <w:tcW w:w="2977" w:type="dxa"/>
            <w:tcBorders>
              <w:left w:val="single" w:sz="4" w:space="0" w:color="auto"/>
              <w:bottom w:val="nil"/>
            </w:tcBorders>
            <w:vAlign w:val="center"/>
          </w:tcPr>
          <w:p w14:paraId="187FB329" w14:textId="77777777" w:rsidR="00C208FA" w:rsidRPr="00091FC2" w:rsidRDefault="00C208FA" w:rsidP="00A8297E">
            <w:r w:rsidRPr="00091FC2">
              <w:t>UNIÃO AFRICANA</w:t>
            </w:r>
          </w:p>
        </w:tc>
      </w:tr>
      <w:tr w:rsidR="00C208FA" w:rsidRPr="00091FC2" w14:paraId="5F834E0C" w14:textId="77777777" w:rsidTr="001B2323">
        <w:trPr>
          <w:trHeight w:val="283"/>
          <w:jc w:val="center"/>
        </w:trPr>
        <w:tc>
          <w:tcPr>
            <w:tcW w:w="3114" w:type="dxa"/>
            <w:tcBorders>
              <w:top w:val="nil"/>
              <w:bottom w:val="single" w:sz="4" w:space="0" w:color="auto"/>
              <w:right w:val="single" w:sz="4" w:space="0" w:color="auto"/>
            </w:tcBorders>
            <w:vAlign w:val="center"/>
          </w:tcPr>
          <w:p w14:paraId="4CB8F955" w14:textId="77777777" w:rsidR="00C208FA" w:rsidRPr="00091FC2" w:rsidRDefault="00C208FA" w:rsidP="00A8297E"/>
        </w:tc>
        <w:tc>
          <w:tcPr>
            <w:tcW w:w="2835" w:type="dxa"/>
            <w:vMerge/>
            <w:tcBorders>
              <w:left w:val="single" w:sz="4" w:space="0" w:color="auto"/>
              <w:bottom w:val="single" w:sz="4" w:space="0" w:color="auto"/>
              <w:right w:val="single" w:sz="4" w:space="0" w:color="auto"/>
            </w:tcBorders>
            <w:vAlign w:val="center"/>
          </w:tcPr>
          <w:p w14:paraId="6F42026D" w14:textId="77777777" w:rsidR="00C208FA" w:rsidRPr="00091FC2" w:rsidRDefault="00C208FA" w:rsidP="00A8297E"/>
        </w:tc>
        <w:tc>
          <w:tcPr>
            <w:tcW w:w="2977" w:type="dxa"/>
            <w:tcBorders>
              <w:top w:val="nil"/>
              <w:left w:val="single" w:sz="4" w:space="0" w:color="auto"/>
              <w:bottom w:val="single" w:sz="4" w:space="0" w:color="auto"/>
            </w:tcBorders>
            <w:vAlign w:val="center"/>
          </w:tcPr>
          <w:p w14:paraId="5263F38D" w14:textId="77777777" w:rsidR="00C208FA" w:rsidRPr="00091FC2" w:rsidRDefault="00C208FA" w:rsidP="00A8297E"/>
        </w:tc>
      </w:tr>
      <w:tr w:rsidR="00C208FA" w:rsidRPr="00091FC2" w14:paraId="589848CC" w14:textId="77777777" w:rsidTr="001B2323">
        <w:trPr>
          <w:trHeight w:val="283"/>
          <w:jc w:val="center"/>
        </w:trPr>
        <w:tc>
          <w:tcPr>
            <w:tcW w:w="3114" w:type="dxa"/>
            <w:tcBorders>
              <w:top w:val="single" w:sz="4" w:space="0" w:color="auto"/>
            </w:tcBorders>
            <w:vAlign w:val="center"/>
          </w:tcPr>
          <w:p w14:paraId="4B561CCB" w14:textId="77777777" w:rsidR="00C208FA" w:rsidRPr="00091FC2" w:rsidRDefault="00C208FA" w:rsidP="00A8297E"/>
        </w:tc>
        <w:tc>
          <w:tcPr>
            <w:tcW w:w="2835" w:type="dxa"/>
            <w:tcBorders>
              <w:top w:val="single" w:sz="4" w:space="0" w:color="auto"/>
            </w:tcBorders>
            <w:vAlign w:val="center"/>
          </w:tcPr>
          <w:p w14:paraId="419B69F1" w14:textId="77777777" w:rsidR="00C208FA" w:rsidRPr="00091FC2" w:rsidRDefault="00C208FA" w:rsidP="00A8297E"/>
        </w:tc>
        <w:tc>
          <w:tcPr>
            <w:tcW w:w="2977" w:type="dxa"/>
            <w:tcBorders>
              <w:top w:val="single" w:sz="4" w:space="0" w:color="auto"/>
            </w:tcBorders>
            <w:vAlign w:val="center"/>
          </w:tcPr>
          <w:p w14:paraId="023C265C" w14:textId="77777777" w:rsidR="00C208FA" w:rsidRPr="00091FC2" w:rsidRDefault="00C208FA" w:rsidP="00A8297E"/>
        </w:tc>
      </w:tr>
      <w:tr w:rsidR="00C208FA" w:rsidRPr="00091FC2" w14:paraId="2499AB87" w14:textId="77777777" w:rsidTr="001B2323">
        <w:trPr>
          <w:trHeight w:val="283"/>
          <w:jc w:val="center"/>
        </w:trPr>
        <w:tc>
          <w:tcPr>
            <w:tcW w:w="8926" w:type="dxa"/>
            <w:gridSpan w:val="3"/>
            <w:vAlign w:val="center"/>
          </w:tcPr>
          <w:p w14:paraId="652DAED9" w14:textId="609DD21F" w:rsidR="00C208FA" w:rsidRPr="00091FC2" w:rsidRDefault="00C208FA" w:rsidP="00A8297E">
            <w:pPr>
              <w:rPr>
                <w:bCs/>
                <w:lang w:val="en-US"/>
              </w:rPr>
            </w:pPr>
            <w:r w:rsidRPr="00091FC2">
              <w:rPr>
                <w:lang w:val="en-US"/>
              </w:rPr>
              <w:t>AFRICAN COURT ON HUMAN AND PEOPLES</w:t>
            </w:r>
            <w:r w:rsidR="00093C4B" w:rsidRPr="00091FC2">
              <w:rPr>
                <w:lang w:val="en-US"/>
              </w:rPr>
              <w:t>’</w:t>
            </w:r>
            <w:r w:rsidRPr="00091FC2">
              <w:rPr>
                <w:lang w:val="en-US"/>
              </w:rPr>
              <w:t xml:space="preserve"> RIGHTS</w:t>
            </w:r>
          </w:p>
        </w:tc>
      </w:tr>
      <w:tr w:rsidR="00C208FA" w:rsidRPr="00091FC2" w14:paraId="1F656C93" w14:textId="77777777" w:rsidTr="001B2323">
        <w:trPr>
          <w:trHeight w:val="283"/>
          <w:jc w:val="center"/>
        </w:trPr>
        <w:tc>
          <w:tcPr>
            <w:tcW w:w="8926" w:type="dxa"/>
            <w:gridSpan w:val="3"/>
            <w:vAlign w:val="center"/>
          </w:tcPr>
          <w:p w14:paraId="365614B6" w14:textId="1B16A6A2" w:rsidR="00C208FA" w:rsidRPr="00091FC2" w:rsidRDefault="00C208FA" w:rsidP="00A8297E">
            <w:pPr>
              <w:rPr>
                <w:bCs/>
              </w:rPr>
            </w:pPr>
            <w:r w:rsidRPr="00091FC2">
              <w:t>COUR AFRICAINE DES DROITS DE L</w:t>
            </w:r>
            <w:r w:rsidR="00093C4B" w:rsidRPr="00091FC2">
              <w:t>’</w:t>
            </w:r>
            <w:r w:rsidRPr="00091FC2">
              <w:t>HOMME ET DES PEUPLES</w:t>
            </w:r>
          </w:p>
        </w:tc>
      </w:tr>
      <w:tr w:rsidR="00C208FA" w:rsidRPr="00091FC2" w14:paraId="3DA87AAA" w14:textId="77777777" w:rsidTr="001B2323">
        <w:trPr>
          <w:trHeight w:val="283"/>
          <w:jc w:val="center"/>
        </w:trPr>
        <w:tc>
          <w:tcPr>
            <w:tcW w:w="8926" w:type="dxa"/>
            <w:gridSpan w:val="3"/>
            <w:vAlign w:val="center"/>
          </w:tcPr>
          <w:p w14:paraId="110310CE" w14:textId="77777777" w:rsidR="00C208FA" w:rsidRPr="00091FC2" w:rsidRDefault="00C208FA" w:rsidP="00A8297E">
            <w:pPr>
              <w:rPr>
                <w:bCs/>
              </w:rPr>
            </w:pPr>
          </w:p>
        </w:tc>
      </w:tr>
    </w:tbl>
    <w:p w14:paraId="21831D0A" w14:textId="77777777" w:rsidR="007035D1" w:rsidRPr="00091FC2" w:rsidRDefault="007035D1" w:rsidP="00A8297E">
      <w:pPr>
        <w:rPr>
          <w:sz w:val="14"/>
          <w:szCs w:val="14"/>
          <w:lang w:val="fr-FR"/>
        </w:rPr>
      </w:pPr>
      <w:r w:rsidRPr="00091FC2">
        <w:rPr>
          <w:lang w:val="fr-FR"/>
        </w:rPr>
        <w:tab/>
      </w:r>
    </w:p>
    <w:p w14:paraId="46F02F54" w14:textId="77777777" w:rsidR="00B14B75" w:rsidRPr="00091FC2" w:rsidRDefault="00B14B75" w:rsidP="00A8297E">
      <w:pPr>
        <w:rPr>
          <w:lang w:val="fr-FR"/>
        </w:rPr>
      </w:pPr>
    </w:p>
    <w:p w14:paraId="7FF2E0F7" w14:textId="77777777" w:rsidR="002C7BAB" w:rsidRPr="00091FC2" w:rsidRDefault="002C7BAB" w:rsidP="00A8297E">
      <w:pPr>
        <w:rPr>
          <w:lang w:val="fr-FR"/>
        </w:rPr>
      </w:pPr>
    </w:p>
    <w:p w14:paraId="23AD50D4" w14:textId="77777777" w:rsidR="002C7BAB" w:rsidRPr="00091FC2" w:rsidRDefault="002C7BAB" w:rsidP="00A8297E">
      <w:pPr>
        <w:rPr>
          <w:lang w:val="fr-FR"/>
        </w:rPr>
      </w:pPr>
    </w:p>
    <w:p w14:paraId="07548468" w14:textId="77777777" w:rsidR="00B14B75" w:rsidRPr="00091FC2" w:rsidRDefault="00B14B75" w:rsidP="00A8297E">
      <w:r w:rsidRPr="00091FC2">
        <w:t>THE MATTER OF</w:t>
      </w:r>
    </w:p>
    <w:p w14:paraId="506849EB" w14:textId="77777777" w:rsidR="00B14B75" w:rsidRPr="00091FC2" w:rsidRDefault="00B14B75" w:rsidP="00A8297E"/>
    <w:p w14:paraId="4BE8A8CB" w14:textId="77777777" w:rsidR="00B14B75" w:rsidRPr="00091FC2" w:rsidRDefault="00B14B75" w:rsidP="00A8297E"/>
    <w:p w14:paraId="37A04738" w14:textId="51803A59" w:rsidR="00B14B75" w:rsidRPr="00091FC2" w:rsidRDefault="00B11315" w:rsidP="00A8297E">
      <w:r w:rsidRPr="00091FC2">
        <w:t xml:space="preserve">UMALO MUSSA </w:t>
      </w:r>
    </w:p>
    <w:p w14:paraId="1AD8F029" w14:textId="77777777" w:rsidR="00B14B75" w:rsidRPr="00091FC2" w:rsidRDefault="00B14B75" w:rsidP="00A8297E"/>
    <w:p w14:paraId="09956748" w14:textId="77777777" w:rsidR="00C208FA" w:rsidRPr="00091FC2" w:rsidRDefault="00C208FA" w:rsidP="00A8297E"/>
    <w:p w14:paraId="0F820CF2" w14:textId="7487675E" w:rsidR="00B14B75" w:rsidRPr="00091FC2" w:rsidRDefault="00B14B75" w:rsidP="00A8297E">
      <w:r w:rsidRPr="00091FC2">
        <w:t>V</w:t>
      </w:r>
      <w:r w:rsidR="00951EB2" w:rsidRPr="00091FC2">
        <w:t>.</w:t>
      </w:r>
    </w:p>
    <w:p w14:paraId="5DBDB9D3" w14:textId="77777777" w:rsidR="00B14B75" w:rsidRPr="00091FC2" w:rsidRDefault="00B14B75" w:rsidP="00A8297E"/>
    <w:p w14:paraId="4B029A79" w14:textId="77777777" w:rsidR="002C7BAB" w:rsidRPr="00091FC2" w:rsidRDefault="002C7BAB" w:rsidP="00A8297E"/>
    <w:p w14:paraId="528EAEC4" w14:textId="7D1AFA97" w:rsidR="00B14B75" w:rsidRPr="00091FC2" w:rsidRDefault="00B11315" w:rsidP="00A8297E">
      <w:r w:rsidRPr="00091FC2">
        <w:t xml:space="preserve">UNITED </w:t>
      </w:r>
      <w:r w:rsidR="00B14B75" w:rsidRPr="00091FC2">
        <w:t xml:space="preserve">REPUBLIC OF </w:t>
      </w:r>
      <w:r w:rsidRPr="00091FC2">
        <w:t>TANZANIA</w:t>
      </w:r>
    </w:p>
    <w:p w14:paraId="46D36A3F" w14:textId="77777777" w:rsidR="00B14B75" w:rsidRPr="00091FC2" w:rsidRDefault="00B14B75" w:rsidP="00A8297E"/>
    <w:p w14:paraId="58433A6A" w14:textId="77777777" w:rsidR="00843C22" w:rsidRPr="00091FC2" w:rsidRDefault="00843C22" w:rsidP="00A8297E"/>
    <w:p w14:paraId="379FD2F2" w14:textId="3368D86A" w:rsidR="00B14B75" w:rsidRPr="00091FC2" w:rsidRDefault="00035C8C" w:rsidP="00A8297E">
      <w:r w:rsidRPr="00091FC2">
        <w:t>APPLICATION NO</w:t>
      </w:r>
      <w:r w:rsidR="00B14B75" w:rsidRPr="00091FC2">
        <w:t>. 0</w:t>
      </w:r>
      <w:r w:rsidR="00B11315" w:rsidRPr="00091FC2">
        <w:t>31</w:t>
      </w:r>
      <w:r w:rsidR="00B14B75" w:rsidRPr="00091FC2">
        <w:t>/20</w:t>
      </w:r>
      <w:r w:rsidR="00B11315" w:rsidRPr="00091FC2">
        <w:t>16</w:t>
      </w:r>
    </w:p>
    <w:p w14:paraId="096C6283" w14:textId="77777777" w:rsidR="00B14B75" w:rsidRPr="00091FC2" w:rsidRDefault="00B14B75" w:rsidP="00A8297E"/>
    <w:p w14:paraId="4B498C10" w14:textId="77777777" w:rsidR="00B14B75" w:rsidRPr="00091FC2" w:rsidRDefault="00B14B75" w:rsidP="00A8297E"/>
    <w:p w14:paraId="1038C670" w14:textId="2D9B5F88" w:rsidR="00B14B75" w:rsidRPr="00091FC2" w:rsidRDefault="00B10E75" w:rsidP="00A8297E">
      <w:r w:rsidRPr="00091FC2">
        <w:t>JUDGMENT</w:t>
      </w:r>
    </w:p>
    <w:p w14:paraId="04DF1688" w14:textId="3008AAAB" w:rsidR="00B14B75" w:rsidRPr="00091FC2" w:rsidRDefault="008235DD" w:rsidP="00A8297E">
      <w:r w:rsidRPr="00091FC2">
        <w:t xml:space="preserve"> </w:t>
      </w:r>
    </w:p>
    <w:p w14:paraId="4D9A3068" w14:textId="77777777" w:rsidR="00B14B75" w:rsidRPr="00091FC2" w:rsidRDefault="00B14B75" w:rsidP="00A8297E"/>
    <w:p w14:paraId="3F3C3667" w14:textId="484D7900" w:rsidR="00B14B75" w:rsidRPr="00091FC2" w:rsidRDefault="004E4FF6" w:rsidP="00A8297E">
      <w:r w:rsidRPr="00091FC2">
        <w:t>13</w:t>
      </w:r>
      <w:r w:rsidR="00066481" w:rsidRPr="00091FC2">
        <w:t xml:space="preserve"> </w:t>
      </w:r>
      <w:r w:rsidR="00763047" w:rsidRPr="00091FC2">
        <w:t xml:space="preserve">JUNE </w:t>
      </w:r>
      <w:r w:rsidR="006307B0" w:rsidRPr="00091FC2">
        <w:t>2023</w:t>
      </w:r>
    </w:p>
    <w:p w14:paraId="35689F19" w14:textId="77777777" w:rsidR="00EE0A5E" w:rsidRPr="00091FC2" w:rsidRDefault="00EE0A5E" w:rsidP="00A8297E">
      <w:pPr>
        <w:sectPr w:rsidR="00EE0A5E" w:rsidRPr="00091FC2" w:rsidSect="0099246F">
          <w:footerReference w:type="default" r:id="rId11"/>
          <w:headerReference w:type="first" r:id="rId12"/>
          <w:pgSz w:w="11906" w:h="16838" w:code="9"/>
          <w:pgMar w:top="1418" w:right="1418" w:bottom="1418" w:left="1418" w:header="709" w:footer="709" w:gutter="0"/>
          <w:pgNumType w:start="0"/>
          <w:cols w:space="708"/>
          <w:titlePg/>
          <w:docGrid w:linePitch="360"/>
        </w:sectPr>
      </w:pPr>
    </w:p>
    <w:p w14:paraId="08FBFBCF" w14:textId="4FF90D61" w:rsidR="00B14B75" w:rsidRPr="00091FC2" w:rsidRDefault="00B14B75" w:rsidP="00A8297E">
      <w:bookmarkStart w:id="0" w:name="_Toc136592890"/>
      <w:r w:rsidRPr="00091FC2">
        <w:lastRenderedPageBreak/>
        <w:t>TABLE OF CONTENTS</w:t>
      </w:r>
      <w:bookmarkEnd w:id="0"/>
    </w:p>
    <w:sdt>
      <w:sdtPr>
        <w:id w:val="-103195515"/>
        <w:docPartObj>
          <w:docPartGallery w:val="Table of Contents"/>
          <w:docPartUnique/>
        </w:docPartObj>
      </w:sdtPr>
      <w:sdtEndPr>
        <w:rPr>
          <w:noProof/>
        </w:rPr>
      </w:sdtEndPr>
      <w:sdtContent>
        <w:p w14:paraId="55A4854F" w14:textId="77777777" w:rsidR="00E44DB8" w:rsidRPr="00091FC2" w:rsidRDefault="00E44DB8" w:rsidP="00A8297E">
          <w:pPr>
            <w:rPr>
              <w:sz w:val="8"/>
            </w:rPr>
          </w:pPr>
        </w:p>
        <w:p w14:paraId="26D1833A" w14:textId="77777777" w:rsidR="0072528D" w:rsidRPr="00091FC2" w:rsidRDefault="00E44DB8" w:rsidP="00A8297E">
          <w:pPr>
            <w:rPr>
              <w:rFonts w:eastAsiaTheme="minorEastAsia"/>
              <w:bCs/>
              <w:iCs/>
              <w:noProof/>
              <w:sz w:val="22"/>
              <w:szCs w:val="22"/>
              <w:lang w:val="fr-FR" w:eastAsia="fr-FR"/>
            </w:rPr>
          </w:pPr>
          <w:r w:rsidRPr="00091FC2">
            <w:rPr>
              <w:bCs/>
              <w:iCs/>
            </w:rPr>
            <w:fldChar w:fldCharType="begin"/>
          </w:r>
          <w:r w:rsidRPr="00091FC2">
            <w:instrText xml:space="preserve"> TOC \o "1-3" \h \z \u </w:instrText>
          </w:r>
          <w:r w:rsidRPr="00091FC2">
            <w:rPr>
              <w:bCs/>
              <w:iCs/>
              <w:noProof/>
            </w:rPr>
            <w:fldChar w:fldCharType="separate"/>
          </w:r>
          <w:hyperlink w:anchor="_Toc136592890" w:history="1">
            <w:r w:rsidR="0072528D" w:rsidRPr="00091FC2">
              <w:rPr>
                <w:rStyle w:val="Hyperlink"/>
                <w:rFonts w:cs="Arial"/>
                <w:noProof/>
              </w:rPr>
              <w:t>TABLE OF CONTENTS</w:t>
            </w:r>
            <w:r w:rsidR="0072528D" w:rsidRPr="00091FC2">
              <w:rPr>
                <w:noProof/>
                <w:webHidden/>
              </w:rPr>
              <w:tab/>
            </w:r>
            <w:r w:rsidR="0072528D" w:rsidRPr="00091FC2">
              <w:rPr>
                <w:noProof/>
                <w:webHidden/>
              </w:rPr>
              <w:fldChar w:fldCharType="begin"/>
            </w:r>
            <w:r w:rsidR="0072528D" w:rsidRPr="00091FC2">
              <w:rPr>
                <w:noProof/>
                <w:webHidden/>
              </w:rPr>
              <w:instrText xml:space="preserve"> PAGEREF _Toc136592890 \h </w:instrText>
            </w:r>
            <w:r w:rsidR="0072528D" w:rsidRPr="00091FC2">
              <w:rPr>
                <w:noProof/>
                <w:webHidden/>
              </w:rPr>
            </w:r>
            <w:r w:rsidR="0072528D" w:rsidRPr="00091FC2">
              <w:rPr>
                <w:noProof/>
                <w:webHidden/>
              </w:rPr>
              <w:fldChar w:fldCharType="separate"/>
            </w:r>
            <w:r w:rsidR="0072528D" w:rsidRPr="00091FC2">
              <w:rPr>
                <w:noProof/>
                <w:webHidden/>
              </w:rPr>
              <w:t>i</w:t>
            </w:r>
            <w:r w:rsidR="0072528D" w:rsidRPr="00091FC2">
              <w:rPr>
                <w:noProof/>
                <w:webHidden/>
              </w:rPr>
              <w:fldChar w:fldCharType="end"/>
            </w:r>
          </w:hyperlink>
        </w:p>
        <w:p w14:paraId="4EA4013D" w14:textId="77777777" w:rsidR="0072528D" w:rsidRPr="00091FC2" w:rsidRDefault="0072528D" w:rsidP="00A8297E">
          <w:pPr>
            <w:rPr>
              <w:rFonts w:eastAsiaTheme="minorEastAsia"/>
              <w:bCs/>
              <w:iCs/>
              <w:noProof/>
              <w:sz w:val="22"/>
              <w:szCs w:val="22"/>
              <w:lang w:val="fr-FR" w:eastAsia="fr-FR"/>
            </w:rPr>
          </w:pPr>
          <w:hyperlink w:anchor="_Toc136592891" w:history="1">
            <w:r w:rsidRPr="00091FC2">
              <w:rPr>
                <w:rStyle w:val="Hyperlink"/>
                <w:rFonts w:cs="Arial"/>
                <w:noProof/>
              </w:rPr>
              <w:t>I.</w:t>
            </w:r>
            <w:r w:rsidRPr="00091FC2">
              <w:rPr>
                <w:rFonts w:eastAsiaTheme="minorEastAsia"/>
                <w:noProof/>
                <w:sz w:val="22"/>
                <w:szCs w:val="22"/>
                <w:lang w:val="fr-FR" w:eastAsia="fr-FR"/>
              </w:rPr>
              <w:tab/>
            </w:r>
            <w:r w:rsidRPr="00091FC2">
              <w:rPr>
                <w:rStyle w:val="Hyperlink"/>
                <w:rFonts w:cs="Arial"/>
                <w:noProof/>
              </w:rPr>
              <w:t>THE PARTIES</w:t>
            </w:r>
            <w:r w:rsidRPr="00091FC2">
              <w:rPr>
                <w:noProof/>
                <w:webHidden/>
              </w:rPr>
              <w:tab/>
            </w:r>
            <w:r w:rsidRPr="00091FC2">
              <w:rPr>
                <w:noProof/>
                <w:webHidden/>
              </w:rPr>
              <w:fldChar w:fldCharType="begin"/>
            </w:r>
            <w:r w:rsidRPr="00091FC2">
              <w:rPr>
                <w:noProof/>
                <w:webHidden/>
              </w:rPr>
              <w:instrText xml:space="preserve"> PAGEREF _Toc136592891 \h </w:instrText>
            </w:r>
            <w:r w:rsidRPr="00091FC2">
              <w:rPr>
                <w:noProof/>
                <w:webHidden/>
              </w:rPr>
            </w:r>
            <w:r w:rsidRPr="00091FC2">
              <w:rPr>
                <w:noProof/>
                <w:webHidden/>
              </w:rPr>
              <w:fldChar w:fldCharType="separate"/>
            </w:r>
            <w:r w:rsidRPr="00091FC2">
              <w:rPr>
                <w:noProof/>
                <w:webHidden/>
              </w:rPr>
              <w:t>2</w:t>
            </w:r>
            <w:r w:rsidRPr="00091FC2">
              <w:rPr>
                <w:noProof/>
                <w:webHidden/>
              </w:rPr>
              <w:fldChar w:fldCharType="end"/>
            </w:r>
          </w:hyperlink>
        </w:p>
        <w:p w14:paraId="04D071B5" w14:textId="77777777" w:rsidR="0072528D" w:rsidRPr="00091FC2" w:rsidRDefault="0072528D" w:rsidP="00A8297E">
          <w:pPr>
            <w:rPr>
              <w:rFonts w:eastAsiaTheme="minorEastAsia"/>
              <w:bCs/>
              <w:iCs/>
              <w:noProof/>
              <w:sz w:val="22"/>
              <w:szCs w:val="22"/>
              <w:lang w:val="fr-FR" w:eastAsia="fr-FR"/>
            </w:rPr>
          </w:pPr>
          <w:hyperlink w:anchor="_Toc136592892" w:history="1">
            <w:r w:rsidRPr="00091FC2">
              <w:rPr>
                <w:rStyle w:val="Hyperlink"/>
                <w:rFonts w:cs="Arial"/>
                <w:noProof/>
              </w:rPr>
              <w:t>II.</w:t>
            </w:r>
            <w:r w:rsidRPr="00091FC2">
              <w:rPr>
                <w:rFonts w:eastAsiaTheme="minorEastAsia"/>
                <w:noProof/>
                <w:sz w:val="22"/>
                <w:szCs w:val="22"/>
                <w:lang w:val="fr-FR" w:eastAsia="fr-FR"/>
              </w:rPr>
              <w:tab/>
            </w:r>
            <w:r w:rsidRPr="00091FC2">
              <w:rPr>
                <w:rStyle w:val="Hyperlink"/>
                <w:rFonts w:cs="Arial"/>
                <w:noProof/>
              </w:rPr>
              <w:t>SUBJECT OF THE APPLICATION</w:t>
            </w:r>
            <w:r w:rsidRPr="00091FC2">
              <w:rPr>
                <w:noProof/>
                <w:webHidden/>
              </w:rPr>
              <w:tab/>
            </w:r>
            <w:r w:rsidRPr="00091FC2">
              <w:rPr>
                <w:noProof/>
                <w:webHidden/>
              </w:rPr>
              <w:fldChar w:fldCharType="begin"/>
            </w:r>
            <w:r w:rsidRPr="00091FC2">
              <w:rPr>
                <w:noProof/>
                <w:webHidden/>
              </w:rPr>
              <w:instrText xml:space="preserve"> PAGEREF _Toc136592892 \h </w:instrText>
            </w:r>
            <w:r w:rsidRPr="00091FC2">
              <w:rPr>
                <w:noProof/>
                <w:webHidden/>
              </w:rPr>
            </w:r>
            <w:r w:rsidRPr="00091FC2">
              <w:rPr>
                <w:noProof/>
                <w:webHidden/>
              </w:rPr>
              <w:fldChar w:fldCharType="separate"/>
            </w:r>
            <w:r w:rsidRPr="00091FC2">
              <w:rPr>
                <w:noProof/>
                <w:webHidden/>
              </w:rPr>
              <w:t>3</w:t>
            </w:r>
            <w:r w:rsidRPr="00091FC2">
              <w:rPr>
                <w:noProof/>
                <w:webHidden/>
              </w:rPr>
              <w:fldChar w:fldCharType="end"/>
            </w:r>
          </w:hyperlink>
        </w:p>
        <w:p w14:paraId="4BA6D97C" w14:textId="77777777" w:rsidR="0072528D" w:rsidRPr="00091FC2" w:rsidRDefault="0072528D" w:rsidP="00A8297E">
          <w:pPr>
            <w:rPr>
              <w:rFonts w:eastAsiaTheme="minorEastAsia"/>
              <w:sz w:val="22"/>
              <w:szCs w:val="22"/>
              <w:lang w:val="fr-FR" w:eastAsia="fr-FR"/>
            </w:rPr>
          </w:pPr>
          <w:hyperlink w:anchor="_Toc136592893" w:history="1">
            <w:r w:rsidRPr="00091FC2">
              <w:rPr>
                <w:rStyle w:val="Hyperlink"/>
              </w:rPr>
              <w:t>A.</w:t>
            </w:r>
            <w:r w:rsidRPr="00091FC2">
              <w:rPr>
                <w:rFonts w:eastAsiaTheme="minorEastAsia"/>
                <w:sz w:val="22"/>
                <w:szCs w:val="22"/>
                <w:lang w:val="fr-FR" w:eastAsia="fr-FR"/>
              </w:rPr>
              <w:tab/>
            </w:r>
            <w:r w:rsidRPr="00091FC2">
              <w:rPr>
                <w:rStyle w:val="Hyperlink"/>
              </w:rPr>
              <w:t>Facts of the matter</w:t>
            </w:r>
            <w:r w:rsidRPr="00091FC2">
              <w:rPr>
                <w:webHidden/>
              </w:rPr>
              <w:tab/>
            </w:r>
            <w:r w:rsidRPr="00091FC2">
              <w:rPr>
                <w:webHidden/>
              </w:rPr>
              <w:fldChar w:fldCharType="begin"/>
            </w:r>
            <w:r w:rsidRPr="00091FC2">
              <w:rPr>
                <w:webHidden/>
              </w:rPr>
              <w:instrText xml:space="preserve"> PAGEREF _Toc136592893 \h </w:instrText>
            </w:r>
            <w:r w:rsidRPr="00091FC2">
              <w:rPr>
                <w:webHidden/>
              </w:rPr>
            </w:r>
            <w:r w:rsidRPr="00091FC2">
              <w:rPr>
                <w:webHidden/>
              </w:rPr>
              <w:fldChar w:fldCharType="separate"/>
            </w:r>
            <w:r w:rsidRPr="00091FC2">
              <w:rPr>
                <w:webHidden/>
              </w:rPr>
              <w:t>3</w:t>
            </w:r>
            <w:r w:rsidRPr="00091FC2">
              <w:rPr>
                <w:webHidden/>
              </w:rPr>
              <w:fldChar w:fldCharType="end"/>
            </w:r>
          </w:hyperlink>
        </w:p>
        <w:p w14:paraId="5AF254BE" w14:textId="77777777" w:rsidR="0072528D" w:rsidRPr="00091FC2" w:rsidRDefault="0072528D" w:rsidP="00A8297E">
          <w:pPr>
            <w:rPr>
              <w:rFonts w:eastAsiaTheme="minorEastAsia"/>
              <w:sz w:val="22"/>
              <w:szCs w:val="22"/>
              <w:lang w:val="fr-FR" w:eastAsia="fr-FR"/>
            </w:rPr>
          </w:pPr>
          <w:hyperlink w:anchor="_Toc136592894" w:history="1">
            <w:r w:rsidRPr="00091FC2">
              <w:rPr>
                <w:rStyle w:val="Hyperlink"/>
              </w:rPr>
              <w:t>B.</w:t>
            </w:r>
            <w:r w:rsidRPr="00091FC2">
              <w:rPr>
                <w:rFonts w:eastAsiaTheme="minorEastAsia"/>
                <w:sz w:val="22"/>
                <w:szCs w:val="22"/>
                <w:lang w:val="fr-FR" w:eastAsia="fr-FR"/>
              </w:rPr>
              <w:tab/>
            </w:r>
            <w:r w:rsidRPr="00091FC2">
              <w:rPr>
                <w:rStyle w:val="Hyperlink"/>
              </w:rPr>
              <w:t>Alleged violations</w:t>
            </w:r>
            <w:r w:rsidRPr="00091FC2">
              <w:rPr>
                <w:webHidden/>
              </w:rPr>
              <w:tab/>
            </w:r>
            <w:r w:rsidRPr="00091FC2">
              <w:rPr>
                <w:webHidden/>
              </w:rPr>
              <w:fldChar w:fldCharType="begin"/>
            </w:r>
            <w:r w:rsidRPr="00091FC2">
              <w:rPr>
                <w:webHidden/>
              </w:rPr>
              <w:instrText xml:space="preserve"> PAGEREF _Toc136592894 \h </w:instrText>
            </w:r>
            <w:r w:rsidRPr="00091FC2">
              <w:rPr>
                <w:webHidden/>
              </w:rPr>
            </w:r>
            <w:r w:rsidRPr="00091FC2">
              <w:rPr>
                <w:webHidden/>
              </w:rPr>
              <w:fldChar w:fldCharType="separate"/>
            </w:r>
            <w:r w:rsidRPr="00091FC2">
              <w:rPr>
                <w:webHidden/>
              </w:rPr>
              <w:t>3</w:t>
            </w:r>
            <w:r w:rsidRPr="00091FC2">
              <w:rPr>
                <w:webHidden/>
              </w:rPr>
              <w:fldChar w:fldCharType="end"/>
            </w:r>
          </w:hyperlink>
        </w:p>
        <w:p w14:paraId="1DA9F00A" w14:textId="77777777" w:rsidR="0072528D" w:rsidRPr="00091FC2" w:rsidRDefault="0072528D" w:rsidP="00A8297E">
          <w:pPr>
            <w:rPr>
              <w:rFonts w:eastAsiaTheme="minorEastAsia"/>
              <w:bCs/>
              <w:iCs/>
              <w:noProof/>
              <w:sz w:val="22"/>
              <w:szCs w:val="22"/>
              <w:lang w:val="fr-FR" w:eastAsia="fr-FR"/>
            </w:rPr>
          </w:pPr>
          <w:hyperlink w:anchor="_Toc136592895" w:history="1">
            <w:r w:rsidRPr="00091FC2">
              <w:rPr>
                <w:rStyle w:val="Hyperlink"/>
                <w:rFonts w:cs="Arial"/>
                <w:noProof/>
              </w:rPr>
              <w:t>III.</w:t>
            </w:r>
            <w:r w:rsidRPr="00091FC2">
              <w:rPr>
                <w:rFonts w:eastAsiaTheme="minorEastAsia"/>
                <w:noProof/>
                <w:sz w:val="22"/>
                <w:szCs w:val="22"/>
                <w:lang w:val="fr-FR" w:eastAsia="fr-FR"/>
              </w:rPr>
              <w:tab/>
            </w:r>
            <w:r w:rsidRPr="00091FC2">
              <w:rPr>
                <w:rStyle w:val="Hyperlink"/>
                <w:rFonts w:cs="Arial"/>
                <w:noProof/>
              </w:rPr>
              <w:t>SUMMARY OF THE PROCEDURE BEFORE THE COURT</w:t>
            </w:r>
            <w:r w:rsidRPr="00091FC2">
              <w:rPr>
                <w:noProof/>
                <w:webHidden/>
              </w:rPr>
              <w:tab/>
            </w:r>
            <w:r w:rsidRPr="00091FC2">
              <w:rPr>
                <w:noProof/>
                <w:webHidden/>
              </w:rPr>
              <w:fldChar w:fldCharType="begin"/>
            </w:r>
            <w:r w:rsidRPr="00091FC2">
              <w:rPr>
                <w:noProof/>
                <w:webHidden/>
              </w:rPr>
              <w:instrText xml:space="preserve"> PAGEREF _Toc136592895 \h </w:instrText>
            </w:r>
            <w:r w:rsidRPr="00091FC2">
              <w:rPr>
                <w:noProof/>
                <w:webHidden/>
              </w:rPr>
            </w:r>
            <w:r w:rsidRPr="00091FC2">
              <w:rPr>
                <w:noProof/>
                <w:webHidden/>
              </w:rPr>
              <w:fldChar w:fldCharType="separate"/>
            </w:r>
            <w:r w:rsidRPr="00091FC2">
              <w:rPr>
                <w:noProof/>
                <w:webHidden/>
              </w:rPr>
              <w:t>4</w:t>
            </w:r>
            <w:r w:rsidRPr="00091FC2">
              <w:rPr>
                <w:noProof/>
                <w:webHidden/>
              </w:rPr>
              <w:fldChar w:fldCharType="end"/>
            </w:r>
          </w:hyperlink>
        </w:p>
        <w:p w14:paraId="1B6A8282" w14:textId="77777777" w:rsidR="0072528D" w:rsidRPr="00091FC2" w:rsidRDefault="0072528D" w:rsidP="00A8297E">
          <w:pPr>
            <w:rPr>
              <w:rFonts w:eastAsiaTheme="minorEastAsia"/>
              <w:bCs/>
              <w:iCs/>
              <w:noProof/>
              <w:sz w:val="22"/>
              <w:szCs w:val="22"/>
              <w:lang w:val="fr-FR" w:eastAsia="fr-FR"/>
            </w:rPr>
          </w:pPr>
          <w:hyperlink w:anchor="_Toc136592896" w:history="1">
            <w:r w:rsidRPr="00091FC2">
              <w:rPr>
                <w:rStyle w:val="Hyperlink"/>
                <w:rFonts w:cs="Arial"/>
                <w:noProof/>
              </w:rPr>
              <w:t>IV.</w:t>
            </w:r>
            <w:r w:rsidRPr="00091FC2">
              <w:rPr>
                <w:rFonts w:eastAsiaTheme="minorEastAsia"/>
                <w:noProof/>
                <w:sz w:val="22"/>
                <w:szCs w:val="22"/>
                <w:lang w:val="fr-FR" w:eastAsia="fr-FR"/>
              </w:rPr>
              <w:tab/>
            </w:r>
            <w:r w:rsidRPr="00091FC2">
              <w:rPr>
                <w:rStyle w:val="Hyperlink"/>
                <w:rFonts w:cs="Arial"/>
                <w:noProof/>
              </w:rPr>
              <w:t>PRAYERS OF THE PARTIES</w:t>
            </w:r>
            <w:r w:rsidRPr="00091FC2">
              <w:rPr>
                <w:noProof/>
                <w:webHidden/>
              </w:rPr>
              <w:tab/>
            </w:r>
            <w:r w:rsidRPr="00091FC2">
              <w:rPr>
                <w:noProof/>
                <w:webHidden/>
              </w:rPr>
              <w:fldChar w:fldCharType="begin"/>
            </w:r>
            <w:r w:rsidRPr="00091FC2">
              <w:rPr>
                <w:noProof/>
                <w:webHidden/>
              </w:rPr>
              <w:instrText xml:space="preserve"> PAGEREF _Toc136592896 \h </w:instrText>
            </w:r>
            <w:r w:rsidRPr="00091FC2">
              <w:rPr>
                <w:noProof/>
                <w:webHidden/>
              </w:rPr>
            </w:r>
            <w:r w:rsidRPr="00091FC2">
              <w:rPr>
                <w:noProof/>
                <w:webHidden/>
              </w:rPr>
              <w:fldChar w:fldCharType="separate"/>
            </w:r>
            <w:r w:rsidRPr="00091FC2">
              <w:rPr>
                <w:noProof/>
                <w:webHidden/>
              </w:rPr>
              <w:t>4</w:t>
            </w:r>
            <w:r w:rsidRPr="00091FC2">
              <w:rPr>
                <w:noProof/>
                <w:webHidden/>
              </w:rPr>
              <w:fldChar w:fldCharType="end"/>
            </w:r>
          </w:hyperlink>
        </w:p>
        <w:p w14:paraId="601D64A8" w14:textId="77777777" w:rsidR="0072528D" w:rsidRPr="00091FC2" w:rsidRDefault="0072528D" w:rsidP="00A8297E">
          <w:pPr>
            <w:rPr>
              <w:rFonts w:eastAsiaTheme="minorEastAsia"/>
              <w:bCs/>
              <w:iCs/>
              <w:noProof/>
              <w:sz w:val="22"/>
              <w:szCs w:val="22"/>
              <w:lang w:val="fr-FR" w:eastAsia="fr-FR"/>
            </w:rPr>
          </w:pPr>
          <w:hyperlink w:anchor="_Toc136592897" w:history="1">
            <w:r w:rsidRPr="00091FC2">
              <w:rPr>
                <w:rStyle w:val="Hyperlink"/>
                <w:rFonts w:cs="Arial"/>
                <w:noProof/>
              </w:rPr>
              <w:t>V.</w:t>
            </w:r>
            <w:r w:rsidRPr="00091FC2">
              <w:rPr>
                <w:rFonts w:eastAsiaTheme="minorEastAsia"/>
                <w:noProof/>
                <w:sz w:val="22"/>
                <w:szCs w:val="22"/>
                <w:lang w:val="fr-FR" w:eastAsia="fr-FR"/>
              </w:rPr>
              <w:tab/>
            </w:r>
            <w:r w:rsidRPr="00091FC2">
              <w:rPr>
                <w:rStyle w:val="Hyperlink"/>
                <w:rFonts w:cs="Arial"/>
                <w:noProof/>
              </w:rPr>
              <w:t>JURISDICTION</w:t>
            </w:r>
            <w:r w:rsidRPr="00091FC2">
              <w:rPr>
                <w:noProof/>
                <w:webHidden/>
              </w:rPr>
              <w:tab/>
            </w:r>
            <w:r w:rsidRPr="00091FC2">
              <w:rPr>
                <w:noProof/>
                <w:webHidden/>
              </w:rPr>
              <w:fldChar w:fldCharType="begin"/>
            </w:r>
            <w:r w:rsidRPr="00091FC2">
              <w:rPr>
                <w:noProof/>
                <w:webHidden/>
              </w:rPr>
              <w:instrText xml:space="preserve"> PAGEREF _Toc136592897 \h </w:instrText>
            </w:r>
            <w:r w:rsidRPr="00091FC2">
              <w:rPr>
                <w:noProof/>
                <w:webHidden/>
              </w:rPr>
            </w:r>
            <w:r w:rsidRPr="00091FC2">
              <w:rPr>
                <w:noProof/>
                <w:webHidden/>
              </w:rPr>
              <w:fldChar w:fldCharType="separate"/>
            </w:r>
            <w:r w:rsidRPr="00091FC2">
              <w:rPr>
                <w:noProof/>
                <w:webHidden/>
              </w:rPr>
              <w:t>6</w:t>
            </w:r>
            <w:r w:rsidRPr="00091FC2">
              <w:rPr>
                <w:noProof/>
                <w:webHidden/>
              </w:rPr>
              <w:fldChar w:fldCharType="end"/>
            </w:r>
          </w:hyperlink>
        </w:p>
        <w:p w14:paraId="62AB5A0B" w14:textId="77777777" w:rsidR="0072528D" w:rsidRPr="00091FC2" w:rsidRDefault="0072528D" w:rsidP="00A8297E">
          <w:pPr>
            <w:rPr>
              <w:rFonts w:eastAsiaTheme="minorEastAsia"/>
              <w:sz w:val="22"/>
              <w:szCs w:val="22"/>
              <w:lang w:val="fr-FR" w:eastAsia="fr-FR"/>
            </w:rPr>
          </w:pPr>
          <w:hyperlink w:anchor="_Toc136592898" w:history="1">
            <w:r w:rsidRPr="00091FC2">
              <w:rPr>
                <w:rStyle w:val="Hyperlink"/>
              </w:rPr>
              <w:t>A.</w:t>
            </w:r>
            <w:r w:rsidRPr="00091FC2">
              <w:rPr>
                <w:rFonts w:eastAsiaTheme="minorEastAsia"/>
                <w:sz w:val="22"/>
                <w:szCs w:val="22"/>
                <w:lang w:val="fr-FR" w:eastAsia="fr-FR"/>
              </w:rPr>
              <w:tab/>
            </w:r>
            <w:r w:rsidRPr="00091FC2">
              <w:rPr>
                <w:rStyle w:val="Hyperlink"/>
              </w:rPr>
              <w:t>Objection to material jurisdiction</w:t>
            </w:r>
            <w:r w:rsidRPr="00091FC2">
              <w:rPr>
                <w:webHidden/>
              </w:rPr>
              <w:tab/>
            </w:r>
            <w:r w:rsidRPr="00091FC2">
              <w:rPr>
                <w:webHidden/>
              </w:rPr>
              <w:fldChar w:fldCharType="begin"/>
            </w:r>
            <w:r w:rsidRPr="00091FC2">
              <w:rPr>
                <w:webHidden/>
              </w:rPr>
              <w:instrText xml:space="preserve"> PAGEREF _Toc136592898 \h </w:instrText>
            </w:r>
            <w:r w:rsidRPr="00091FC2">
              <w:rPr>
                <w:webHidden/>
              </w:rPr>
            </w:r>
            <w:r w:rsidRPr="00091FC2">
              <w:rPr>
                <w:webHidden/>
              </w:rPr>
              <w:fldChar w:fldCharType="separate"/>
            </w:r>
            <w:r w:rsidRPr="00091FC2">
              <w:rPr>
                <w:webHidden/>
              </w:rPr>
              <w:t>6</w:t>
            </w:r>
            <w:r w:rsidRPr="00091FC2">
              <w:rPr>
                <w:webHidden/>
              </w:rPr>
              <w:fldChar w:fldCharType="end"/>
            </w:r>
          </w:hyperlink>
        </w:p>
        <w:p w14:paraId="62AA501B" w14:textId="77777777" w:rsidR="0072528D" w:rsidRPr="00091FC2" w:rsidRDefault="0072528D" w:rsidP="00A8297E">
          <w:pPr>
            <w:rPr>
              <w:rFonts w:eastAsiaTheme="minorEastAsia"/>
              <w:sz w:val="22"/>
              <w:szCs w:val="22"/>
              <w:lang w:val="fr-FR" w:eastAsia="fr-FR"/>
            </w:rPr>
          </w:pPr>
          <w:hyperlink w:anchor="_Toc136592899" w:history="1">
            <w:r w:rsidRPr="00091FC2">
              <w:rPr>
                <w:rStyle w:val="Hyperlink"/>
              </w:rPr>
              <w:t>B.</w:t>
            </w:r>
            <w:r w:rsidRPr="00091FC2">
              <w:rPr>
                <w:rFonts w:eastAsiaTheme="minorEastAsia"/>
                <w:sz w:val="22"/>
                <w:szCs w:val="22"/>
                <w:lang w:val="fr-FR" w:eastAsia="fr-FR"/>
              </w:rPr>
              <w:tab/>
            </w:r>
            <w:r w:rsidRPr="00091FC2">
              <w:rPr>
                <w:rStyle w:val="Hyperlink"/>
              </w:rPr>
              <w:t>Other aspects of jurisdiction</w:t>
            </w:r>
            <w:r w:rsidRPr="00091FC2">
              <w:rPr>
                <w:webHidden/>
              </w:rPr>
              <w:tab/>
            </w:r>
            <w:r w:rsidRPr="00091FC2">
              <w:rPr>
                <w:webHidden/>
              </w:rPr>
              <w:fldChar w:fldCharType="begin"/>
            </w:r>
            <w:r w:rsidRPr="00091FC2">
              <w:rPr>
                <w:webHidden/>
              </w:rPr>
              <w:instrText xml:space="preserve"> PAGEREF _Toc136592899 \h </w:instrText>
            </w:r>
            <w:r w:rsidRPr="00091FC2">
              <w:rPr>
                <w:webHidden/>
              </w:rPr>
            </w:r>
            <w:r w:rsidRPr="00091FC2">
              <w:rPr>
                <w:webHidden/>
              </w:rPr>
              <w:fldChar w:fldCharType="separate"/>
            </w:r>
            <w:r w:rsidRPr="00091FC2">
              <w:rPr>
                <w:webHidden/>
              </w:rPr>
              <w:t>9</w:t>
            </w:r>
            <w:r w:rsidRPr="00091FC2">
              <w:rPr>
                <w:webHidden/>
              </w:rPr>
              <w:fldChar w:fldCharType="end"/>
            </w:r>
          </w:hyperlink>
        </w:p>
        <w:p w14:paraId="3ACFFC2B" w14:textId="77777777" w:rsidR="0072528D" w:rsidRPr="00091FC2" w:rsidRDefault="0072528D" w:rsidP="00A8297E">
          <w:pPr>
            <w:rPr>
              <w:rFonts w:eastAsiaTheme="minorEastAsia"/>
              <w:bCs/>
              <w:iCs/>
              <w:noProof/>
              <w:sz w:val="22"/>
              <w:szCs w:val="22"/>
              <w:lang w:val="fr-FR" w:eastAsia="fr-FR"/>
            </w:rPr>
          </w:pPr>
          <w:hyperlink w:anchor="_Toc136592900" w:history="1">
            <w:r w:rsidRPr="00091FC2">
              <w:rPr>
                <w:rStyle w:val="Hyperlink"/>
                <w:rFonts w:cs="Arial"/>
                <w:noProof/>
              </w:rPr>
              <w:t>VI.</w:t>
            </w:r>
            <w:r w:rsidRPr="00091FC2">
              <w:rPr>
                <w:rFonts w:eastAsiaTheme="minorEastAsia"/>
                <w:noProof/>
                <w:sz w:val="22"/>
                <w:szCs w:val="22"/>
                <w:lang w:val="fr-FR" w:eastAsia="fr-FR"/>
              </w:rPr>
              <w:tab/>
            </w:r>
            <w:r w:rsidRPr="00091FC2">
              <w:rPr>
                <w:rStyle w:val="Hyperlink"/>
                <w:rFonts w:cs="Arial"/>
                <w:noProof/>
              </w:rPr>
              <w:t>ADMISSIBILITY</w:t>
            </w:r>
            <w:r w:rsidRPr="00091FC2">
              <w:rPr>
                <w:noProof/>
                <w:webHidden/>
              </w:rPr>
              <w:tab/>
            </w:r>
            <w:r w:rsidRPr="00091FC2">
              <w:rPr>
                <w:noProof/>
                <w:webHidden/>
              </w:rPr>
              <w:fldChar w:fldCharType="begin"/>
            </w:r>
            <w:r w:rsidRPr="00091FC2">
              <w:rPr>
                <w:noProof/>
                <w:webHidden/>
              </w:rPr>
              <w:instrText xml:space="preserve"> PAGEREF _Toc136592900 \h </w:instrText>
            </w:r>
            <w:r w:rsidRPr="00091FC2">
              <w:rPr>
                <w:noProof/>
                <w:webHidden/>
              </w:rPr>
            </w:r>
            <w:r w:rsidRPr="00091FC2">
              <w:rPr>
                <w:noProof/>
                <w:webHidden/>
              </w:rPr>
              <w:fldChar w:fldCharType="separate"/>
            </w:r>
            <w:r w:rsidRPr="00091FC2">
              <w:rPr>
                <w:noProof/>
                <w:webHidden/>
              </w:rPr>
              <w:t>10</w:t>
            </w:r>
            <w:r w:rsidRPr="00091FC2">
              <w:rPr>
                <w:noProof/>
                <w:webHidden/>
              </w:rPr>
              <w:fldChar w:fldCharType="end"/>
            </w:r>
          </w:hyperlink>
        </w:p>
        <w:p w14:paraId="5809C7B9" w14:textId="77777777" w:rsidR="0072528D" w:rsidRPr="00091FC2" w:rsidRDefault="0072528D" w:rsidP="00A8297E">
          <w:pPr>
            <w:rPr>
              <w:rFonts w:eastAsiaTheme="minorEastAsia"/>
              <w:sz w:val="22"/>
              <w:szCs w:val="22"/>
              <w:lang w:val="fr-FR" w:eastAsia="fr-FR"/>
            </w:rPr>
          </w:pPr>
          <w:hyperlink w:anchor="_Toc136592901" w:history="1">
            <w:r w:rsidRPr="00091FC2">
              <w:rPr>
                <w:rStyle w:val="Hyperlink"/>
              </w:rPr>
              <w:t>A.</w:t>
            </w:r>
            <w:r w:rsidRPr="00091FC2">
              <w:rPr>
                <w:rFonts w:eastAsiaTheme="minorEastAsia"/>
                <w:sz w:val="22"/>
                <w:szCs w:val="22"/>
                <w:lang w:val="fr-FR" w:eastAsia="fr-FR"/>
              </w:rPr>
              <w:tab/>
            </w:r>
            <w:r w:rsidRPr="00091FC2">
              <w:rPr>
                <w:rStyle w:val="Hyperlink"/>
              </w:rPr>
              <w:t>Objection based on non-exhaustion of local remedies</w:t>
            </w:r>
            <w:r w:rsidRPr="00091FC2">
              <w:rPr>
                <w:webHidden/>
              </w:rPr>
              <w:tab/>
            </w:r>
            <w:r w:rsidRPr="00091FC2">
              <w:rPr>
                <w:webHidden/>
              </w:rPr>
              <w:fldChar w:fldCharType="begin"/>
            </w:r>
            <w:r w:rsidRPr="00091FC2">
              <w:rPr>
                <w:webHidden/>
              </w:rPr>
              <w:instrText xml:space="preserve"> PAGEREF _Toc136592901 \h </w:instrText>
            </w:r>
            <w:r w:rsidRPr="00091FC2">
              <w:rPr>
                <w:webHidden/>
              </w:rPr>
            </w:r>
            <w:r w:rsidRPr="00091FC2">
              <w:rPr>
                <w:webHidden/>
              </w:rPr>
              <w:fldChar w:fldCharType="separate"/>
            </w:r>
            <w:r w:rsidRPr="00091FC2">
              <w:rPr>
                <w:webHidden/>
              </w:rPr>
              <w:t>11</w:t>
            </w:r>
            <w:r w:rsidRPr="00091FC2">
              <w:rPr>
                <w:webHidden/>
              </w:rPr>
              <w:fldChar w:fldCharType="end"/>
            </w:r>
          </w:hyperlink>
        </w:p>
        <w:p w14:paraId="0A3FF6B3" w14:textId="77777777" w:rsidR="0072528D" w:rsidRPr="00091FC2" w:rsidRDefault="0072528D" w:rsidP="00A8297E">
          <w:pPr>
            <w:rPr>
              <w:rFonts w:eastAsiaTheme="minorEastAsia"/>
              <w:sz w:val="22"/>
              <w:szCs w:val="22"/>
              <w:lang w:val="fr-FR" w:eastAsia="fr-FR"/>
            </w:rPr>
          </w:pPr>
          <w:hyperlink w:anchor="_Toc136592902" w:history="1">
            <w:r w:rsidRPr="00091FC2">
              <w:rPr>
                <w:rStyle w:val="Hyperlink"/>
              </w:rPr>
              <w:t>B.</w:t>
            </w:r>
            <w:r w:rsidRPr="00091FC2">
              <w:rPr>
                <w:rFonts w:eastAsiaTheme="minorEastAsia"/>
                <w:sz w:val="22"/>
                <w:szCs w:val="22"/>
                <w:lang w:val="fr-FR" w:eastAsia="fr-FR"/>
              </w:rPr>
              <w:tab/>
            </w:r>
            <w:r w:rsidRPr="00091FC2">
              <w:rPr>
                <w:rStyle w:val="Hyperlink"/>
              </w:rPr>
              <w:t>Objection based on failure to file the Application within a reasonable time</w:t>
            </w:r>
            <w:r w:rsidRPr="00091FC2">
              <w:rPr>
                <w:webHidden/>
              </w:rPr>
              <w:tab/>
            </w:r>
            <w:r w:rsidRPr="00091FC2">
              <w:rPr>
                <w:webHidden/>
              </w:rPr>
              <w:fldChar w:fldCharType="begin"/>
            </w:r>
            <w:r w:rsidRPr="00091FC2">
              <w:rPr>
                <w:webHidden/>
              </w:rPr>
              <w:instrText xml:space="preserve"> PAGEREF _Toc136592902 \h </w:instrText>
            </w:r>
            <w:r w:rsidRPr="00091FC2">
              <w:rPr>
                <w:webHidden/>
              </w:rPr>
            </w:r>
            <w:r w:rsidRPr="00091FC2">
              <w:rPr>
                <w:webHidden/>
              </w:rPr>
              <w:fldChar w:fldCharType="separate"/>
            </w:r>
            <w:r w:rsidRPr="00091FC2">
              <w:rPr>
                <w:webHidden/>
              </w:rPr>
              <w:t>13</w:t>
            </w:r>
            <w:r w:rsidRPr="00091FC2">
              <w:rPr>
                <w:webHidden/>
              </w:rPr>
              <w:fldChar w:fldCharType="end"/>
            </w:r>
          </w:hyperlink>
        </w:p>
        <w:p w14:paraId="52E7F97B" w14:textId="77777777" w:rsidR="0072528D" w:rsidRPr="00091FC2" w:rsidRDefault="0072528D" w:rsidP="00A8297E">
          <w:pPr>
            <w:rPr>
              <w:rFonts w:eastAsiaTheme="minorEastAsia"/>
              <w:sz w:val="22"/>
              <w:szCs w:val="22"/>
              <w:lang w:val="fr-FR" w:eastAsia="fr-FR"/>
            </w:rPr>
          </w:pPr>
          <w:hyperlink w:anchor="_Toc136592903" w:history="1">
            <w:r w:rsidRPr="00091FC2">
              <w:rPr>
                <w:rStyle w:val="Hyperlink"/>
              </w:rPr>
              <w:t>C.</w:t>
            </w:r>
            <w:r w:rsidRPr="00091FC2">
              <w:rPr>
                <w:rFonts w:eastAsiaTheme="minorEastAsia"/>
                <w:sz w:val="22"/>
                <w:szCs w:val="22"/>
                <w:lang w:val="fr-FR" w:eastAsia="fr-FR"/>
              </w:rPr>
              <w:tab/>
            </w:r>
            <w:r w:rsidRPr="00091FC2">
              <w:rPr>
                <w:rStyle w:val="Hyperlink"/>
              </w:rPr>
              <w:t>Other admissibility requirements</w:t>
            </w:r>
            <w:r w:rsidRPr="00091FC2">
              <w:rPr>
                <w:webHidden/>
              </w:rPr>
              <w:tab/>
            </w:r>
            <w:r w:rsidRPr="00091FC2">
              <w:rPr>
                <w:webHidden/>
              </w:rPr>
              <w:fldChar w:fldCharType="begin"/>
            </w:r>
            <w:r w:rsidRPr="00091FC2">
              <w:rPr>
                <w:webHidden/>
              </w:rPr>
              <w:instrText xml:space="preserve"> PAGEREF _Toc136592903 \h </w:instrText>
            </w:r>
            <w:r w:rsidRPr="00091FC2">
              <w:rPr>
                <w:webHidden/>
              </w:rPr>
            </w:r>
            <w:r w:rsidRPr="00091FC2">
              <w:rPr>
                <w:webHidden/>
              </w:rPr>
              <w:fldChar w:fldCharType="separate"/>
            </w:r>
            <w:r w:rsidRPr="00091FC2">
              <w:rPr>
                <w:webHidden/>
              </w:rPr>
              <w:t>17</w:t>
            </w:r>
            <w:r w:rsidRPr="00091FC2">
              <w:rPr>
                <w:webHidden/>
              </w:rPr>
              <w:fldChar w:fldCharType="end"/>
            </w:r>
          </w:hyperlink>
        </w:p>
        <w:p w14:paraId="285AD653" w14:textId="77777777" w:rsidR="0072528D" w:rsidRPr="00091FC2" w:rsidRDefault="0072528D" w:rsidP="00A8297E">
          <w:pPr>
            <w:rPr>
              <w:rFonts w:eastAsiaTheme="minorEastAsia"/>
              <w:bCs/>
              <w:iCs/>
              <w:noProof/>
              <w:sz w:val="22"/>
              <w:szCs w:val="22"/>
              <w:lang w:val="fr-FR" w:eastAsia="fr-FR"/>
            </w:rPr>
          </w:pPr>
          <w:hyperlink w:anchor="_Toc136592904" w:history="1">
            <w:r w:rsidRPr="00091FC2">
              <w:rPr>
                <w:rStyle w:val="Hyperlink"/>
                <w:rFonts w:cs="Arial"/>
                <w:noProof/>
              </w:rPr>
              <w:t>VII.</w:t>
            </w:r>
            <w:r w:rsidRPr="00091FC2">
              <w:rPr>
                <w:rFonts w:eastAsiaTheme="minorEastAsia"/>
                <w:noProof/>
                <w:sz w:val="22"/>
                <w:szCs w:val="22"/>
                <w:lang w:val="fr-FR" w:eastAsia="fr-FR"/>
              </w:rPr>
              <w:tab/>
            </w:r>
            <w:r w:rsidRPr="00091FC2">
              <w:rPr>
                <w:rStyle w:val="Hyperlink"/>
                <w:rFonts w:cs="Arial"/>
                <w:noProof/>
              </w:rPr>
              <w:t>MERITS</w:t>
            </w:r>
            <w:r w:rsidRPr="00091FC2">
              <w:rPr>
                <w:noProof/>
                <w:webHidden/>
              </w:rPr>
              <w:tab/>
            </w:r>
            <w:r w:rsidRPr="00091FC2">
              <w:rPr>
                <w:noProof/>
                <w:webHidden/>
              </w:rPr>
              <w:fldChar w:fldCharType="begin"/>
            </w:r>
            <w:r w:rsidRPr="00091FC2">
              <w:rPr>
                <w:noProof/>
                <w:webHidden/>
              </w:rPr>
              <w:instrText xml:space="preserve"> PAGEREF _Toc136592904 \h </w:instrText>
            </w:r>
            <w:r w:rsidRPr="00091FC2">
              <w:rPr>
                <w:noProof/>
                <w:webHidden/>
              </w:rPr>
            </w:r>
            <w:r w:rsidRPr="00091FC2">
              <w:rPr>
                <w:noProof/>
                <w:webHidden/>
              </w:rPr>
              <w:fldChar w:fldCharType="separate"/>
            </w:r>
            <w:r w:rsidRPr="00091FC2">
              <w:rPr>
                <w:noProof/>
                <w:webHidden/>
              </w:rPr>
              <w:t>18</w:t>
            </w:r>
            <w:r w:rsidRPr="00091FC2">
              <w:rPr>
                <w:noProof/>
                <w:webHidden/>
              </w:rPr>
              <w:fldChar w:fldCharType="end"/>
            </w:r>
          </w:hyperlink>
        </w:p>
        <w:p w14:paraId="3FDD048C" w14:textId="77777777" w:rsidR="0072528D" w:rsidRPr="00091FC2" w:rsidRDefault="0072528D" w:rsidP="00A8297E">
          <w:pPr>
            <w:rPr>
              <w:rFonts w:eastAsiaTheme="minorEastAsia"/>
              <w:sz w:val="22"/>
              <w:szCs w:val="22"/>
              <w:lang w:val="fr-FR" w:eastAsia="fr-FR"/>
            </w:rPr>
          </w:pPr>
          <w:hyperlink w:anchor="_Toc136592905" w:history="1">
            <w:r w:rsidRPr="00091FC2">
              <w:rPr>
                <w:rStyle w:val="Hyperlink"/>
              </w:rPr>
              <w:t>A.</w:t>
            </w:r>
            <w:r w:rsidRPr="00091FC2">
              <w:rPr>
                <w:rFonts w:eastAsiaTheme="minorEastAsia"/>
                <w:sz w:val="22"/>
                <w:szCs w:val="22"/>
                <w:lang w:val="fr-FR" w:eastAsia="fr-FR"/>
              </w:rPr>
              <w:tab/>
            </w:r>
            <w:r w:rsidRPr="00091FC2">
              <w:rPr>
                <w:rStyle w:val="Hyperlink"/>
              </w:rPr>
              <w:t>Alleged violation of the right to be heard</w:t>
            </w:r>
            <w:r w:rsidRPr="00091FC2">
              <w:rPr>
                <w:webHidden/>
              </w:rPr>
              <w:tab/>
            </w:r>
            <w:r w:rsidRPr="00091FC2">
              <w:rPr>
                <w:webHidden/>
              </w:rPr>
              <w:fldChar w:fldCharType="begin"/>
            </w:r>
            <w:r w:rsidRPr="00091FC2">
              <w:rPr>
                <w:webHidden/>
              </w:rPr>
              <w:instrText xml:space="preserve"> PAGEREF _Toc136592905 \h </w:instrText>
            </w:r>
            <w:r w:rsidRPr="00091FC2">
              <w:rPr>
                <w:webHidden/>
              </w:rPr>
            </w:r>
            <w:r w:rsidRPr="00091FC2">
              <w:rPr>
                <w:webHidden/>
              </w:rPr>
              <w:fldChar w:fldCharType="separate"/>
            </w:r>
            <w:r w:rsidRPr="00091FC2">
              <w:rPr>
                <w:webHidden/>
              </w:rPr>
              <w:t>18</w:t>
            </w:r>
            <w:r w:rsidRPr="00091FC2">
              <w:rPr>
                <w:webHidden/>
              </w:rPr>
              <w:fldChar w:fldCharType="end"/>
            </w:r>
          </w:hyperlink>
        </w:p>
        <w:p w14:paraId="1D0432E6" w14:textId="77777777" w:rsidR="0072528D" w:rsidRPr="00091FC2" w:rsidRDefault="0072528D" w:rsidP="00A8297E">
          <w:pPr>
            <w:rPr>
              <w:rFonts w:eastAsiaTheme="minorEastAsia"/>
              <w:noProof/>
              <w:sz w:val="22"/>
              <w:szCs w:val="22"/>
              <w:lang w:val="fr-FR" w:eastAsia="fr-FR"/>
            </w:rPr>
          </w:pPr>
          <w:hyperlink w:anchor="_Toc136592906" w:history="1">
            <w:r w:rsidRPr="00091FC2">
              <w:rPr>
                <w:rStyle w:val="Hyperlink"/>
                <w:rFonts w:ascii="Arial" w:hAnsi="Arial" w:cs="Arial"/>
                <w:bCs/>
                <w:noProof/>
                <w:lang w:val="fr-FR"/>
              </w:rPr>
              <w:t>i.</w:t>
            </w:r>
            <w:r w:rsidRPr="00091FC2">
              <w:rPr>
                <w:rFonts w:eastAsiaTheme="minorEastAsia"/>
                <w:noProof/>
                <w:sz w:val="22"/>
                <w:szCs w:val="22"/>
                <w:lang w:val="fr-FR" w:eastAsia="fr-FR"/>
              </w:rPr>
              <w:tab/>
            </w:r>
            <w:r w:rsidRPr="00091FC2">
              <w:rPr>
                <w:rStyle w:val="Hyperlink"/>
                <w:rFonts w:ascii="Arial" w:hAnsi="Arial" w:cs="Arial"/>
                <w:noProof/>
                <w:lang w:val="fr-FR"/>
              </w:rPr>
              <w:t>On</w:t>
            </w:r>
            <w:r w:rsidRPr="00091FC2">
              <w:rPr>
                <w:rStyle w:val="Hyperlink"/>
                <w:rFonts w:ascii="Arial" w:hAnsi="Arial" w:cs="Arial"/>
                <w:bCs/>
                <w:noProof/>
                <w:lang w:val="fr-FR"/>
              </w:rPr>
              <w:t xml:space="preserve"> the High Court’s admission of the self-incriminating statement into evidence</w:t>
            </w:r>
            <w:r w:rsidRPr="00091FC2">
              <w:rPr>
                <w:noProof/>
                <w:webHidden/>
              </w:rPr>
              <w:tab/>
            </w:r>
            <w:r w:rsidRPr="00091FC2">
              <w:rPr>
                <w:noProof/>
                <w:webHidden/>
              </w:rPr>
              <w:fldChar w:fldCharType="begin"/>
            </w:r>
            <w:r w:rsidRPr="00091FC2">
              <w:rPr>
                <w:noProof/>
                <w:webHidden/>
              </w:rPr>
              <w:instrText xml:space="preserve"> PAGEREF _Toc136592906 \h </w:instrText>
            </w:r>
            <w:r w:rsidRPr="00091FC2">
              <w:rPr>
                <w:noProof/>
                <w:webHidden/>
              </w:rPr>
            </w:r>
            <w:r w:rsidRPr="00091FC2">
              <w:rPr>
                <w:noProof/>
                <w:webHidden/>
              </w:rPr>
              <w:fldChar w:fldCharType="separate"/>
            </w:r>
            <w:r w:rsidRPr="00091FC2">
              <w:rPr>
                <w:noProof/>
                <w:webHidden/>
              </w:rPr>
              <w:t>19</w:t>
            </w:r>
            <w:r w:rsidRPr="00091FC2">
              <w:rPr>
                <w:noProof/>
                <w:webHidden/>
              </w:rPr>
              <w:fldChar w:fldCharType="end"/>
            </w:r>
          </w:hyperlink>
        </w:p>
        <w:p w14:paraId="45215255" w14:textId="77777777" w:rsidR="0072528D" w:rsidRPr="00091FC2" w:rsidRDefault="0072528D" w:rsidP="00A8297E">
          <w:pPr>
            <w:rPr>
              <w:rFonts w:eastAsiaTheme="minorEastAsia"/>
              <w:noProof/>
              <w:sz w:val="22"/>
              <w:szCs w:val="22"/>
              <w:lang w:val="fr-FR" w:eastAsia="fr-FR"/>
            </w:rPr>
          </w:pPr>
          <w:hyperlink w:anchor="_Toc136592907" w:history="1">
            <w:r w:rsidRPr="00091FC2">
              <w:rPr>
                <w:rStyle w:val="Hyperlink"/>
                <w:rFonts w:ascii="Arial" w:hAnsi="Arial" w:cs="Arial"/>
                <w:noProof/>
                <w:lang w:val="fr-FR"/>
              </w:rPr>
              <w:t>ii.</w:t>
            </w:r>
            <w:r w:rsidRPr="00091FC2">
              <w:rPr>
                <w:rFonts w:eastAsiaTheme="minorEastAsia"/>
                <w:noProof/>
                <w:sz w:val="22"/>
                <w:szCs w:val="22"/>
                <w:lang w:val="fr-FR" w:eastAsia="fr-FR"/>
              </w:rPr>
              <w:tab/>
            </w:r>
            <w:r w:rsidRPr="00091FC2">
              <w:rPr>
                <w:rStyle w:val="Hyperlink"/>
                <w:rFonts w:ascii="Arial" w:hAnsi="Arial" w:cs="Arial"/>
                <w:noProof/>
                <w:lang w:val="fr-FR"/>
              </w:rPr>
              <w:t>On the alleged error of law and fact by the Court of Appeal</w:t>
            </w:r>
            <w:r w:rsidRPr="00091FC2">
              <w:rPr>
                <w:noProof/>
                <w:webHidden/>
              </w:rPr>
              <w:tab/>
            </w:r>
            <w:r w:rsidRPr="00091FC2">
              <w:rPr>
                <w:noProof/>
                <w:webHidden/>
              </w:rPr>
              <w:fldChar w:fldCharType="begin"/>
            </w:r>
            <w:r w:rsidRPr="00091FC2">
              <w:rPr>
                <w:noProof/>
                <w:webHidden/>
              </w:rPr>
              <w:instrText xml:space="preserve"> PAGEREF _Toc136592907 \h </w:instrText>
            </w:r>
            <w:r w:rsidRPr="00091FC2">
              <w:rPr>
                <w:noProof/>
                <w:webHidden/>
              </w:rPr>
            </w:r>
            <w:r w:rsidRPr="00091FC2">
              <w:rPr>
                <w:noProof/>
                <w:webHidden/>
              </w:rPr>
              <w:fldChar w:fldCharType="separate"/>
            </w:r>
            <w:r w:rsidRPr="00091FC2">
              <w:rPr>
                <w:noProof/>
                <w:webHidden/>
              </w:rPr>
              <w:t>21</w:t>
            </w:r>
            <w:r w:rsidRPr="00091FC2">
              <w:rPr>
                <w:noProof/>
                <w:webHidden/>
              </w:rPr>
              <w:fldChar w:fldCharType="end"/>
            </w:r>
          </w:hyperlink>
        </w:p>
        <w:p w14:paraId="2A606A3C" w14:textId="77777777" w:rsidR="0072528D" w:rsidRPr="00091FC2" w:rsidRDefault="0072528D" w:rsidP="00A8297E">
          <w:pPr>
            <w:rPr>
              <w:rFonts w:eastAsiaTheme="minorEastAsia"/>
              <w:sz w:val="22"/>
              <w:szCs w:val="22"/>
              <w:lang w:val="fr-FR" w:eastAsia="fr-FR"/>
            </w:rPr>
          </w:pPr>
          <w:hyperlink w:anchor="_Toc136592908" w:history="1">
            <w:r w:rsidRPr="00091FC2">
              <w:rPr>
                <w:rStyle w:val="Hyperlink"/>
              </w:rPr>
              <w:t>B.</w:t>
            </w:r>
            <w:r w:rsidRPr="00091FC2">
              <w:rPr>
                <w:rFonts w:eastAsiaTheme="minorEastAsia"/>
                <w:sz w:val="22"/>
                <w:szCs w:val="22"/>
                <w:lang w:val="fr-FR" w:eastAsia="fr-FR"/>
              </w:rPr>
              <w:tab/>
            </w:r>
            <w:r w:rsidRPr="00091FC2">
              <w:rPr>
                <w:rStyle w:val="Hyperlink"/>
              </w:rPr>
              <w:t>Alleged violation of the right to be tried within a reasonable time</w:t>
            </w:r>
            <w:r w:rsidRPr="00091FC2">
              <w:rPr>
                <w:webHidden/>
              </w:rPr>
              <w:tab/>
            </w:r>
            <w:r w:rsidRPr="00091FC2">
              <w:rPr>
                <w:webHidden/>
              </w:rPr>
              <w:fldChar w:fldCharType="begin"/>
            </w:r>
            <w:r w:rsidRPr="00091FC2">
              <w:rPr>
                <w:webHidden/>
              </w:rPr>
              <w:instrText xml:space="preserve"> PAGEREF _Toc136592908 \h </w:instrText>
            </w:r>
            <w:r w:rsidRPr="00091FC2">
              <w:rPr>
                <w:webHidden/>
              </w:rPr>
            </w:r>
            <w:r w:rsidRPr="00091FC2">
              <w:rPr>
                <w:webHidden/>
              </w:rPr>
              <w:fldChar w:fldCharType="separate"/>
            </w:r>
            <w:r w:rsidRPr="00091FC2">
              <w:rPr>
                <w:webHidden/>
              </w:rPr>
              <w:t>23</w:t>
            </w:r>
            <w:r w:rsidRPr="00091FC2">
              <w:rPr>
                <w:webHidden/>
              </w:rPr>
              <w:fldChar w:fldCharType="end"/>
            </w:r>
          </w:hyperlink>
        </w:p>
        <w:p w14:paraId="4FD85417" w14:textId="77777777" w:rsidR="0072528D" w:rsidRPr="00091FC2" w:rsidRDefault="0072528D" w:rsidP="00A8297E">
          <w:pPr>
            <w:rPr>
              <w:rFonts w:eastAsiaTheme="minorEastAsia"/>
              <w:sz w:val="22"/>
              <w:szCs w:val="22"/>
              <w:lang w:val="fr-FR" w:eastAsia="fr-FR"/>
            </w:rPr>
          </w:pPr>
          <w:hyperlink w:anchor="_Toc136592909" w:history="1">
            <w:r w:rsidRPr="00091FC2">
              <w:rPr>
                <w:rStyle w:val="Hyperlink"/>
              </w:rPr>
              <w:t>C.</w:t>
            </w:r>
            <w:r w:rsidRPr="00091FC2">
              <w:rPr>
                <w:rFonts w:eastAsiaTheme="minorEastAsia"/>
                <w:sz w:val="22"/>
                <w:szCs w:val="22"/>
                <w:lang w:val="fr-FR" w:eastAsia="fr-FR"/>
              </w:rPr>
              <w:tab/>
            </w:r>
            <w:r w:rsidRPr="00091FC2">
              <w:rPr>
                <w:rStyle w:val="Hyperlink"/>
              </w:rPr>
              <w:t>Alleged violation of the right to defence</w:t>
            </w:r>
            <w:r w:rsidRPr="00091FC2">
              <w:rPr>
                <w:webHidden/>
              </w:rPr>
              <w:tab/>
            </w:r>
            <w:r w:rsidRPr="00091FC2">
              <w:rPr>
                <w:webHidden/>
              </w:rPr>
              <w:fldChar w:fldCharType="begin"/>
            </w:r>
            <w:r w:rsidRPr="00091FC2">
              <w:rPr>
                <w:webHidden/>
              </w:rPr>
              <w:instrText xml:space="preserve"> PAGEREF _Toc136592909 \h </w:instrText>
            </w:r>
            <w:r w:rsidRPr="00091FC2">
              <w:rPr>
                <w:webHidden/>
              </w:rPr>
            </w:r>
            <w:r w:rsidRPr="00091FC2">
              <w:rPr>
                <w:webHidden/>
              </w:rPr>
              <w:fldChar w:fldCharType="separate"/>
            </w:r>
            <w:r w:rsidRPr="00091FC2">
              <w:rPr>
                <w:webHidden/>
              </w:rPr>
              <w:t>25</w:t>
            </w:r>
            <w:r w:rsidRPr="00091FC2">
              <w:rPr>
                <w:webHidden/>
              </w:rPr>
              <w:fldChar w:fldCharType="end"/>
            </w:r>
          </w:hyperlink>
        </w:p>
        <w:p w14:paraId="391EDD75" w14:textId="77777777" w:rsidR="0072528D" w:rsidRPr="00091FC2" w:rsidRDefault="0072528D" w:rsidP="00A8297E">
          <w:pPr>
            <w:rPr>
              <w:rFonts w:eastAsiaTheme="minorEastAsia"/>
              <w:bCs/>
              <w:iCs/>
              <w:noProof/>
              <w:sz w:val="22"/>
              <w:szCs w:val="22"/>
              <w:lang w:val="fr-FR" w:eastAsia="fr-FR"/>
            </w:rPr>
          </w:pPr>
          <w:hyperlink w:anchor="_Toc136592910" w:history="1">
            <w:r w:rsidRPr="00091FC2">
              <w:rPr>
                <w:rStyle w:val="Hyperlink"/>
                <w:rFonts w:cs="Arial"/>
                <w:noProof/>
              </w:rPr>
              <w:t>VIII.</w:t>
            </w:r>
            <w:r w:rsidRPr="00091FC2">
              <w:rPr>
                <w:rFonts w:eastAsiaTheme="minorEastAsia"/>
                <w:noProof/>
                <w:sz w:val="22"/>
                <w:szCs w:val="22"/>
                <w:lang w:val="fr-FR" w:eastAsia="fr-FR"/>
              </w:rPr>
              <w:tab/>
            </w:r>
            <w:r w:rsidRPr="00091FC2">
              <w:rPr>
                <w:rStyle w:val="Hyperlink"/>
                <w:rFonts w:cs="Arial"/>
                <w:noProof/>
              </w:rPr>
              <w:t>REPARATIONS</w:t>
            </w:r>
            <w:r w:rsidRPr="00091FC2">
              <w:rPr>
                <w:noProof/>
                <w:webHidden/>
              </w:rPr>
              <w:tab/>
            </w:r>
            <w:r w:rsidRPr="00091FC2">
              <w:rPr>
                <w:noProof/>
                <w:webHidden/>
              </w:rPr>
              <w:fldChar w:fldCharType="begin"/>
            </w:r>
            <w:r w:rsidRPr="00091FC2">
              <w:rPr>
                <w:noProof/>
                <w:webHidden/>
              </w:rPr>
              <w:instrText xml:space="preserve"> PAGEREF _Toc136592910 \h </w:instrText>
            </w:r>
            <w:r w:rsidRPr="00091FC2">
              <w:rPr>
                <w:noProof/>
                <w:webHidden/>
              </w:rPr>
            </w:r>
            <w:r w:rsidRPr="00091FC2">
              <w:rPr>
                <w:noProof/>
                <w:webHidden/>
              </w:rPr>
              <w:fldChar w:fldCharType="separate"/>
            </w:r>
            <w:r w:rsidRPr="00091FC2">
              <w:rPr>
                <w:noProof/>
                <w:webHidden/>
              </w:rPr>
              <w:t>26</w:t>
            </w:r>
            <w:r w:rsidRPr="00091FC2">
              <w:rPr>
                <w:noProof/>
                <w:webHidden/>
              </w:rPr>
              <w:fldChar w:fldCharType="end"/>
            </w:r>
          </w:hyperlink>
        </w:p>
        <w:p w14:paraId="7022A8F1" w14:textId="77777777" w:rsidR="0072528D" w:rsidRPr="00091FC2" w:rsidRDefault="0072528D" w:rsidP="00A8297E">
          <w:pPr>
            <w:rPr>
              <w:rFonts w:eastAsiaTheme="minorEastAsia"/>
              <w:bCs/>
              <w:iCs/>
              <w:noProof/>
              <w:sz w:val="22"/>
              <w:szCs w:val="22"/>
              <w:lang w:val="fr-FR" w:eastAsia="fr-FR"/>
            </w:rPr>
          </w:pPr>
          <w:hyperlink w:anchor="_Toc136592911" w:history="1">
            <w:r w:rsidRPr="00091FC2">
              <w:rPr>
                <w:rStyle w:val="Hyperlink"/>
                <w:rFonts w:cs="Arial"/>
                <w:noProof/>
              </w:rPr>
              <w:t>IX.</w:t>
            </w:r>
            <w:r w:rsidRPr="00091FC2">
              <w:rPr>
                <w:rFonts w:eastAsiaTheme="minorEastAsia"/>
                <w:noProof/>
                <w:sz w:val="22"/>
                <w:szCs w:val="22"/>
                <w:lang w:val="fr-FR" w:eastAsia="fr-FR"/>
              </w:rPr>
              <w:tab/>
            </w:r>
            <w:r w:rsidRPr="00091FC2">
              <w:rPr>
                <w:rStyle w:val="Hyperlink"/>
                <w:rFonts w:cs="Arial"/>
                <w:noProof/>
              </w:rPr>
              <w:t>ON THE REQUEST FOR PROVISIONAL MEASURES</w:t>
            </w:r>
            <w:r w:rsidRPr="00091FC2">
              <w:rPr>
                <w:noProof/>
                <w:webHidden/>
              </w:rPr>
              <w:tab/>
            </w:r>
            <w:r w:rsidRPr="00091FC2">
              <w:rPr>
                <w:noProof/>
                <w:webHidden/>
              </w:rPr>
              <w:fldChar w:fldCharType="begin"/>
            </w:r>
            <w:r w:rsidRPr="00091FC2">
              <w:rPr>
                <w:noProof/>
                <w:webHidden/>
              </w:rPr>
              <w:instrText xml:space="preserve"> PAGEREF _Toc136592911 \h </w:instrText>
            </w:r>
            <w:r w:rsidRPr="00091FC2">
              <w:rPr>
                <w:noProof/>
                <w:webHidden/>
              </w:rPr>
            </w:r>
            <w:r w:rsidRPr="00091FC2">
              <w:rPr>
                <w:noProof/>
                <w:webHidden/>
              </w:rPr>
              <w:fldChar w:fldCharType="separate"/>
            </w:r>
            <w:r w:rsidRPr="00091FC2">
              <w:rPr>
                <w:noProof/>
                <w:webHidden/>
              </w:rPr>
              <w:t>27</w:t>
            </w:r>
            <w:r w:rsidRPr="00091FC2">
              <w:rPr>
                <w:noProof/>
                <w:webHidden/>
              </w:rPr>
              <w:fldChar w:fldCharType="end"/>
            </w:r>
          </w:hyperlink>
        </w:p>
        <w:p w14:paraId="7CB824C7" w14:textId="77777777" w:rsidR="0072528D" w:rsidRPr="00091FC2" w:rsidRDefault="0072528D" w:rsidP="00A8297E">
          <w:pPr>
            <w:rPr>
              <w:rFonts w:eastAsiaTheme="minorEastAsia"/>
              <w:bCs/>
              <w:iCs/>
              <w:noProof/>
              <w:sz w:val="22"/>
              <w:szCs w:val="22"/>
              <w:lang w:val="fr-FR" w:eastAsia="fr-FR"/>
            </w:rPr>
          </w:pPr>
          <w:hyperlink w:anchor="_Toc136592912" w:history="1">
            <w:r w:rsidRPr="00091FC2">
              <w:rPr>
                <w:rStyle w:val="Hyperlink"/>
                <w:rFonts w:cs="Arial"/>
                <w:noProof/>
              </w:rPr>
              <w:t>X.</w:t>
            </w:r>
            <w:r w:rsidRPr="00091FC2">
              <w:rPr>
                <w:rFonts w:eastAsiaTheme="minorEastAsia"/>
                <w:noProof/>
                <w:sz w:val="22"/>
                <w:szCs w:val="22"/>
                <w:lang w:val="fr-FR" w:eastAsia="fr-FR"/>
              </w:rPr>
              <w:tab/>
            </w:r>
            <w:r w:rsidRPr="00091FC2">
              <w:rPr>
                <w:rStyle w:val="Hyperlink"/>
                <w:rFonts w:cs="Arial"/>
                <w:noProof/>
              </w:rPr>
              <w:t>COSTS</w:t>
            </w:r>
            <w:r w:rsidRPr="00091FC2">
              <w:rPr>
                <w:noProof/>
                <w:webHidden/>
              </w:rPr>
              <w:tab/>
            </w:r>
            <w:r w:rsidRPr="00091FC2">
              <w:rPr>
                <w:noProof/>
                <w:webHidden/>
              </w:rPr>
              <w:fldChar w:fldCharType="begin"/>
            </w:r>
            <w:r w:rsidRPr="00091FC2">
              <w:rPr>
                <w:noProof/>
                <w:webHidden/>
              </w:rPr>
              <w:instrText xml:space="preserve"> PAGEREF _Toc136592912 \h </w:instrText>
            </w:r>
            <w:r w:rsidRPr="00091FC2">
              <w:rPr>
                <w:noProof/>
                <w:webHidden/>
              </w:rPr>
            </w:r>
            <w:r w:rsidRPr="00091FC2">
              <w:rPr>
                <w:noProof/>
                <w:webHidden/>
              </w:rPr>
              <w:fldChar w:fldCharType="separate"/>
            </w:r>
            <w:r w:rsidRPr="00091FC2">
              <w:rPr>
                <w:noProof/>
                <w:webHidden/>
              </w:rPr>
              <w:t>27</w:t>
            </w:r>
            <w:r w:rsidRPr="00091FC2">
              <w:rPr>
                <w:noProof/>
                <w:webHidden/>
              </w:rPr>
              <w:fldChar w:fldCharType="end"/>
            </w:r>
          </w:hyperlink>
        </w:p>
        <w:p w14:paraId="3F67D09E" w14:textId="77777777" w:rsidR="0072528D" w:rsidRPr="00091FC2" w:rsidRDefault="0072528D" w:rsidP="00A8297E">
          <w:pPr>
            <w:rPr>
              <w:rFonts w:eastAsiaTheme="minorEastAsia"/>
              <w:bCs/>
              <w:iCs/>
              <w:noProof/>
              <w:sz w:val="22"/>
              <w:szCs w:val="22"/>
              <w:lang w:val="fr-FR" w:eastAsia="fr-FR"/>
            </w:rPr>
          </w:pPr>
          <w:hyperlink w:anchor="_Toc136592913" w:history="1">
            <w:r w:rsidRPr="00091FC2">
              <w:rPr>
                <w:rStyle w:val="Hyperlink"/>
                <w:rFonts w:cs="Arial"/>
                <w:noProof/>
              </w:rPr>
              <w:t>XI.</w:t>
            </w:r>
            <w:r w:rsidRPr="00091FC2">
              <w:rPr>
                <w:rFonts w:eastAsiaTheme="minorEastAsia"/>
                <w:noProof/>
                <w:sz w:val="22"/>
                <w:szCs w:val="22"/>
                <w:lang w:val="fr-FR" w:eastAsia="fr-FR"/>
              </w:rPr>
              <w:tab/>
            </w:r>
            <w:r w:rsidRPr="00091FC2">
              <w:rPr>
                <w:rStyle w:val="Hyperlink"/>
                <w:rFonts w:cs="Arial"/>
                <w:noProof/>
              </w:rPr>
              <w:t>OPERATIVE PART</w:t>
            </w:r>
            <w:r w:rsidRPr="00091FC2">
              <w:rPr>
                <w:noProof/>
                <w:webHidden/>
              </w:rPr>
              <w:tab/>
            </w:r>
            <w:r w:rsidRPr="00091FC2">
              <w:rPr>
                <w:noProof/>
                <w:webHidden/>
              </w:rPr>
              <w:fldChar w:fldCharType="begin"/>
            </w:r>
            <w:r w:rsidRPr="00091FC2">
              <w:rPr>
                <w:noProof/>
                <w:webHidden/>
              </w:rPr>
              <w:instrText xml:space="preserve"> PAGEREF _Toc136592913 \h </w:instrText>
            </w:r>
            <w:r w:rsidRPr="00091FC2">
              <w:rPr>
                <w:noProof/>
                <w:webHidden/>
              </w:rPr>
            </w:r>
            <w:r w:rsidRPr="00091FC2">
              <w:rPr>
                <w:noProof/>
                <w:webHidden/>
              </w:rPr>
              <w:fldChar w:fldCharType="separate"/>
            </w:r>
            <w:r w:rsidRPr="00091FC2">
              <w:rPr>
                <w:noProof/>
                <w:webHidden/>
              </w:rPr>
              <w:t>28</w:t>
            </w:r>
            <w:r w:rsidRPr="00091FC2">
              <w:rPr>
                <w:noProof/>
                <w:webHidden/>
              </w:rPr>
              <w:fldChar w:fldCharType="end"/>
            </w:r>
          </w:hyperlink>
        </w:p>
        <w:p w14:paraId="31128FB3" w14:textId="3DECFC68" w:rsidR="000D70DB" w:rsidRPr="00091FC2" w:rsidRDefault="00E44DB8" w:rsidP="00A8297E">
          <w:pPr>
            <w:sectPr w:rsidR="000D70DB" w:rsidRPr="00091FC2" w:rsidSect="0099246F">
              <w:pgSz w:w="11906" w:h="16838" w:code="9"/>
              <w:pgMar w:top="1418" w:right="1418" w:bottom="1418" w:left="1418" w:header="709" w:footer="709" w:gutter="0"/>
              <w:pgNumType w:fmt="lowerRoman" w:start="1"/>
              <w:cols w:space="708"/>
              <w:docGrid w:linePitch="360"/>
            </w:sectPr>
          </w:pPr>
          <w:r w:rsidRPr="00091FC2">
            <w:rPr>
              <w:noProof/>
            </w:rPr>
            <w:fldChar w:fldCharType="end"/>
          </w:r>
        </w:p>
      </w:sdtContent>
    </w:sdt>
    <w:p w14:paraId="47BB184A" w14:textId="5B9D4AF8" w:rsidR="00B14B75" w:rsidRPr="00091FC2" w:rsidRDefault="00B14B75" w:rsidP="00A8297E">
      <w:r w:rsidRPr="00091FC2">
        <w:rPr>
          <w:rFonts w:eastAsia="Arial"/>
        </w:rPr>
        <w:lastRenderedPageBreak/>
        <w:t xml:space="preserve">The Court composed of: </w:t>
      </w:r>
      <w:r w:rsidR="00FC2CE7" w:rsidRPr="00091FC2">
        <w:rPr>
          <w:rFonts w:eastAsia="MS Mincho"/>
          <w:lang w:eastAsia="fr-FR"/>
        </w:rPr>
        <w:t>Blaise TCHIKAYA, Vice-President;</w:t>
      </w:r>
      <w:r w:rsidR="00FC2CE7" w:rsidRPr="00091FC2">
        <w:t xml:space="preserve"> </w:t>
      </w:r>
      <w:r w:rsidRPr="00091FC2">
        <w:t>Ben KIOKO, Rafaâ BEN ACHOUR, Suzanne MENGUE,</w:t>
      </w:r>
      <w:r w:rsidRPr="00091FC2">
        <w:rPr>
          <w:rFonts w:eastAsia="Calibri"/>
        </w:rPr>
        <w:t xml:space="preserve"> </w:t>
      </w:r>
      <w:r w:rsidRPr="00091FC2">
        <w:t xml:space="preserve">Tujilane R. CHIZUMILA, Chafika BENSAOULA, </w:t>
      </w:r>
      <w:r w:rsidRPr="00091FC2">
        <w:rPr>
          <w:rFonts w:eastAsia="MS Mincho"/>
          <w:lang w:eastAsia="fr-FR"/>
        </w:rPr>
        <w:t>Stella I. ANUKAM</w:t>
      </w:r>
      <w:r w:rsidR="00FC2CE7" w:rsidRPr="00091FC2">
        <w:rPr>
          <w:rFonts w:eastAsia="MS Mincho"/>
          <w:lang w:eastAsia="fr-FR"/>
        </w:rPr>
        <w:t>, Dumisa B. NTSEBEZA</w:t>
      </w:r>
      <w:r w:rsidR="00ED1B32" w:rsidRPr="00091FC2">
        <w:rPr>
          <w:rFonts w:eastAsia="MS Mincho"/>
          <w:lang w:eastAsia="fr-FR"/>
        </w:rPr>
        <w:t xml:space="preserve">, </w:t>
      </w:r>
      <w:r w:rsidR="00FC2CE7" w:rsidRPr="00091FC2">
        <w:rPr>
          <w:rFonts w:eastAsia="MS Mincho"/>
          <w:lang w:eastAsia="fr-FR"/>
        </w:rPr>
        <w:t>Modibo SACKO</w:t>
      </w:r>
      <w:r w:rsidR="00BE34F3" w:rsidRPr="00091FC2">
        <w:rPr>
          <w:rFonts w:eastAsia="MS Mincho"/>
          <w:lang w:eastAsia="fr-FR"/>
        </w:rPr>
        <w:t xml:space="preserve">, </w:t>
      </w:r>
      <w:r w:rsidR="00ED1B32" w:rsidRPr="00091FC2">
        <w:rPr>
          <w:rFonts w:eastAsia="MS Mincho"/>
          <w:lang w:eastAsia="fr-FR"/>
        </w:rPr>
        <w:t>Dennis D. ADJEI</w:t>
      </w:r>
      <w:r w:rsidR="00951EB2" w:rsidRPr="00091FC2">
        <w:rPr>
          <w:rFonts w:eastAsia="MS Mincho"/>
          <w:lang w:eastAsia="fr-FR"/>
        </w:rPr>
        <w:t xml:space="preserve"> </w:t>
      </w:r>
      <w:r w:rsidR="00F86DFF" w:rsidRPr="00091FC2">
        <w:rPr>
          <w:rFonts w:eastAsia="MS Mincho"/>
          <w:lang w:eastAsia="fr-FR"/>
        </w:rPr>
        <w:t>–</w:t>
      </w:r>
      <w:r w:rsidRPr="00091FC2">
        <w:t xml:space="preserve"> Judges</w:t>
      </w:r>
      <w:r w:rsidR="00F86DFF" w:rsidRPr="00091FC2">
        <w:t>;</w:t>
      </w:r>
      <w:r w:rsidRPr="00091FC2">
        <w:t xml:space="preserve"> and Robert ENO, Registrar.</w:t>
      </w:r>
    </w:p>
    <w:p w14:paraId="6F9F9E3B" w14:textId="77777777" w:rsidR="00B14B75" w:rsidRPr="00091FC2" w:rsidRDefault="00B14B75" w:rsidP="00A8297E">
      <w:pPr>
        <w:rPr>
          <w:rFonts w:eastAsia="Calibri"/>
        </w:rPr>
      </w:pPr>
      <w:r w:rsidRPr="00091FC2">
        <w:rPr>
          <w:rFonts w:eastAsia="Calibri"/>
        </w:rPr>
        <w:t xml:space="preserve"> </w:t>
      </w:r>
    </w:p>
    <w:p w14:paraId="598624FC" w14:textId="26BAF43A" w:rsidR="00B14B75" w:rsidRPr="00091FC2" w:rsidRDefault="00B14B75" w:rsidP="00A8297E">
      <w:pPr>
        <w:rPr>
          <w:rFonts w:eastAsia="Calibri"/>
        </w:rPr>
      </w:pPr>
      <w:r w:rsidRPr="00091FC2">
        <w:rPr>
          <w:rFonts w:eastAsia="Calibri"/>
        </w:rPr>
        <w:t>In accordance with Article 22 of the Protocol to the African Charter on Human and Peoples</w:t>
      </w:r>
      <w:r w:rsidR="00093C4B" w:rsidRPr="00091FC2">
        <w:rPr>
          <w:rFonts w:eastAsia="Calibri"/>
        </w:rPr>
        <w:t>’</w:t>
      </w:r>
      <w:r w:rsidRPr="00091FC2">
        <w:rPr>
          <w:rFonts w:eastAsia="Calibri"/>
        </w:rPr>
        <w:t xml:space="preserve"> Rights on the Establishment of an African Court on Human and Peoples</w:t>
      </w:r>
      <w:r w:rsidR="00093C4B" w:rsidRPr="00091FC2">
        <w:rPr>
          <w:rFonts w:eastAsia="Calibri"/>
        </w:rPr>
        <w:t>’</w:t>
      </w:r>
      <w:r w:rsidRPr="00091FC2">
        <w:rPr>
          <w:rFonts w:eastAsia="Calibri"/>
        </w:rPr>
        <w:t xml:space="preserve"> Rights (hereinafter referred to as “the Protocol”) and Rule 9(2) of the Rules of Court (hereinafter referred to as “the Rules”), Justice </w:t>
      </w:r>
      <w:r w:rsidR="00ED1B32" w:rsidRPr="00091FC2">
        <w:t xml:space="preserve">Imani D. ABOUD, President of the </w:t>
      </w:r>
      <w:r w:rsidRPr="00091FC2">
        <w:rPr>
          <w:rFonts w:eastAsia="Calibri"/>
        </w:rPr>
        <w:t xml:space="preserve">Court and a national of </w:t>
      </w:r>
      <w:r w:rsidR="00ED1B32" w:rsidRPr="00091FC2">
        <w:rPr>
          <w:rFonts w:eastAsia="Calibri"/>
        </w:rPr>
        <w:t xml:space="preserve">Tanzania </w:t>
      </w:r>
      <w:r w:rsidRPr="00091FC2">
        <w:rPr>
          <w:rFonts w:eastAsia="Calibri"/>
        </w:rPr>
        <w:t xml:space="preserve">did not hear the Application. </w:t>
      </w:r>
    </w:p>
    <w:p w14:paraId="2EE0F292" w14:textId="77777777" w:rsidR="00B14B75" w:rsidRPr="00091FC2" w:rsidRDefault="00B14B75" w:rsidP="00A8297E"/>
    <w:p w14:paraId="06C688DC" w14:textId="0E938B05" w:rsidR="00B14B75" w:rsidRPr="00091FC2" w:rsidRDefault="00B14B75" w:rsidP="00A8297E">
      <w:r w:rsidRPr="00091FC2">
        <w:t xml:space="preserve">In the </w:t>
      </w:r>
      <w:r w:rsidR="007B75A3" w:rsidRPr="00091FC2">
        <w:t>M</w:t>
      </w:r>
      <w:r w:rsidRPr="00091FC2">
        <w:t>atter of:</w:t>
      </w:r>
    </w:p>
    <w:p w14:paraId="1D866B6E" w14:textId="77777777" w:rsidR="00B14B75" w:rsidRPr="00091FC2" w:rsidRDefault="00B14B75" w:rsidP="00A8297E"/>
    <w:p w14:paraId="48D41029" w14:textId="4F8AEAFB" w:rsidR="00B14B75" w:rsidRPr="00091FC2" w:rsidRDefault="00ED1B32" w:rsidP="00A8297E">
      <w:r w:rsidRPr="00091FC2">
        <w:t xml:space="preserve">Umalo MUSSA </w:t>
      </w:r>
    </w:p>
    <w:p w14:paraId="0A7CCD63" w14:textId="77777777" w:rsidR="00B14B75" w:rsidRPr="00091FC2" w:rsidRDefault="00B14B75" w:rsidP="00A8297E"/>
    <w:p w14:paraId="5FC43873" w14:textId="64E2C4CC" w:rsidR="00B14B75" w:rsidRPr="00091FC2" w:rsidRDefault="00B14B75" w:rsidP="00A8297E">
      <w:r w:rsidRPr="00091FC2">
        <w:rPr>
          <w:i/>
        </w:rPr>
        <w:t>Self-represented</w:t>
      </w:r>
    </w:p>
    <w:p w14:paraId="2D7EC607" w14:textId="77777777" w:rsidR="00B14B75" w:rsidRPr="00091FC2" w:rsidRDefault="00B14B75" w:rsidP="00A8297E"/>
    <w:p w14:paraId="737FD594" w14:textId="77777777" w:rsidR="00B14B75" w:rsidRPr="00091FC2" w:rsidRDefault="00B14B75" w:rsidP="00A8297E">
      <w:r w:rsidRPr="00091FC2">
        <w:t>Versus</w:t>
      </w:r>
    </w:p>
    <w:p w14:paraId="28834639" w14:textId="77777777" w:rsidR="00B14B75" w:rsidRPr="00091FC2" w:rsidRDefault="00B14B75" w:rsidP="00A8297E"/>
    <w:p w14:paraId="4F29B480" w14:textId="6F90F517" w:rsidR="00B14B75" w:rsidRPr="00091FC2" w:rsidRDefault="00ED1B32" w:rsidP="00A8297E">
      <w:r w:rsidRPr="00091FC2">
        <w:t xml:space="preserve">UNITED </w:t>
      </w:r>
      <w:r w:rsidR="007B75A3" w:rsidRPr="00091FC2">
        <w:t>REPUBLIC OF</w:t>
      </w:r>
      <w:r w:rsidRPr="00091FC2">
        <w:t xml:space="preserve"> TANZANIA</w:t>
      </w:r>
      <w:r w:rsidR="00C208FA" w:rsidRPr="00091FC2">
        <w:t xml:space="preserve"> </w:t>
      </w:r>
    </w:p>
    <w:p w14:paraId="74445AA3" w14:textId="77777777" w:rsidR="00B14B75" w:rsidRPr="00091FC2" w:rsidRDefault="00B14B75" w:rsidP="00A8297E">
      <w:pPr>
        <w:rPr>
          <w:i/>
        </w:rPr>
      </w:pPr>
    </w:p>
    <w:p w14:paraId="7D561706" w14:textId="77777777" w:rsidR="00B14B75" w:rsidRPr="00091FC2" w:rsidRDefault="00B14B75" w:rsidP="00A8297E">
      <w:r w:rsidRPr="00091FC2">
        <w:rPr>
          <w:i/>
        </w:rPr>
        <w:t>Represented</w:t>
      </w:r>
      <w:r w:rsidRPr="00091FC2">
        <w:t xml:space="preserve"> </w:t>
      </w:r>
      <w:r w:rsidRPr="00091FC2">
        <w:rPr>
          <w:i/>
        </w:rPr>
        <w:t>by</w:t>
      </w:r>
      <w:r w:rsidRPr="00091FC2">
        <w:t>:</w:t>
      </w:r>
    </w:p>
    <w:p w14:paraId="6ABE2C1A" w14:textId="02E2B0FA" w:rsidR="00B14B75" w:rsidRPr="00091FC2" w:rsidRDefault="00B14B75" w:rsidP="00A8297E"/>
    <w:p w14:paraId="1F367C9E" w14:textId="2B2289C2" w:rsidR="000561ED" w:rsidRPr="00091FC2" w:rsidRDefault="00BE34F3" w:rsidP="00A8297E">
      <w:r w:rsidRPr="00091FC2">
        <w:t>Dr</w:t>
      </w:r>
      <w:r w:rsidR="00797DCD" w:rsidRPr="00091FC2">
        <w:t xml:space="preserve"> </w:t>
      </w:r>
      <w:r w:rsidRPr="00091FC2">
        <w:t>Boniface N. LUHENDE</w:t>
      </w:r>
      <w:r w:rsidR="00797DCD" w:rsidRPr="00091FC2">
        <w:t>, Solicitor General, Office of the Solicitor General</w:t>
      </w:r>
      <w:r w:rsidR="00BC06BE" w:rsidRPr="00091FC2">
        <w:t>;</w:t>
      </w:r>
      <w:r w:rsidR="00797DCD" w:rsidRPr="00091FC2">
        <w:t xml:space="preserve"> </w:t>
      </w:r>
    </w:p>
    <w:p w14:paraId="787871A8" w14:textId="670BA1F4" w:rsidR="00F42CBE" w:rsidRPr="00091FC2" w:rsidRDefault="00F42CBE" w:rsidP="00A8297E">
      <w:r w:rsidRPr="00091FC2">
        <w:t>Ms Sarah D. MWAIPOPO, Deputy Solicitor General, Office of the Solicitor General</w:t>
      </w:r>
      <w:r w:rsidR="009D6A44" w:rsidRPr="00091FC2">
        <w:t>;</w:t>
      </w:r>
    </w:p>
    <w:p w14:paraId="73C3B2AA" w14:textId="1C44B6A9" w:rsidR="002F436F" w:rsidRPr="00091FC2" w:rsidRDefault="002F436F" w:rsidP="00A8297E">
      <w:pPr>
        <w:rPr>
          <w:color w:val="000000"/>
        </w:rPr>
      </w:pPr>
      <w:r w:rsidRPr="00091FC2">
        <w:rPr>
          <w:color w:val="000000"/>
        </w:rPr>
        <w:t>Ms Nkasori SARAKIYA, Assistant Director, Human Rights, Attorney General</w:t>
      </w:r>
      <w:r w:rsidR="00093C4B" w:rsidRPr="00091FC2">
        <w:rPr>
          <w:color w:val="000000"/>
        </w:rPr>
        <w:t>’</w:t>
      </w:r>
      <w:r w:rsidRPr="00091FC2">
        <w:rPr>
          <w:color w:val="000000"/>
        </w:rPr>
        <w:t>s Chambers</w:t>
      </w:r>
      <w:r w:rsidR="00BC06BE" w:rsidRPr="00091FC2">
        <w:rPr>
          <w:color w:val="000000"/>
        </w:rPr>
        <w:t>;</w:t>
      </w:r>
    </w:p>
    <w:p w14:paraId="35AA24EF" w14:textId="5436050B" w:rsidR="002F436F" w:rsidRPr="00091FC2" w:rsidRDefault="002F436F" w:rsidP="00A8297E">
      <w:pPr>
        <w:rPr>
          <w:color w:val="000000"/>
        </w:rPr>
      </w:pPr>
      <w:r w:rsidRPr="00091FC2">
        <w:rPr>
          <w:color w:val="000000"/>
        </w:rPr>
        <w:t>Mr Abubakar MRISHA, Senior State Attorney, Attorney General</w:t>
      </w:r>
      <w:r w:rsidR="00093C4B" w:rsidRPr="00091FC2">
        <w:rPr>
          <w:color w:val="000000"/>
        </w:rPr>
        <w:t>’</w:t>
      </w:r>
      <w:r w:rsidRPr="00091FC2">
        <w:rPr>
          <w:color w:val="000000"/>
        </w:rPr>
        <w:t>s Chambers</w:t>
      </w:r>
      <w:r w:rsidR="00BC06BE" w:rsidRPr="00091FC2">
        <w:rPr>
          <w:color w:val="000000"/>
        </w:rPr>
        <w:t>;</w:t>
      </w:r>
    </w:p>
    <w:p w14:paraId="5B57C45B" w14:textId="24733DC5" w:rsidR="002F436F" w:rsidRPr="00091FC2" w:rsidRDefault="002F436F" w:rsidP="00A8297E">
      <w:pPr>
        <w:rPr>
          <w:color w:val="000000"/>
        </w:rPr>
      </w:pPr>
      <w:r w:rsidRPr="00091FC2">
        <w:rPr>
          <w:color w:val="000000"/>
        </w:rPr>
        <w:t>Ambassador Baraka LUVANDA, Head of Legal Unit, Ministry of Foreign Affairs and East Africa Cooperation</w:t>
      </w:r>
      <w:r w:rsidR="00BC06BE" w:rsidRPr="00091FC2">
        <w:rPr>
          <w:color w:val="000000"/>
        </w:rPr>
        <w:t>;</w:t>
      </w:r>
    </w:p>
    <w:p w14:paraId="5114C79A" w14:textId="657BAA37" w:rsidR="002F436F" w:rsidRPr="00091FC2" w:rsidRDefault="002F436F" w:rsidP="00A8297E">
      <w:pPr>
        <w:rPr>
          <w:color w:val="000000"/>
        </w:rPr>
      </w:pPr>
      <w:r w:rsidRPr="00091FC2">
        <w:rPr>
          <w:color w:val="000000"/>
        </w:rPr>
        <w:t>Mr Elisha SUKU, Foreign Service Officer, Ministry of Foreign Affairs and East Africa Cooperation</w:t>
      </w:r>
      <w:r w:rsidR="00BC06BE" w:rsidRPr="00091FC2">
        <w:rPr>
          <w:color w:val="000000"/>
        </w:rPr>
        <w:t>; and</w:t>
      </w:r>
    </w:p>
    <w:p w14:paraId="253A320B" w14:textId="030F968E" w:rsidR="002F436F" w:rsidRPr="00091FC2" w:rsidRDefault="002F436F" w:rsidP="00A8297E">
      <w:pPr>
        <w:rPr>
          <w:color w:val="000000"/>
        </w:rPr>
      </w:pPr>
      <w:r w:rsidRPr="00091FC2">
        <w:rPr>
          <w:color w:val="000000"/>
        </w:rPr>
        <w:t>Ms Blandina KASAGAMA, Legal Officer, Ministry of Foreign Affairs and East Africa Cooperation.</w:t>
      </w:r>
    </w:p>
    <w:p w14:paraId="09AC5D46" w14:textId="77777777" w:rsidR="00EE0A5E" w:rsidRPr="00091FC2" w:rsidRDefault="00EE0A5E" w:rsidP="00A8297E"/>
    <w:p w14:paraId="505C82D2" w14:textId="25FA6497" w:rsidR="00B14B75" w:rsidRPr="00091FC2" w:rsidRDefault="00C0608E" w:rsidP="00A8297E">
      <w:r w:rsidRPr="00091FC2">
        <w:t xml:space="preserve">After </w:t>
      </w:r>
      <w:r w:rsidR="00B14B75" w:rsidRPr="00091FC2">
        <w:t>deliberation,</w:t>
      </w:r>
    </w:p>
    <w:p w14:paraId="08138131" w14:textId="77777777" w:rsidR="00B14B75" w:rsidRPr="00091FC2" w:rsidRDefault="00B14B75" w:rsidP="00A8297E"/>
    <w:p w14:paraId="6F4FF28A" w14:textId="44789EA8" w:rsidR="00B14B75" w:rsidRPr="00091FC2" w:rsidRDefault="00DA3C78" w:rsidP="00A8297E">
      <w:r w:rsidRPr="00091FC2">
        <w:rPr>
          <w:i/>
        </w:rPr>
        <w:t>r</w:t>
      </w:r>
      <w:r w:rsidR="00C0608E" w:rsidRPr="00091FC2">
        <w:rPr>
          <w:i/>
        </w:rPr>
        <w:t xml:space="preserve">enders </w:t>
      </w:r>
      <w:r w:rsidRPr="00091FC2">
        <w:rPr>
          <w:i/>
        </w:rPr>
        <w:t xml:space="preserve">this </w:t>
      </w:r>
      <w:r w:rsidR="00B10E75" w:rsidRPr="00091FC2">
        <w:rPr>
          <w:i/>
        </w:rPr>
        <w:t>Judgment</w:t>
      </w:r>
      <w:r w:rsidR="00B14B75" w:rsidRPr="00091FC2">
        <w:t>:</w:t>
      </w:r>
    </w:p>
    <w:p w14:paraId="3482FC14" w14:textId="77777777" w:rsidR="00EE0A5E" w:rsidRPr="00091FC2" w:rsidRDefault="00EE0A5E" w:rsidP="00A8297E"/>
    <w:p w14:paraId="200D6734" w14:textId="77777777" w:rsidR="00EE0A5E" w:rsidRPr="00091FC2" w:rsidRDefault="00EE0A5E" w:rsidP="00A8297E"/>
    <w:p w14:paraId="7A9308A2" w14:textId="426A77CE" w:rsidR="00B14B75" w:rsidRPr="00091FC2" w:rsidRDefault="00B14B75" w:rsidP="00A8297E">
      <w:bookmarkStart w:id="1" w:name="_Toc136592891"/>
      <w:r w:rsidRPr="00091FC2">
        <w:t>THE PARTIES</w:t>
      </w:r>
      <w:bookmarkEnd w:id="1"/>
      <w:r w:rsidRPr="00091FC2">
        <w:t xml:space="preserve"> </w:t>
      </w:r>
    </w:p>
    <w:p w14:paraId="75BF2D41" w14:textId="77777777" w:rsidR="00903858" w:rsidRPr="00091FC2" w:rsidRDefault="00903858" w:rsidP="00A8297E"/>
    <w:p w14:paraId="1E973B19" w14:textId="73D682D7" w:rsidR="007D1DE9" w:rsidRPr="00091FC2" w:rsidRDefault="00B14B75" w:rsidP="00A8297E">
      <w:r w:rsidRPr="00091FC2">
        <w:t>Mr</w:t>
      </w:r>
      <w:r w:rsidR="00035C8C" w:rsidRPr="00091FC2">
        <w:t>.</w:t>
      </w:r>
      <w:r w:rsidR="005205BE" w:rsidRPr="00091FC2">
        <w:t xml:space="preserve"> Umalo Mussa</w:t>
      </w:r>
      <w:r w:rsidRPr="00091FC2">
        <w:t xml:space="preserve"> (</w:t>
      </w:r>
      <w:r w:rsidR="00216D0B" w:rsidRPr="00091FC2">
        <w:t>hereinafter</w:t>
      </w:r>
      <w:r w:rsidR="001F0A3E" w:rsidRPr="00091FC2">
        <w:t xml:space="preserve"> referred to as </w:t>
      </w:r>
      <w:r w:rsidR="00216D0B" w:rsidRPr="00091FC2">
        <w:t>“</w:t>
      </w:r>
      <w:r w:rsidRPr="00091FC2">
        <w:t>the Applicant”</w:t>
      </w:r>
      <w:r w:rsidR="005205BE" w:rsidRPr="00091FC2">
        <w:t xml:space="preserve">) is </w:t>
      </w:r>
      <w:r w:rsidR="001F267F" w:rsidRPr="00091FC2">
        <w:t>a national of Tanzania who</w:t>
      </w:r>
      <w:r w:rsidR="001D322A" w:rsidRPr="00091FC2">
        <w:t>,</w:t>
      </w:r>
      <w:r w:rsidR="001F267F" w:rsidRPr="00091FC2">
        <w:t xml:space="preserve"> at the time of filing the Application</w:t>
      </w:r>
      <w:r w:rsidR="001D322A" w:rsidRPr="00091FC2">
        <w:t>,</w:t>
      </w:r>
      <w:r w:rsidR="001F267F" w:rsidRPr="00091FC2">
        <w:t xml:space="preserve"> was </w:t>
      </w:r>
      <w:r w:rsidR="00FF7F8C" w:rsidRPr="00091FC2">
        <w:t xml:space="preserve">awaiting execution </w:t>
      </w:r>
      <w:r w:rsidR="001F267F" w:rsidRPr="00091FC2">
        <w:t xml:space="preserve">at the Butimba Central Prison in Mwanza </w:t>
      </w:r>
      <w:r w:rsidR="00CB3F56" w:rsidRPr="00091FC2">
        <w:t>Region</w:t>
      </w:r>
      <w:r w:rsidR="00FF7F8C" w:rsidRPr="00091FC2">
        <w:t>,</w:t>
      </w:r>
      <w:r w:rsidR="00CB3F56" w:rsidRPr="00091FC2">
        <w:t xml:space="preserve"> </w:t>
      </w:r>
      <w:r w:rsidR="00FF7F8C" w:rsidRPr="00091FC2">
        <w:t>having been tried and convicted for the offence of murder and sentenced to</w:t>
      </w:r>
      <w:r w:rsidR="005205BE" w:rsidRPr="00091FC2">
        <w:t xml:space="preserve"> death. The Applicant alleges </w:t>
      </w:r>
      <w:r w:rsidR="00FF7F8C" w:rsidRPr="00091FC2">
        <w:t xml:space="preserve">a </w:t>
      </w:r>
      <w:r w:rsidR="005205BE" w:rsidRPr="00091FC2">
        <w:t>violation of his right</w:t>
      </w:r>
      <w:r w:rsidR="00BC06BE" w:rsidRPr="00091FC2">
        <w:t>s</w:t>
      </w:r>
      <w:r w:rsidR="005205BE" w:rsidRPr="00091FC2">
        <w:t xml:space="preserve"> to a fair trial</w:t>
      </w:r>
      <w:r w:rsidR="00BC06BE" w:rsidRPr="00091FC2">
        <w:t xml:space="preserve"> in </w:t>
      </w:r>
      <w:r w:rsidR="00336C1A" w:rsidRPr="00091FC2">
        <w:t>connection with</w:t>
      </w:r>
      <w:r w:rsidR="00BC06BE" w:rsidRPr="00091FC2">
        <w:t xml:space="preserve"> proceedings before domestic courts</w:t>
      </w:r>
      <w:r w:rsidR="00B049A3" w:rsidRPr="00091FC2">
        <w:t>.</w:t>
      </w:r>
    </w:p>
    <w:p w14:paraId="14002DEC" w14:textId="46690CC6" w:rsidR="007D1DE9" w:rsidRPr="00091FC2" w:rsidRDefault="00C208FA" w:rsidP="00A8297E">
      <w:r w:rsidRPr="00091FC2">
        <w:t xml:space="preserve"> </w:t>
      </w:r>
    </w:p>
    <w:p w14:paraId="0F57DBC6" w14:textId="533D5E34" w:rsidR="00B14B75" w:rsidRPr="00091FC2" w:rsidRDefault="00B14B75" w:rsidP="00A8297E">
      <w:r w:rsidRPr="00091FC2">
        <w:lastRenderedPageBreak/>
        <w:t xml:space="preserve">The Application is filed against the </w:t>
      </w:r>
      <w:r w:rsidR="005205BE" w:rsidRPr="00091FC2">
        <w:t xml:space="preserve">United </w:t>
      </w:r>
      <w:r w:rsidRPr="00091FC2">
        <w:t>Republic of</w:t>
      </w:r>
      <w:r w:rsidR="005205BE" w:rsidRPr="00091FC2">
        <w:t xml:space="preserve"> Tanzania</w:t>
      </w:r>
      <w:r w:rsidRPr="00091FC2">
        <w:t xml:space="preserve"> (hereinafter referred to as “the Respondent State”), which became a Party to the African Charter on Human and Peoples</w:t>
      </w:r>
      <w:r w:rsidR="00093C4B" w:rsidRPr="00091FC2">
        <w:t>’</w:t>
      </w:r>
      <w:r w:rsidRPr="00091FC2">
        <w:t xml:space="preserve"> Rights (hereinafter referred to as the “the Charter”) on</w:t>
      </w:r>
      <w:r w:rsidR="005205BE" w:rsidRPr="00091FC2">
        <w:t xml:space="preserve"> 21 October 1986</w:t>
      </w:r>
      <w:r w:rsidRPr="00091FC2">
        <w:t xml:space="preserve"> and the Protocol on</w:t>
      </w:r>
      <w:r w:rsidR="005205BE" w:rsidRPr="00091FC2">
        <w:t xml:space="preserve"> 10 February 2006.</w:t>
      </w:r>
      <w:r w:rsidRPr="00091FC2">
        <w:t xml:space="preserve"> It deposited, on </w:t>
      </w:r>
      <w:r w:rsidR="005205BE" w:rsidRPr="00091FC2">
        <w:t>29 March 2010</w:t>
      </w:r>
      <w:r w:rsidRPr="00091FC2">
        <w:t xml:space="preserve">, the Declaration under Article 34(6) of the Protocol </w:t>
      </w:r>
      <w:r w:rsidR="00386B79" w:rsidRPr="00091FC2">
        <w:t xml:space="preserve">(hereinafter referred to as “the Declaration”) </w:t>
      </w:r>
      <w:r w:rsidR="00336C1A" w:rsidRPr="00091FC2">
        <w:t xml:space="preserve">by virtue of </w:t>
      </w:r>
      <w:r w:rsidRPr="00091FC2">
        <w:t>which it accepted the jurisdiction of the Court to receive cases from individuals and Non-Governmental Organisations. On</w:t>
      </w:r>
      <w:r w:rsidR="005205BE" w:rsidRPr="00091FC2">
        <w:t xml:space="preserve"> 21 November 2019</w:t>
      </w:r>
      <w:r w:rsidRPr="00091FC2">
        <w:t>, the Respondent State deposited, with the Chairperson of the African Union Commission, an instrument withdrawing its Declaration</w:t>
      </w:r>
      <w:r w:rsidR="00395BD4" w:rsidRPr="00091FC2">
        <w:t xml:space="preserve">. The Court has held that withdrawal has no bearing on pending cases and new cases filed before the withdrawal comes into effect, one </w:t>
      </w:r>
      <w:r w:rsidR="001D322A" w:rsidRPr="00091FC2">
        <w:t xml:space="preserve">(1) </w:t>
      </w:r>
      <w:r w:rsidR="00395BD4" w:rsidRPr="00091FC2">
        <w:t>year after the deposit, that is</w:t>
      </w:r>
      <w:r w:rsidR="00FF7F8C" w:rsidRPr="00091FC2">
        <w:t>,</w:t>
      </w:r>
      <w:r w:rsidR="00395BD4" w:rsidRPr="00091FC2">
        <w:t xml:space="preserve"> on</w:t>
      </w:r>
      <w:r w:rsidR="005205BE" w:rsidRPr="00091FC2">
        <w:t xml:space="preserve"> 22 November 202</w:t>
      </w:r>
      <w:r w:rsidR="006518F4" w:rsidRPr="00091FC2">
        <w:t>0</w:t>
      </w:r>
      <w:r w:rsidR="005205BE" w:rsidRPr="00091FC2">
        <w:t>.</w:t>
      </w:r>
      <w:r w:rsidR="00395BD4" w:rsidRPr="00091FC2">
        <w:rPr>
          <w:rStyle w:val="FootnoteReference"/>
          <w:rFonts w:ascii="Arial" w:hAnsi="Arial" w:cs="Arial"/>
        </w:rPr>
        <w:footnoteReference w:id="1"/>
      </w:r>
      <w:r w:rsidRPr="00091FC2">
        <w:t xml:space="preserve"> </w:t>
      </w:r>
    </w:p>
    <w:p w14:paraId="3896E484" w14:textId="13D4E731" w:rsidR="00F95F7C" w:rsidRPr="00091FC2" w:rsidRDefault="00F95F7C" w:rsidP="00A8297E"/>
    <w:p w14:paraId="3DA1EAF7" w14:textId="0E0B987D" w:rsidR="00B14B75" w:rsidRPr="00091FC2" w:rsidRDefault="00B14B75" w:rsidP="00A8297E">
      <w:bookmarkStart w:id="2" w:name="_Toc136592892"/>
      <w:bookmarkStart w:id="3" w:name="_Toc39148228"/>
      <w:r w:rsidRPr="00091FC2">
        <w:t>SUBJECT OF THE APPLICATION</w:t>
      </w:r>
      <w:bookmarkEnd w:id="2"/>
      <w:r w:rsidRPr="00091FC2">
        <w:t xml:space="preserve"> </w:t>
      </w:r>
    </w:p>
    <w:p w14:paraId="6DE5B25A" w14:textId="77777777" w:rsidR="00BC06BE" w:rsidRPr="00091FC2" w:rsidRDefault="00BC06BE" w:rsidP="00A8297E"/>
    <w:p w14:paraId="07BFC8DF" w14:textId="77777777" w:rsidR="00B14B75" w:rsidRPr="00091FC2" w:rsidRDefault="00B14B75" w:rsidP="00A8297E">
      <w:bookmarkStart w:id="4" w:name="_Toc136592893"/>
      <w:r w:rsidRPr="00091FC2">
        <w:t>Facts of the matter</w:t>
      </w:r>
      <w:bookmarkEnd w:id="4"/>
      <w:r w:rsidRPr="00091FC2">
        <w:t xml:space="preserve"> </w:t>
      </w:r>
    </w:p>
    <w:p w14:paraId="6389BCE5" w14:textId="77777777" w:rsidR="00F95F7C" w:rsidRPr="00091FC2" w:rsidRDefault="00F95F7C" w:rsidP="00A8297E"/>
    <w:p w14:paraId="36208BA3" w14:textId="05551379" w:rsidR="005205BE" w:rsidRPr="00091FC2" w:rsidRDefault="00763047" w:rsidP="00A8297E">
      <w:r w:rsidRPr="00091FC2">
        <w:t>It emerges from the record that on 18 March 1995 at Karenge village, within the District of Karagwe in Kagera region, the Applicant and two (2) other</w:t>
      </w:r>
      <w:r w:rsidR="00E00252" w:rsidRPr="00091FC2">
        <w:t xml:space="preserve"> </w:t>
      </w:r>
      <w:r w:rsidR="00E00252" w:rsidRPr="00091FC2">
        <w:rPr>
          <w:bCs/>
        </w:rPr>
        <w:t>person</w:t>
      </w:r>
      <w:r w:rsidRPr="00091FC2">
        <w:rPr>
          <w:bCs/>
        </w:rPr>
        <w:t>s</w:t>
      </w:r>
      <w:r w:rsidRPr="00091FC2">
        <w:t>, who were the Applicant</w:t>
      </w:r>
      <w:r w:rsidR="00093C4B" w:rsidRPr="00091FC2">
        <w:t>’</w:t>
      </w:r>
      <w:r w:rsidRPr="00091FC2">
        <w:t>s co-accused but are now deceased</w:t>
      </w:r>
      <w:r w:rsidR="00EF29A3" w:rsidRPr="00091FC2">
        <w:t>,</w:t>
      </w:r>
      <w:r w:rsidR="00147CEB" w:rsidRPr="00091FC2">
        <w:rPr>
          <w:rStyle w:val="FootnoteReference"/>
          <w:rFonts w:ascii="Arial" w:hAnsi="Arial" w:cs="Arial"/>
        </w:rPr>
        <w:footnoteReference w:id="2"/>
      </w:r>
      <w:r w:rsidRPr="00091FC2">
        <w:t xml:space="preserve"> murdered Rwabuhaya</w:t>
      </w:r>
      <w:r w:rsidR="00A83E6B" w:rsidRPr="00091FC2">
        <w:t xml:space="preserve"> </w:t>
      </w:r>
      <w:r w:rsidRPr="00091FC2">
        <w:t>Kilai and his wife Miburo</w:t>
      </w:r>
      <w:r w:rsidR="00A83E6B" w:rsidRPr="00091FC2">
        <w:t xml:space="preserve"> Rwabuhaya</w:t>
      </w:r>
      <w:r w:rsidRPr="00091FC2">
        <w:t>.</w:t>
      </w:r>
      <w:r w:rsidR="00C208FA" w:rsidRPr="00091FC2">
        <w:t xml:space="preserve"> </w:t>
      </w:r>
    </w:p>
    <w:p w14:paraId="4DAF22BB" w14:textId="77777777" w:rsidR="00035C8C" w:rsidRPr="00091FC2" w:rsidRDefault="00035C8C" w:rsidP="00A8297E"/>
    <w:p w14:paraId="10CDFE06" w14:textId="6A0DCC03" w:rsidR="001F267F" w:rsidRPr="00091FC2" w:rsidRDefault="005205BE" w:rsidP="00A8297E">
      <w:r w:rsidRPr="00091FC2">
        <w:t xml:space="preserve">On 29 June 2005, </w:t>
      </w:r>
      <w:r w:rsidR="00CE4D59" w:rsidRPr="00091FC2">
        <w:t>the</w:t>
      </w:r>
      <w:r w:rsidR="00035C8C" w:rsidRPr="00091FC2">
        <w:t xml:space="preserve"> High Court </w:t>
      </w:r>
      <w:r w:rsidR="00FF7F8C" w:rsidRPr="00091FC2">
        <w:t xml:space="preserve">of </w:t>
      </w:r>
      <w:r w:rsidR="00035C8C" w:rsidRPr="00091FC2">
        <w:t xml:space="preserve">Bukoba convicted the Applicant </w:t>
      </w:r>
      <w:r w:rsidR="001F1DFC" w:rsidRPr="00091FC2">
        <w:t xml:space="preserve">on </w:t>
      </w:r>
      <w:r w:rsidR="00035C8C" w:rsidRPr="00091FC2">
        <w:t xml:space="preserve">two (2) </w:t>
      </w:r>
      <w:r w:rsidR="000809A0" w:rsidRPr="00091FC2">
        <w:t>counts of murder</w:t>
      </w:r>
      <w:r w:rsidR="00035C8C" w:rsidRPr="00091FC2">
        <w:t xml:space="preserve"> </w:t>
      </w:r>
      <w:r w:rsidR="00CE4D59" w:rsidRPr="00091FC2">
        <w:t xml:space="preserve">and sentenced </w:t>
      </w:r>
      <w:r w:rsidR="00035C8C" w:rsidRPr="00091FC2">
        <w:t>him</w:t>
      </w:r>
      <w:r w:rsidR="00CE4D59" w:rsidRPr="00091FC2">
        <w:t xml:space="preserve"> to death </w:t>
      </w:r>
      <w:r w:rsidR="00035C8C" w:rsidRPr="00091FC2">
        <w:t>by hanging</w:t>
      </w:r>
      <w:r w:rsidR="00CE4D59" w:rsidRPr="00091FC2">
        <w:t xml:space="preserve">. The Applicant lodged an appeal against his conviction and sentence at the Court of Appeal </w:t>
      </w:r>
      <w:r w:rsidR="001F267F" w:rsidRPr="00091FC2">
        <w:t xml:space="preserve">sitting at </w:t>
      </w:r>
      <w:r w:rsidR="00CE4D59" w:rsidRPr="00091FC2">
        <w:t>Mwanza, which</w:t>
      </w:r>
      <w:r w:rsidR="001F267F" w:rsidRPr="00091FC2">
        <w:t>, on 21 May 2009,</w:t>
      </w:r>
      <w:r w:rsidR="00CE4D59" w:rsidRPr="00091FC2">
        <w:t xml:space="preserve"> dismissed his appeal in its entirety. </w:t>
      </w:r>
    </w:p>
    <w:p w14:paraId="4996E68C" w14:textId="77777777" w:rsidR="001F267F" w:rsidRPr="00091FC2" w:rsidRDefault="001F267F" w:rsidP="00A8297E"/>
    <w:p w14:paraId="1999BC04" w14:textId="60F6CFC7" w:rsidR="00B14B75" w:rsidRPr="00091FC2" w:rsidRDefault="00480DA6" w:rsidP="00A8297E">
      <w:r w:rsidRPr="00091FC2">
        <w:t>According to the Applicant, t</w:t>
      </w:r>
      <w:r w:rsidR="00CE4D59" w:rsidRPr="00091FC2">
        <w:t>he</w:t>
      </w:r>
      <w:r w:rsidR="001F267F" w:rsidRPr="00091FC2">
        <w:t xml:space="preserve">reafter, </w:t>
      </w:r>
      <w:r w:rsidR="00B96877" w:rsidRPr="00091FC2">
        <w:t xml:space="preserve">on 11 March 2014, </w:t>
      </w:r>
      <w:r w:rsidRPr="00091FC2">
        <w:t>he</w:t>
      </w:r>
      <w:r w:rsidR="00216D0B" w:rsidRPr="00091FC2">
        <w:t xml:space="preserve"> filed</w:t>
      </w:r>
      <w:r w:rsidR="00B96877" w:rsidRPr="00091FC2">
        <w:t xml:space="preserve"> </w:t>
      </w:r>
      <w:r w:rsidR="004412C9" w:rsidRPr="00091FC2">
        <w:t>a</w:t>
      </w:r>
      <w:r w:rsidR="00B96877" w:rsidRPr="00091FC2">
        <w:t xml:space="preserve"> notice of motion for r</w:t>
      </w:r>
      <w:r w:rsidR="00CE4D59" w:rsidRPr="00091FC2">
        <w:t>eview of the Court of Appeal</w:t>
      </w:r>
      <w:r w:rsidR="00093C4B" w:rsidRPr="00091FC2">
        <w:t>’</w:t>
      </w:r>
      <w:r w:rsidR="00CE4D59" w:rsidRPr="00091FC2">
        <w:t>s decision</w:t>
      </w:r>
      <w:r w:rsidR="00FF7F8C" w:rsidRPr="00091FC2">
        <w:t>,</w:t>
      </w:r>
      <w:r w:rsidR="00066481" w:rsidRPr="00091FC2">
        <w:t xml:space="preserve"> </w:t>
      </w:r>
      <w:r w:rsidRPr="00091FC2">
        <w:t xml:space="preserve">which </w:t>
      </w:r>
      <w:r w:rsidR="001F267F" w:rsidRPr="00091FC2">
        <w:t xml:space="preserve">was </w:t>
      </w:r>
      <w:r w:rsidR="00FF7F8C" w:rsidRPr="00091FC2">
        <w:t xml:space="preserve">still </w:t>
      </w:r>
      <w:r w:rsidR="001F267F" w:rsidRPr="00091FC2">
        <w:t xml:space="preserve">pending </w:t>
      </w:r>
      <w:r w:rsidR="000809A0" w:rsidRPr="00091FC2">
        <w:t xml:space="preserve">at the time </w:t>
      </w:r>
      <w:r w:rsidR="00B96877" w:rsidRPr="00091FC2">
        <w:t xml:space="preserve">he filed </w:t>
      </w:r>
      <w:r w:rsidR="000809A0" w:rsidRPr="00091FC2">
        <w:t>the Application before th</w:t>
      </w:r>
      <w:r w:rsidR="001F267F" w:rsidRPr="00091FC2">
        <w:t xml:space="preserve">is </w:t>
      </w:r>
      <w:r w:rsidR="000809A0" w:rsidRPr="00091FC2">
        <w:t>Court</w:t>
      </w:r>
      <w:r w:rsidR="00B96877" w:rsidRPr="00091FC2">
        <w:t xml:space="preserve"> on 8 June 2016</w:t>
      </w:r>
      <w:r w:rsidR="00CE4D59" w:rsidRPr="00091FC2">
        <w:t>.</w:t>
      </w:r>
      <w:r w:rsidR="00C208FA" w:rsidRPr="00091FC2">
        <w:t xml:space="preserve"> </w:t>
      </w:r>
    </w:p>
    <w:p w14:paraId="0F6CE84F" w14:textId="77777777" w:rsidR="00901E6D" w:rsidRPr="00091FC2" w:rsidRDefault="00901E6D" w:rsidP="00A8297E"/>
    <w:p w14:paraId="39CEAA17" w14:textId="77777777" w:rsidR="00B14B75" w:rsidRPr="00091FC2" w:rsidRDefault="00B14B75" w:rsidP="00A8297E">
      <w:bookmarkStart w:id="5" w:name="_Toc136592894"/>
      <w:r w:rsidRPr="00091FC2">
        <w:t>Alleged violations</w:t>
      </w:r>
      <w:bookmarkEnd w:id="5"/>
    </w:p>
    <w:p w14:paraId="485FF684" w14:textId="77777777" w:rsidR="00F95F7C" w:rsidRPr="00091FC2" w:rsidRDefault="00F95F7C" w:rsidP="00A8297E"/>
    <w:bookmarkEnd w:id="3"/>
    <w:p w14:paraId="2AA097E8" w14:textId="40F15CEA" w:rsidR="00E00252" w:rsidRPr="00091FC2" w:rsidRDefault="003161D7" w:rsidP="00A8297E">
      <w:pPr>
        <w:rPr>
          <w:bCs/>
        </w:rPr>
      </w:pPr>
      <w:r w:rsidRPr="00091FC2">
        <w:rPr>
          <w:bCs/>
        </w:rPr>
        <w:t xml:space="preserve">The Applicant </w:t>
      </w:r>
      <w:r w:rsidR="005B14B5" w:rsidRPr="00091FC2">
        <w:rPr>
          <w:bCs/>
        </w:rPr>
        <w:t>alleges:</w:t>
      </w:r>
    </w:p>
    <w:p w14:paraId="6BB31A0D" w14:textId="77777777" w:rsidR="0007615C" w:rsidRPr="00091FC2" w:rsidRDefault="0007615C" w:rsidP="00A8297E">
      <w:pPr>
        <w:rPr>
          <w:bCs/>
        </w:rPr>
      </w:pPr>
    </w:p>
    <w:p w14:paraId="0EA8B447" w14:textId="63005BEC" w:rsidR="00E00252" w:rsidRPr="00091FC2" w:rsidRDefault="006C6409" w:rsidP="00A8297E">
      <w:pPr>
        <w:rPr>
          <w:bCs/>
          <w:sz w:val="22"/>
          <w:szCs w:val="22"/>
        </w:rPr>
      </w:pPr>
      <w:r w:rsidRPr="00091FC2">
        <w:rPr>
          <w:bCs/>
          <w:sz w:val="22"/>
          <w:szCs w:val="22"/>
        </w:rPr>
        <w:t>Violation of his right to</w:t>
      </w:r>
      <w:r w:rsidR="0007730C" w:rsidRPr="00091FC2">
        <w:rPr>
          <w:bCs/>
          <w:sz w:val="22"/>
          <w:szCs w:val="22"/>
        </w:rPr>
        <w:t xml:space="preserve"> b</w:t>
      </w:r>
      <w:r w:rsidR="00A55A8C" w:rsidRPr="00091FC2">
        <w:rPr>
          <w:bCs/>
          <w:sz w:val="22"/>
          <w:szCs w:val="22"/>
        </w:rPr>
        <w:t xml:space="preserve">e heard, </w:t>
      </w:r>
      <w:r w:rsidRPr="00091FC2">
        <w:rPr>
          <w:bCs/>
          <w:sz w:val="22"/>
          <w:szCs w:val="22"/>
        </w:rPr>
        <w:t xml:space="preserve">insofar as </w:t>
      </w:r>
      <w:r w:rsidR="00A55A8C" w:rsidRPr="00091FC2">
        <w:rPr>
          <w:bCs/>
          <w:sz w:val="22"/>
          <w:szCs w:val="22"/>
        </w:rPr>
        <w:t>the High Court and Court of Appeal convicted him and confirmed the conviction, respectively, on the basis of a self-incriminating statement sw</w:t>
      </w:r>
      <w:r w:rsidR="00066481" w:rsidRPr="00091FC2">
        <w:rPr>
          <w:bCs/>
          <w:sz w:val="22"/>
          <w:szCs w:val="22"/>
        </w:rPr>
        <w:t xml:space="preserve">orn under </w:t>
      </w:r>
      <w:r w:rsidR="0007730C" w:rsidRPr="00091FC2">
        <w:rPr>
          <w:bCs/>
          <w:sz w:val="22"/>
          <w:szCs w:val="22"/>
        </w:rPr>
        <w:t>duress</w:t>
      </w:r>
      <w:r w:rsidR="00066481" w:rsidRPr="00091FC2">
        <w:rPr>
          <w:bCs/>
          <w:sz w:val="22"/>
          <w:szCs w:val="22"/>
        </w:rPr>
        <w:t xml:space="preserve">, which he </w:t>
      </w:r>
      <w:r w:rsidR="00A55A8C" w:rsidRPr="00091FC2">
        <w:rPr>
          <w:bCs/>
          <w:sz w:val="22"/>
          <w:szCs w:val="22"/>
        </w:rPr>
        <w:t xml:space="preserve">had retracted. </w:t>
      </w:r>
    </w:p>
    <w:p w14:paraId="1E52DC8C" w14:textId="1FD34560" w:rsidR="000A55D9" w:rsidRPr="00091FC2" w:rsidRDefault="006C6409" w:rsidP="00A8297E">
      <w:pPr>
        <w:rPr>
          <w:bCs/>
          <w:sz w:val="22"/>
          <w:szCs w:val="22"/>
        </w:rPr>
      </w:pPr>
      <w:r w:rsidRPr="00091FC2">
        <w:rPr>
          <w:bCs/>
          <w:sz w:val="22"/>
          <w:szCs w:val="22"/>
        </w:rPr>
        <w:t>Violation of his rights u</w:t>
      </w:r>
      <w:r w:rsidR="00524CA5" w:rsidRPr="00091FC2">
        <w:rPr>
          <w:bCs/>
          <w:sz w:val="22"/>
          <w:szCs w:val="22"/>
        </w:rPr>
        <w:t xml:space="preserve">nder Article 7(1)(a) and (d) of the Charter and </w:t>
      </w:r>
      <w:r w:rsidR="00A55A8C" w:rsidRPr="00091FC2">
        <w:rPr>
          <w:bCs/>
          <w:sz w:val="22"/>
          <w:szCs w:val="22"/>
        </w:rPr>
        <w:t>Article 136(a) and 107(a) 2(b) of the Constitution of Tanzania, 1977</w:t>
      </w:r>
      <w:r w:rsidR="005B20E7" w:rsidRPr="00091FC2">
        <w:rPr>
          <w:bCs/>
          <w:sz w:val="22"/>
          <w:szCs w:val="22"/>
        </w:rPr>
        <w:t xml:space="preserve"> </w:t>
      </w:r>
      <w:r w:rsidR="00524CA5" w:rsidRPr="00091FC2">
        <w:rPr>
          <w:bCs/>
          <w:sz w:val="22"/>
          <w:szCs w:val="22"/>
        </w:rPr>
        <w:t xml:space="preserve">due to </w:t>
      </w:r>
      <w:r w:rsidR="000A418B" w:rsidRPr="00091FC2">
        <w:rPr>
          <w:bCs/>
          <w:sz w:val="22"/>
          <w:szCs w:val="22"/>
        </w:rPr>
        <w:t xml:space="preserve">the </w:t>
      </w:r>
      <w:r w:rsidR="00524CA5" w:rsidRPr="00091FC2">
        <w:rPr>
          <w:bCs/>
          <w:sz w:val="22"/>
          <w:szCs w:val="22"/>
        </w:rPr>
        <w:t xml:space="preserve">delay in the </w:t>
      </w:r>
      <w:r w:rsidR="000A418B" w:rsidRPr="00091FC2">
        <w:rPr>
          <w:bCs/>
          <w:sz w:val="22"/>
          <w:szCs w:val="22"/>
        </w:rPr>
        <w:t xml:space="preserve">determination of his </w:t>
      </w:r>
      <w:r w:rsidR="00524CA5" w:rsidRPr="00091FC2">
        <w:rPr>
          <w:bCs/>
          <w:sz w:val="22"/>
          <w:szCs w:val="22"/>
        </w:rPr>
        <w:t>a</w:t>
      </w:r>
      <w:r w:rsidR="000A418B" w:rsidRPr="00091FC2">
        <w:rPr>
          <w:bCs/>
          <w:sz w:val="22"/>
          <w:szCs w:val="22"/>
        </w:rPr>
        <w:t xml:space="preserve">pplication for </w:t>
      </w:r>
      <w:r w:rsidR="00524CA5" w:rsidRPr="00091FC2">
        <w:rPr>
          <w:bCs/>
          <w:sz w:val="22"/>
          <w:szCs w:val="22"/>
        </w:rPr>
        <w:t>r</w:t>
      </w:r>
      <w:r w:rsidR="000A418B" w:rsidRPr="00091FC2">
        <w:rPr>
          <w:bCs/>
          <w:sz w:val="22"/>
          <w:szCs w:val="22"/>
        </w:rPr>
        <w:t>eview.</w:t>
      </w:r>
      <w:r w:rsidR="0054779C" w:rsidRPr="00091FC2">
        <w:rPr>
          <w:bCs/>
          <w:sz w:val="22"/>
          <w:szCs w:val="22"/>
        </w:rPr>
        <w:t xml:space="preserve"> </w:t>
      </w:r>
    </w:p>
    <w:p w14:paraId="221D6493" w14:textId="1946987A" w:rsidR="00524CA5" w:rsidRPr="00091FC2" w:rsidRDefault="006C6409" w:rsidP="00A8297E">
      <w:pPr>
        <w:rPr>
          <w:bCs/>
          <w:sz w:val="22"/>
          <w:szCs w:val="22"/>
        </w:rPr>
      </w:pPr>
      <w:r w:rsidRPr="00091FC2">
        <w:rPr>
          <w:bCs/>
          <w:sz w:val="22"/>
          <w:szCs w:val="22"/>
        </w:rPr>
        <w:t>Violation of his right to</w:t>
      </w:r>
      <w:r w:rsidR="0007730C" w:rsidRPr="00091FC2">
        <w:rPr>
          <w:bCs/>
          <w:sz w:val="22"/>
          <w:szCs w:val="22"/>
        </w:rPr>
        <w:t xml:space="preserve"> defence </w:t>
      </w:r>
      <w:r w:rsidR="00524CA5" w:rsidRPr="00091FC2">
        <w:rPr>
          <w:bCs/>
          <w:sz w:val="22"/>
          <w:szCs w:val="22"/>
        </w:rPr>
        <w:t xml:space="preserve">under Article 7(1)(c) of the Charter by not </w:t>
      </w:r>
      <w:r w:rsidR="00A55A8C" w:rsidRPr="00091FC2">
        <w:rPr>
          <w:bCs/>
          <w:sz w:val="22"/>
          <w:szCs w:val="22"/>
        </w:rPr>
        <w:t xml:space="preserve">being provided </w:t>
      </w:r>
      <w:r w:rsidR="00524CA5" w:rsidRPr="00091FC2">
        <w:rPr>
          <w:bCs/>
          <w:sz w:val="22"/>
          <w:szCs w:val="22"/>
        </w:rPr>
        <w:t>a legal counsel of his choice</w:t>
      </w:r>
      <w:r w:rsidR="00BF13E1" w:rsidRPr="00091FC2">
        <w:rPr>
          <w:bCs/>
          <w:sz w:val="22"/>
          <w:szCs w:val="22"/>
        </w:rPr>
        <w:t>.</w:t>
      </w:r>
    </w:p>
    <w:p w14:paraId="44279281" w14:textId="44CD80F7" w:rsidR="00B14B75" w:rsidRPr="00091FC2" w:rsidRDefault="000A418B" w:rsidP="00A8297E">
      <w:r w:rsidRPr="00091FC2">
        <w:t xml:space="preserve"> </w:t>
      </w:r>
    </w:p>
    <w:p w14:paraId="62773ADB" w14:textId="34CCB4DB" w:rsidR="00B14B75" w:rsidRPr="00091FC2" w:rsidRDefault="00B14B75" w:rsidP="00A8297E">
      <w:bookmarkStart w:id="6" w:name="_Toc136592895"/>
      <w:r w:rsidRPr="00091FC2">
        <w:t>SUMMARY OF THE PROCEDURE BEFORE THE COURT</w:t>
      </w:r>
      <w:bookmarkEnd w:id="6"/>
    </w:p>
    <w:p w14:paraId="1319DA53" w14:textId="77777777" w:rsidR="00B14B75" w:rsidRPr="00091FC2" w:rsidRDefault="00B14B75" w:rsidP="00A8297E"/>
    <w:p w14:paraId="20580F1D" w14:textId="549350A8" w:rsidR="00F42CBE" w:rsidRPr="00091FC2" w:rsidRDefault="00B14B75" w:rsidP="00A8297E">
      <w:r w:rsidRPr="00091FC2">
        <w:t>The Application</w:t>
      </w:r>
      <w:r w:rsidR="00CA53A3" w:rsidRPr="00091FC2">
        <w:t>,</w:t>
      </w:r>
      <w:r w:rsidRPr="00091FC2">
        <w:t xml:space="preserve"> </w:t>
      </w:r>
      <w:r w:rsidR="00524CA5" w:rsidRPr="00091FC2">
        <w:rPr>
          <w:bCs/>
        </w:rPr>
        <w:t>together with a request for provisional measures</w:t>
      </w:r>
      <w:r w:rsidR="00CA53A3" w:rsidRPr="00091FC2">
        <w:rPr>
          <w:bCs/>
        </w:rPr>
        <w:t>,</w:t>
      </w:r>
      <w:r w:rsidR="00524CA5" w:rsidRPr="00091FC2">
        <w:t xml:space="preserve"> </w:t>
      </w:r>
      <w:r w:rsidRPr="00091FC2">
        <w:t xml:space="preserve">was </w:t>
      </w:r>
      <w:r w:rsidR="00FE5887" w:rsidRPr="00091FC2">
        <w:t xml:space="preserve">received at the Registry </w:t>
      </w:r>
      <w:r w:rsidR="00B6677C" w:rsidRPr="00091FC2">
        <w:t xml:space="preserve">on 8 June 2016 </w:t>
      </w:r>
      <w:r w:rsidRPr="00091FC2">
        <w:t>and served on the Respondent State on</w:t>
      </w:r>
      <w:r w:rsidR="00332829" w:rsidRPr="00091FC2">
        <w:t xml:space="preserve"> </w:t>
      </w:r>
      <w:r w:rsidR="007C1E7B" w:rsidRPr="00091FC2">
        <w:t>26 July 2016</w:t>
      </w:r>
      <w:r w:rsidRPr="00091FC2">
        <w:t>.</w:t>
      </w:r>
      <w:r w:rsidR="00332829" w:rsidRPr="00091FC2">
        <w:t xml:space="preserve"> </w:t>
      </w:r>
      <w:r w:rsidR="00524CA5" w:rsidRPr="00091FC2">
        <w:rPr>
          <w:bCs/>
        </w:rPr>
        <w:t>T</w:t>
      </w:r>
      <w:r w:rsidR="004B3B3B" w:rsidRPr="00091FC2">
        <w:t xml:space="preserve">he Application was </w:t>
      </w:r>
      <w:r w:rsidR="00044FE3" w:rsidRPr="00091FC2">
        <w:t xml:space="preserve">notified </w:t>
      </w:r>
      <w:r w:rsidR="004B3B3B" w:rsidRPr="00091FC2">
        <w:t>to the Executive Council of the African Union and to the State Parties to the Protocol</w:t>
      </w:r>
      <w:r w:rsidR="007C1E7B" w:rsidRPr="00091FC2">
        <w:t xml:space="preserve"> through the Chairperson of the African Union Commission</w:t>
      </w:r>
      <w:r w:rsidR="00524CA5" w:rsidRPr="00091FC2">
        <w:t xml:space="preserve"> </w:t>
      </w:r>
      <w:r w:rsidR="00524CA5" w:rsidRPr="00091FC2">
        <w:rPr>
          <w:bCs/>
        </w:rPr>
        <w:t>on 8 September 2016</w:t>
      </w:r>
      <w:r w:rsidR="007C1E7B" w:rsidRPr="00091FC2">
        <w:t>.</w:t>
      </w:r>
      <w:r w:rsidR="00CF049B" w:rsidRPr="00091FC2">
        <w:t xml:space="preserve"> </w:t>
      </w:r>
    </w:p>
    <w:p w14:paraId="461E9E50" w14:textId="11F287FF" w:rsidR="00CF049B" w:rsidRPr="00091FC2" w:rsidRDefault="00CF049B" w:rsidP="00A8297E">
      <w:r w:rsidRPr="00091FC2">
        <w:t xml:space="preserve"> </w:t>
      </w:r>
    </w:p>
    <w:p w14:paraId="3E034E39" w14:textId="6B51FA64" w:rsidR="00C0717A" w:rsidRPr="00091FC2" w:rsidRDefault="00F55BD4" w:rsidP="00A8297E">
      <w:pPr>
        <w:rPr>
          <w:bCs/>
        </w:rPr>
      </w:pPr>
      <w:r w:rsidRPr="00091FC2">
        <w:rPr>
          <w:bCs/>
        </w:rPr>
        <w:t>The Parties filed their pleadings on</w:t>
      </w:r>
      <w:r w:rsidR="00044FE3" w:rsidRPr="00091FC2">
        <w:rPr>
          <w:bCs/>
        </w:rPr>
        <w:t xml:space="preserve"> the</w:t>
      </w:r>
      <w:r w:rsidRPr="00091FC2">
        <w:rPr>
          <w:bCs/>
        </w:rPr>
        <w:t xml:space="preserve"> merits within the time set by the Court. The Applicant filed his submissions on reparations but the Respondent State did not file the response thereto, despite several extensions of time granted by the Court to do so. Pleadings were closed on 14 November 2019 and the Parties were duly notified. </w:t>
      </w:r>
    </w:p>
    <w:p w14:paraId="412402E1" w14:textId="77777777" w:rsidR="000809A0" w:rsidRPr="00091FC2" w:rsidRDefault="000809A0" w:rsidP="00A8297E"/>
    <w:p w14:paraId="508C9BC6" w14:textId="4DAC10D0" w:rsidR="001D322A" w:rsidRPr="00091FC2" w:rsidRDefault="001D322A" w:rsidP="00A8297E">
      <w:pPr>
        <w:rPr>
          <w:color w:val="000000"/>
        </w:rPr>
      </w:pPr>
      <w:r w:rsidRPr="00091FC2">
        <w:t xml:space="preserve">On </w:t>
      </w:r>
      <w:r w:rsidR="001E7755" w:rsidRPr="00091FC2">
        <w:t xml:space="preserve">7 </w:t>
      </w:r>
      <w:r w:rsidRPr="00091FC2">
        <w:t>October</w:t>
      </w:r>
      <w:r w:rsidR="001E7755" w:rsidRPr="00091FC2">
        <w:t xml:space="preserve"> and </w:t>
      </w:r>
      <w:r w:rsidR="00704941" w:rsidRPr="00091FC2">
        <w:t xml:space="preserve">16 </w:t>
      </w:r>
      <w:r w:rsidRPr="00091FC2">
        <w:t xml:space="preserve">November 2022 and 25 January 2023, the Applicant was requested to file specific </w:t>
      </w:r>
      <w:r w:rsidR="00763047" w:rsidRPr="00091FC2">
        <w:t xml:space="preserve">pertinent </w:t>
      </w:r>
      <w:r w:rsidRPr="00091FC2">
        <w:t>documents, within thirty (30) days of receipt thereof.</w:t>
      </w:r>
      <w:r w:rsidR="00F42CBE" w:rsidRPr="00091FC2">
        <w:rPr>
          <w:rStyle w:val="FootnoteReference"/>
          <w:rFonts w:ascii="Arial" w:hAnsi="Arial" w:cs="Arial"/>
        </w:rPr>
        <w:footnoteReference w:id="3"/>
      </w:r>
      <w:r w:rsidRPr="00091FC2">
        <w:t xml:space="preserve"> These are, t</w:t>
      </w:r>
      <w:r w:rsidRPr="00091FC2">
        <w:rPr>
          <w:color w:val="000000"/>
        </w:rPr>
        <w:t>he Application for Review in Criminal Application No. 2 of 2014 with proof that it was received at the relevant Court Registry and served on the Respondent State</w:t>
      </w:r>
      <w:r w:rsidR="00093987" w:rsidRPr="00091FC2">
        <w:rPr>
          <w:color w:val="000000"/>
        </w:rPr>
        <w:t>,</w:t>
      </w:r>
      <w:r w:rsidRPr="00091FC2">
        <w:rPr>
          <w:color w:val="000000"/>
        </w:rPr>
        <w:t xml:space="preserve"> and the Court of Appeal</w:t>
      </w:r>
      <w:r w:rsidR="00093C4B" w:rsidRPr="00091FC2">
        <w:rPr>
          <w:color w:val="000000"/>
        </w:rPr>
        <w:t>’</w:t>
      </w:r>
      <w:r w:rsidRPr="00091FC2">
        <w:rPr>
          <w:color w:val="000000"/>
        </w:rPr>
        <w:t>s Ruling in Criminal Application No</w:t>
      </w:r>
      <w:r w:rsidR="00020EEE" w:rsidRPr="00091FC2">
        <w:rPr>
          <w:color w:val="000000"/>
        </w:rPr>
        <w:t>.</w:t>
      </w:r>
      <w:r w:rsidRPr="00091FC2">
        <w:rPr>
          <w:color w:val="000000"/>
        </w:rPr>
        <w:t xml:space="preserve"> 8 of 2013 allowing th</w:t>
      </w:r>
      <w:r w:rsidR="00704941" w:rsidRPr="00091FC2">
        <w:rPr>
          <w:color w:val="000000"/>
        </w:rPr>
        <w:t xml:space="preserve">e filing of the </w:t>
      </w:r>
      <w:r w:rsidRPr="00091FC2">
        <w:rPr>
          <w:color w:val="000000"/>
        </w:rPr>
        <w:t>application for review out of time.</w:t>
      </w:r>
      <w:r w:rsidR="008A4538" w:rsidRPr="00091FC2">
        <w:rPr>
          <w:color w:val="000000"/>
        </w:rPr>
        <w:t xml:space="preserve"> The Applicant failed to do so.</w:t>
      </w:r>
    </w:p>
    <w:p w14:paraId="7DC87DED" w14:textId="77777777" w:rsidR="00D3265B" w:rsidRPr="00091FC2" w:rsidRDefault="00D3265B" w:rsidP="00A8297E">
      <w:pPr>
        <w:rPr>
          <w:color w:val="000000"/>
        </w:rPr>
      </w:pPr>
    </w:p>
    <w:p w14:paraId="3093DC35" w14:textId="77777777" w:rsidR="00EE0A5E" w:rsidRPr="00091FC2" w:rsidRDefault="00EE0A5E" w:rsidP="00A8297E">
      <w:pPr>
        <w:rPr>
          <w:color w:val="000000"/>
        </w:rPr>
      </w:pPr>
    </w:p>
    <w:p w14:paraId="13220419" w14:textId="32A23F44" w:rsidR="00B14B75" w:rsidRPr="00091FC2" w:rsidRDefault="00B14B75" w:rsidP="00A8297E">
      <w:bookmarkStart w:id="7" w:name="_Toc39148230"/>
      <w:bookmarkStart w:id="8" w:name="_Toc136592896"/>
      <w:r w:rsidRPr="00091FC2">
        <w:t>PRAYERS OF THE PARTIES</w:t>
      </w:r>
      <w:bookmarkEnd w:id="7"/>
      <w:bookmarkEnd w:id="8"/>
    </w:p>
    <w:p w14:paraId="1B03E7D6" w14:textId="77777777" w:rsidR="00B14B75" w:rsidRPr="00091FC2" w:rsidRDefault="00B14B75" w:rsidP="00A8297E"/>
    <w:p w14:paraId="55F39812" w14:textId="32EC35CD" w:rsidR="001C789E" w:rsidRPr="00091FC2" w:rsidRDefault="00563752" w:rsidP="00A8297E">
      <w:r w:rsidRPr="00091FC2">
        <w:t>The</w:t>
      </w:r>
      <w:r w:rsidR="00B14B75" w:rsidRPr="00091FC2">
        <w:t xml:space="preserve"> Applicant prays the Court to</w:t>
      </w:r>
      <w:r w:rsidR="001C789E" w:rsidRPr="00091FC2">
        <w:t>:</w:t>
      </w:r>
    </w:p>
    <w:p w14:paraId="2F167A26" w14:textId="77777777" w:rsidR="00563752" w:rsidRPr="00091FC2" w:rsidRDefault="00563752" w:rsidP="00A8297E">
      <w:pPr>
        <w:rPr>
          <w:bCs/>
        </w:rPr>
      </w:pPr>
    </w:p>
    <w:p w14:paraId="7C3EED4A" w14:textId="1E195110" w:rsidR="001C789E" w:rsidRPr="00091FC2" w:rsidRDefault="001C789E" w:rsidP="00A8297E">
      <w:pPr>
        <w:rPr>
          <w:bCs/>
          <w:sz w:val="22"/>
          <w:szCs w:val="22"/>
        </w:rPr>
      </w:pPr>
      <w:r w:rsidRPr="00091FC2">
        <w:rPr>
          <w:bCs/>
          <w:sz w:val="22"/>
          <w:szCs w:val="22"/>
        </w:rPr>
        <w:t>Find that it has jurisdiction to decide the application and that it meets the admissibility requirements</w:t>
      </w:r>
      <w:r w:rsidR="000D4EB8" w:rsidRPr="00091FC2">
        <w:rPr>
          <w:bCs/>
          <w:sz w:val="22"/>
          <w:szCs w:val="22"/>
        </w:rPr>
        <w:t>.</w:t>
      </w:r>
    </w:p>
    <w:p w14:paraId="7FE1AB6B" w14:textId="3593ACF2" w:rsidR="00B14B75" w:rsidRPr="00091FC2" w:rsidRDefault="004975F5" w:rsidP="00A8297E">
      <w:pPr>
        <w:rPr>
          <w:sz w:val="22"/>
          <w:szCs w:val="22"/>
        </w:rPr>
      </w:pPr>
      <w:r w:rsidRPr="00091FC2">
        <w:rPr>
          <w:sz w:val="22"/>
          <w:szCs w:val="22"/>
        </w:rPr>
        <w:t>O</w:t>
      </w:r>
      <w:r w:rsidR="00763047" w:rsidRPr="00091FC2">
        <w:rPr>
          <w:sz w:val="22"/>
          <w:szCs w:val="22"/>
        </w:rPr>
        <w:t>rder provisional measures in accordance with Article 27(2) of the Protocol and Rule 51(1) of the Rules</w:t>
      </w:r>
      <w:r w:rsidR="00763047" w:rsidRPr="00091FC2">
        <w:rPr>
          <w:rStyle w:val="FootnoteReference"/>
          <w:rFonts w:ascii="Arial" w:hAnsi="Arial" w:cs="Arial"/>
          <w:sz w:val="22"/>
          <w:szCs w:val="22"/>
        </w:rPr>
        <w:footnoteReference w:id="4"/>
      </w:r>
      <w:r w:rsidR="005B20E7" w:rsidRPr="00091FC2">
        <w:rPr>
          <w:sz w:val="22"/>
          <w:szCs w:val="22"/>
        </w:rPr>
        <w:t xml:space="preserve"> </w:t>
      </w:r>
      <w:r w:rsidRPr="00091FC2">
        <w:rPr>
          <w:sz w:val="22"/>
          <w:szCs w:val="22"/>
        </w:rPr>
        <w:t>Due to extreme gravity on account of his being on death row</w:t>
      </w:r>
      <w:r w:rsidR="006F2311" w:rsidRPr="00091FC2">
        <w:rPr>
          <w:sz w:val="22"/>
          <w:szCs w:val="22"/>
        </w:rPr>
        <w:t>.</w:t>
      </w:r>
    </w:p>
    <w:p w14:paraId="4153E3F0" w14:textId="0826CD6E" w:rsidR="001C789E" w:rsidRPr="00091FC2" w:rsidRDefault="001C789E" w:rsidP="00A8297E">
      <w:pPr>
        <w:rPr>
          <w:bCs/>
          <w:sz w:val="22"/>
          <w:szCs w:val="22"/>
        </w:rPr>
      </w:pPr>
      <w:r w:rsidRPr="00091FC2">
        <w:rPr>
          <w:bCs/>
          <w:sz w:val="22"/>
          <w:szCs w:val="22"/>
        </w:rPr>
        <w:t>Find that the Respondent State violated his rights under Articles 7(1)(a), (c) and (d) of the Charter</w:t>
      </w:r>
      <w:r w:rsidR="000D4EB8" w:rsidRPr="00091FC2">
        <w:rPr>
          <w:bCs/>
          <w:sz w:val="22"/>
          <w:szCs w:val="22"/>
        </w:rPr>
        <w:t>.</w:t>
      </w:r>
    </w:p>
    <w:p w14:paraId="5DDE7474" w14:textId="6386D5A6" w:rsidR="00F32F6B" w:rsidRPr="00091FC2" w:rsidRDefault="004975F5" w:rsidP="00A8297E">
      <w:pPr>
        <w:rPr>
          <w:bCs/>
          <w:sz w:val="22"/>
          <w:szCs w:val="22"/>
        </w:rPr>
      </w:pPr>
      <w:r w:rsidRPr="00091FC2">
        <w:rPr>
          <w:bCs/>
          <w:sz w:val="22"/>
          <w:szCs w:val="22"/>
        </w:rPr>
        <w:t>O</w:t>
      </w:r>
      <w:r w:rsidR="00F32F6B" w:rsidRPr="00091FC2">
        <w:rPr>
          <w:bCs/>
          <w:sz w:val="22"/>
          <w:szCs w:val="22"/>
        </w:rPr>
        <w:t xml:space="preserve">rder that he be paid compensation for the period of his incarceration to be assessed on the basis of </w:t>
      </w:r>
      <w:r w:rsidR="006F2311" w:rsidRPr="00091FC2">
        <w:rPr>
          <w:bCs/>
          <w:sz w:val="22"/>
          <w:szCs w:val="22"/>
        </w:rPr>
        <w:t>“</w:t>
      </w:r>
      <w:r w:rsidR="00F32F6B" w:rsidRPr="00091FC2">
        <w:rPr>
          <w:bCs/>
          <w:sz w:val="22"/>
          <w:szCs w:val="22"/>
        </w:rPr>
        <w:t>the national ratio of a citizen</w:t>
      </w:r>
      <w:r w:rsidR="00093C4B" w:rsidRPr="00091FC2">
        <w:rPr>
          <w:bCs/>
          <w:sz w:val="22"/>
          <w:szCs w:val="22"/>
        </w:rPr>
        <w:t>’</w:t>
      </w:r>
      <w:r w:rsidR="00F32F6B" w:rsidRPr="00091FC2">
        <w:rPr>
          <w:bCs/>
          <w:sz w:val="22"/>
          <w:szCs w:val="22"/>
        </w:rPr>
        <w:t>s income per year</w:t>
      </w:r>
      <w:r w:rsidR="006F2311" w:rsidRPr="00091FC2">
        <w:rPr>
          <w:bCs/>
          <w:sz w:val="22"/>
          <w:szCs w:val="22"/>
        </w:rPr>
        <w:t>”</w:t>
      </w:r>
      <w:r w:rsidR="000D4EB8" w:rsidRPr="00091FC2">
        <w:rPr>
          <w:bCs/>
          <w:sz w:val="22"/>
          <w:szCs w:val="22"/>
        </w:rPr>
        <w:t>.</w:t>
      </w:r>
    </w:p>
    <w:p w14:paraId="461C9417" w14:textId="05C2D21D" w:rsidR="00F32F6B" w:rsidRPr="00091FC2" w:rsidRDefault="004975F5" w:rsidP="00A8297E">
      <w:pPr>
        <w:rPr>
          <w:bCs/>
          <w:sz w:val="22"/>
          <w:szCs w:val="22"/>
        </w:rPr>
      </w:pPr>
      <w:r w:rsidRPr="00091FC2">
        <w:rPr>
          <w:bCs/>
          <w:sz w:val="22"/>
          <w:szCs w:val="22"/>
        </w:rPr>
        <w:t>O</w:t>
      </w:r>
      <w:r w:rsidR="00F32F6B" w:rsidRPr="00091FC2">
        <w:rPr>
          <w:bCs/>
          <w:sz w:val="22"/>
          <w:szCs w:val="22"/>
        </w:rPr>
        <w:t xml:space="preserve">rder his </w:t>
      </w:r>
      <w:r w:rsidRPr="00091FC2">
        <w:rPr>
          <w:bCs/>
          <w:sz w:val="22"/>
          <w:szCs w:val="22"/>
        </w:rPr>
        <w:t xml:space="preserve">release </w:t>
      </w:r>
      <w:r w:rsidR="00F32F6B" w:rsidRPr="00091FC2">
        <w:rPr>
          <w:bCs/>
          <w:sz w:val="22"/>
          <w:szCs w:val="22"/>
        </w:rPr>
        <w:t>to repair the prejudice he suffered</w:t>
      </w:r>
      <w:r w:rsidR="00BF13E1" w:rsidRPr="00091FC2">
        <w:rPr>
          <w:bCs/>
          <w:sz w:val="22"/>
          <w:szCs w:val="22"/>
        </w:rPr>
        <w:t>.</w:t>
      </w:r>
    </w:p>
    <w:p w14:paraId="0CE0FC7E" w14:textId="77777777" w:rsidR="000A55D9" w:rsidRPr="00091FC2" w:rsidRDefault="000A55D9" w:rsidP="00A8297E"/>
    <w:p w14:paraId="5DB634BB" w14:textId="7A090860" w:rsidR="00B14B75" w:rsidRPr="00091FC2" w:rsidRDefault="004975F5" w:rsidP="00A8297E">
      <w:r w:rsidRPr="00091FC2">
        <w:t>As regards jurisdiction and admissibility, t</w:t>
      </w:r>
      <w:r w:rsidR="00B14B75" w:rsidRPr="00091FC2">
        <w:t xml:space="preserve">he Respondent State prays the Court </w:t>
      </w:r>
      <w:r w:rsidR="008D4053" w:rsidRPr="00091FC2">
        <w:t>to:</w:t>
      </w:r>
    </w:p>
    <w:p w14:paraId="4D34BBC8" w14:textId="77777777" w:rsidR="008B7877" w:rsidRPr="00091FC2" w:rsidRDefault="008B7877" w:rsidP="00A8297E"/>
    <w:p w14:paraId="3EA97713" w14:textId="3A899999" w:rsidR="0030071E" w:rsidRPr="00091FC2" w:rsidRDefault="004975F5" w:rsidP="00A8297E">
      <w:pPr>
        <w:rPr>
          <w:bCs/>
          <w:sz w:val="22"/>
          <w:szCs w:val="22"/>
        </w:rPr>
      </w:pPr>
      <w:r w:rsidRPr="00091FC2">
        <w:rPr>
          <w:bCs/>
          <w:sz w:val="22"/>
          <w:szCs w:val="22"/>
        </w:rPr>
        <w:t>Find t</w:t>
      </w:r>
      <w:r w:rsidR="0030071E" w:rsidRPr="00091FC2">
        <w:rPr>
          <w:bCs/>
          <w:sz w:val="22"/>
          <w:szCs w:val="22"/>
        </w:rPr>
        <w:t xml:space="preserve">hat the Court is not vested with the jurisdiction to adjudicate this Application. </w:t>
      </w:r>
    </w:p>
    <w:p w14:paraId="43EB559B" w14:textId="34AFA470" w:rsidR="0030071E" w:rsidRPr="00091FC2" w:rsidRDefault="004975F5" w:rsidP="00A8297E">
      <w:pPr>
        <w:rPr>
          <w:bCs/>
          <w:sz w:val="22"/>
          <w:szCs w:val="22"/>
        </w:rPr>
      </w:pPr>
      <w:r w:rsidRPr="00091FC2">
        <w:rPr>
          <w:bCs/>
          <w:sz w:val="22"/>
          <w:szCs w:val="22"/>
        </w:rPr>
        <w:t xml:space="preserve">Find that </w:t>
      </w:r>
      <w:r w:rsidR="0030071E" w:rsidRPr="00091FC2">
        <w:rPr>
          <w:bCs/>
          <w:sz w:val="22"/>
          <w:szCs w:val="22"/>
        </w:rPr>
        <w:t xml:space="preserve">the Application </w:t>
      </w:r>
      <w:r w:rsidRPr="00091FC2">
        <w:rPr>
          <w:bCs/>
          <w:sz w:val="22"/>
          <w:szCs w:val="22"/>
        </w:rPr>
        <w:t>does not meet</w:t>
      </w:r>
      <w:r w:rsidR="0030071E" w:rsidRPr="00091FC2">
        <w:rPr>
          <w:bCs/>
          <w:sz w:val="22"/>
          <w:szCs w:val="22"/>
        </w:rPr>
        <w:t xml:space="preserve"> the admissibility requirements stipulated under Ru</w:t>
      </w:r>
      <w:r w:rsidR="002D59AF" w:rsidRPr="00091FC2">
        <w:rPr>
          <w:bCs/>
          <w:sz w:val="22"/>
          <w:szCs w:val="22"/>
        </w:rPr>
        <w:t>l</w:t>
      </w:r>
      <w:r w:rsidR="0030071E" w:rsidRPr="00091FC2">
        <w:rPr>
          <w:bCs/>
          <w:sz w:val="22"/>
          <w:szCs w:val="22"/>
        </w:rPr>
        <w:t xml:space="preserve">e 40(5) </w:t>
      </w:r>
      <w:r w:rsidR="00F32F6B" w:rsidRPr="00091FC2">
        <w:rPr>
          <w:bCs/>
          <w:sz w:val="22"/>
          <w:szCs w:val="22"/>
        </w:rPr>
        <w:t xml:space="preserve">and (6) </w:t>
      </w:r>
      <w:r w:rsidR="0030071E" w:rsidRPr="00091FC2">
        <w:rPr>
          <w:bCs/>
          <w:sz w:val="22"/>
          <w:szCs w:val="22"/>
        </w:rPr>
        <w:t>of the Rules of the Court</w:t>
      </w:r>
      <w:r w:rsidR="0024750A" w:rsidRPr="00091FC2">
        <w:rPr>
          <w:rStyle w:val="FootnoteReference"/>
          <w:rFonts w:ascii="Arial" w:hAnsi="Arial" w:cs="Arial"/>
          <w:bCs/>
          <w:sz w:val="22"/>
          <w:szCs w:val="22"/>
        </w:rPr>
        <w:footnoteReference w:id="5"/>
      </w:r>
      <w:r w:rsidR="0030071E" w:rsidRPr="00091FC2">
        <w:rPr>
          <w:bCs/>
          <w:sz w:val="22"/>
          <w:szCs w:val="22"/>
        </w:rPr>
        <w:t xml:space="preserve"> or Article 56 and Article 6(2) of the Protocol. </w:t>
      </w:r>
    </w:p>
    <w:p w14:paraId="6E6B434E" w14:textId="3C8B9D27" w:rsidR="00BA44C1" w:rsidRPr="00091FC2" w:rsidRDefault="004975F5" w:rsidP="00A8297E">
      <w:pPr>
        <w:rPr>
          <w:bCs/>
          <w:sz w:val="22"/>
          <w:szCs w:val="22"/>
        </w:rPr>
      </w:pPr>
      <w:r w:rsidRPr="00091FC2">
        <w:rPr>
          <w:bCs/>
          <w:sz w:val="22"/>
          <w:szCs w:val="22"/>
        </w:rPr>
        <w:t xml:space="preserve">Declare </w:t>
      </w:r>
      <w:r w:rsidR="00BA44C1" w:rsidRPr="00091FC2">
        <w:rPr>
          <w:bCs/>
          <w:sz w:val="22"/>
          <w:szCs w:val="22"/>
        </w:rPr>
        <w:t>the Application inadmissible</w:t>
      </w:r>
      <w:r w:rsidR="000A55D9" w:rsidRPr="00091FC2">
        <w:rPr>
          <w:bCs/>
          <w:sz w:val="22"/>
          <w:szCs w:val="22"/>
        </w:rPr>
        <w:t>.</w:t>
      </w:r>
    </w:p>
    <w:p w14:paraId="3853CF78" w14:textId="761E9528" w:rsidR="00BA44C1" w:rsidRPr="00091FC2" w:rsidRDefault="004975F5" w:rsidP="00A8297E">
      <w:pPr>
        <w:rPr>
          <w:bCs/>
          <w:sz w:val="22"/>
          <w:szCs w:val="22"/>
        </w:rPr>
      </w:pPr>
      <w:r w:rsidRPr="00091FC2">
        <w:rPr>
          <w:bCs/>
          <w:sz w:val="22"/>
          <w:szCs w:val="22"/>
        </w:rPr>
        <w:t>Dismiss</w:t>
      </w:r>
      <w:r w:rsidR="00BA44C1" w:rsidRPr="00091FC2">
        <w:rPr>
          <w:bCs/>
          <w:sz w:val="22"/>
          <w:szCs w:val="22"/>
        </w:rPr>
        <w:t xml:space="preserve"> the Application in accordance </w:t>
      </w:r>
      <w:r w:rsidR="00612D3E" w:rsidRPr="00091FC2">
        <w:rPr>
          <w:bCs/>
          <w:sz w:val="22"/>
          <w:szCs w:val="22"/>
        </w:rPr>
        <w:t>with</w:t>
      </w:r>
      <w:r w:rsidR="00BA44C1" w:rsidRPr="00091FC2">
        <w:rPr>
          <w:bCs/>
          <w:sz w:val="22"/>
          <w:szCs w:val="22"/>
        </w:rPr>
        <w:t xml:space="preserve"> Rule 38 of the Rules of the Court. </w:t>
      </w:r>
    </w:p>
    <w:p w14:paraId="62B8F17D" w14:textId="77777777" w:rsidR="00BA44C1" w:rsidRPr="00091FC2" w:rsidRDefault="00BA44C1" w:rsidP="00A8297E"/>
    <w:p w14:paraId="59D90720" w14:textId="39A54D1F" w:rsidR="00BA44C1" w:rsidRPr="00091FC2" w:rsidRDefault="0024750A" w:rsidP="00A8297E">
      <w:r w:rsidRPr="00091FC2">
        <w:rPr>
          <w:bCs/>
        </w:rPr>
        <w:t>On</w:t>
      </w:r>
      <w:r w:rsidR="00BA44C1" w:rsidRPr="00091FC2">
        <w:t xml:space="preserve"> the merits, the Respondent State prays the Court to: </w:t>
      </w:r>
    </w:p>
    <w:p w14:paraId="21DB8213" w14:textId="77777777" w:rsidR="00BA44C1" w:rsidRPr="00091FC2" w:rsidRDefault="00BA44C1" w:rsidP="00A8297E">
      <w:pPr>
        <w:rPr>
          <w:bCs/>
        </w:rPr>
      </w:pPr>
    </w:p>
    <w:p w14:paraId="5C0A6EB0" w14:textId="4040038B" w:rsidR="00BA44C1" w:rsidRPr="00091FC2" w:rsidRDefault="004975F5" w:rsidP="00A8297E">
      <w:pPr>
        <w:rPr>
          <w:bCs/>
          <w:sz w:val="22"/>
          <w:szCs w:val="22"/>
        </w:rPr>
      </w:pPr>
      <w:r w:rsidRPr="00091FC2">
        <w:rPr>
          <w:bCs/>
          <w:sz w:val="22"/>
          <w:szCs w:val="22"/>
        </w:rPr>
        <w:lastRenderedPageBreak/>
        <w:t>Find that t</w:t>
      </w:r>
      <w:r w:rsidR="00F32F6B" w:rsidRPr="00091FC2">
        <w:rPr>
          <w:bCs/>
          <w:sz w:val="22"/>
          <w:szCs w:val="22"/>
        </w:rPr>
        <w:t>he Applicant was c</w:t>
      </w:r>
      <w:r w:rsidR="00BA44C1" w:rsidRPr="00091FC2">
        <w:rPr>
          <w:bCs/>
          <w:sz w:val="22"/>
          <w:szCs w:val="22"/>
        </w:rPr>
        <w:t>onvicted</w:t>
      </w:r>
      <w:r w:rsidR="0056009A" w:rsidRPr="00091FC2">
        <w:rPr>
          <w:bCs/>
          <w:sz w:val="22"/>
          <w:szCs w:val="22"/>
        </w:rPr>
        <w:t xml:space="preserve"> </w:t>
      </w:r>
      <w:r w:rsidR="00BA44C1" w:rsidRPr="00091FC2">
        <w:rPr>
          <w:bCs/>
          <w:sz w:val="22"/>
          <w:szCs w:val="22"/>
        </w:rPr>
        <w:t xml:space="preserve">based on the extra-judicial statement which </w:t>
      </w:r>
      <w:r w:rsidR="00093987" w:rsidRPr="00091FC2">
        <w:rPr>
          <w:bCs/>
          <w:sz w:val="22"/>
          <w:szCs w:val="22"/>
        </w:rPr>
        <w:t xml:space="preserve">he </w:t>
      </w:r>
      <w:r w:rsidR="00BA44C1" w:rsidRPr="00091FC2">
        <w:rPr>
          <w:bCs/>
          <w:sz w:val="22"/>
          <w:szCs w:val="22"/>
        </w:rPr>
        <w:t xml:space="preserve">voluntarily made before </w:t>
      </w:r>
      <w:r w:rsidR="0024750A" w:rsidRPr="00091FC2">
        <w:rPr>
          <w:bCs/>
          <w:sz w:val="22"/>
          <w:szCs w:val="22"/>
        </w:rPr>
        <w:t xml:space="preserve">the </w:t>
      </w:r>
      <w:r w:rsidR="00BA44C1" w:rsidRPr="00091FC2">
        <w:rPr>
          <w:bCs/>
          <w:sz w:val="22"/>
          <w:szCs w:val="22"/>
        </w:rPr>
        <w:t xml:space="preserve">justice of peace. </w:t>
      </w:r>
    </w:p>
    <w:p w14:paraId="51A8FAF6" w14:textId="0841495D" w:rsidR="00BA44C1" w:rsidRPr="00091FC2" w:rsidRDefault="004975F5" w:rsidP="00A8297E">
      <w:pPr>
        <w:rPr>
          <w:bCs/>
          <w:sz w:val="22"/>
          <w:szCs w:val="22"/>
        </w:rPr>
      </w:pPr>
      <w:r w:rsidRPr="00091FC2">
        <w:rPr>
          <w:bCs/>
          <w:sz w:val="22"/>
          <w:szCs w:val="22"/>
        </w:rPr>
        <w:t>Find that t</w:t>
      </w:r>
      <w:r w:rsidR="0024750A" w:rsidRPr="00091FC2">
        <w:rPr>
          <w:bCs/>
          <w:sz w:val="22"/>
          <w:szCs w:val="22"/>
        </w:rPr>
        <w:t xml:space="preserve">he Applicant was not tortured </w:t>
      </w:r>
      <w:r w:rsidR="00F32F6B" w:rsidRPr="00091FC2">
        <w:rPr>
          <w:bCs/>
          <w:sz w:val="22"/>
          <w:szCs w:val="22"/>
        </w:rPr>
        <w:t xml:space="preserve">or </w:t>
      </w:r>
      <w:r w:rsidR="00BA44C1" w:rsidRPr="00091FC2">
        <w:rPr>
          <w:bCs/>
          <w:sz w:val="22"/>
          <w:szCs w:val="22"/>
        </w:rPr>
        <w:t xml:space="preserve">induced or forced by the police to make a statement. </w:t>
      </w:r>
    </w:p>
    <w:p w14:paraId="24770850" w14:textId="4BA83273" w:rsidR="00BA44C1" w:rsidRPr="00091FC2" w:rsidRDefault="004975F5" w:rsidP="00A8297E">
      <w:pPr>
        <w:rPr>
          <w:bCs/>
          <w:sz w:val="22"/>
          <w:szCs w:val="22"/>
        </w:rPr>
      </w:pPr>
      <w:r w:rsidRPr="00091FC2">
        <w:rPr>
          <w:bCs/>
          <w:sz w:val="22"/>
          <w:szCs w:val="22"/>
        </w:rPr>
        <w:t xml:space="preserve">Find that the Respondent State </w:t>
      </w:r>
      <w:r w:rsidR="00BA44C1" w:rsidRPr="00091FC2">
        <w:rPr>
          <w:bCs/>
          <w:sz w:val="22"/>
          <w:szCs w:val="22"/>
        </w:rPr>
        <w:t>did not violate Article 7(1)(a) and (d) of the</w:t>
      </w:r>
      <w:r w:rsidR="0024750A" w:rsidRPr="00091FC2">
        <w:rPr>
          <w:bCs/>
          <w:sz w:val="22"/>
          <w:szCs w:val="22"/>
        </w:rPr>
        <w:t xml:space="preserve"> Charter</w:t>
      </w:r>
      <w:r w:rsidR="00BA44C1" w:rsidRPr="00091FC2">
        <w:rPr>
          <w:bCs/>
          <w:sz w:val="22"/>
          <w:szCs w:val="22"/>
        </w:rPr>
        <w:t xml:space="preserve">. </w:t>
      </w:r>
    </w:p>
    <w:p w14:paraId="0DAB67B3" w14:textId="50FAE19C" w:rsidR="00BA44C1" w:rsidRPr="00091FC2" w:rsidRDefault="004975F5" w:rsidP="00A8297E">
      <w:pPr>
        <w:rPr>
          <w:bCs/>
          <w:sz w:val="22"/>
          <w:szCs w:val="22"/>
        </w:rPr>
      </w:pPr>
      <w:r w:rsidRPr="00091FC2">
        <w:rPr>
          <w:bCs/>
          <w:sz w:val="22"/>
          <w:szCs w:val="22"/>
        </w:rPr>
        <w:t xml:space="preserve">Find that the Respondent State </w:t>
      </w:r>
      <w:r w:rsidR="00BA44C1" w:rsidRPr="00091FC2">
        <w:rPr>
          <w:bCs/>
          <w:sz w:val="22"/>
          <w:szCs w:val="22"/>
        </w:rPr>
        <w:t xml:space="preserve">did not violate Article 13(6) </w:t>
      </w:r>
      <w:r w:rsidR="0024750A" w:rsidRPr="00091FC2">
        <w:rPr>
          <w:bCs/>
          <w:sz w:val="22"/>
          <w:szCs w:val="22"/>
        </w:rPr>
        <w:t xml:space="preserve">and 107A(2)(b) </w:t>
      </w:r>
      <w:r w:rsidR="00BA44C1" w:rsidRPr="00091FC2">
        <w:rPr>
          <w:bCs/>
          <w:sz w:val="22"/>
          <w:szCs w:val="22"/>
        </w:rPr>
        <w:t xml:space="preserve">of the United Republic of Tanzania Constitution, 1977. </w:t>
      </w:r>
    </w:p>
    <w:p w14:paraId="64285999" w14:textId="3C77FA4F" w:rsidR="00777C8A" w:rsidRPr="00091FC2" w:rsidRDefault="004975F5" w:rsidP="00A8297E">
      <w:pPr>
        <w:rPr>
          <w:bCs/>
          <w:sz w:val="22"/>
          <w:szCs w:val="22"/>
        </w:rPr>
      </w:pPr>
      <w:r w:rsidRPr="00091FC2">
        <w:rPr>
          <w:bCs/>
          <w:sz w:val="22"/>
          <w:szCs w:val="22"/>
        </w:rPr>
        <w:t>Dismiss the</w:t>
      </w:r>
      <w:r w:rsidR="00777C8A" w:rsidRPr="00091FC2">
        <w:rPr>
          <w:bCs/>
          <w:sz w:val="22"/>
          <w:szCs w:val="22"/>
        </w:rPr>
        <w:t xml:space="preserve"> Application for lack of merit. </w:t>
      </w:r>
    </w:p>
    <w:p w14:paraId="7F0FE5B6" w14:textId="70B0725C" w:rsidR="00777C8A" w:rsidRPr="00091FC2" w:rsidRDefault="004975F5" w:rsidP="00A8297E">
      <w:pPr>
        <w:rPr>
          <w:bCs/>
          <w:sz w:val="22"/>
          <w:szCs w:val="22"/>
        </w:rPr>
      </w:pPr>
      <w:r w:rsidRPr="00091FC2">
        <w:rPr>
          <w:bCs/>
          <w:sz w:val="22"/>
          <w:szCs w:val="22"/>
        </w:rPr>
        <w:t>Dismiss t</w:t>
      </w:r>
      <w:r w:rsidR="00777C8A" w:rsidRPr="00091FC2">
        <w:rPr>
          <w:bCs/>
          <w:sz w:val="22"/>
          <w:szCs w:val="22"/>
        </w:rPr>
        <w:t>he Applicant</w:t>
      </w:r>
      <w:r w:rsidR="00093C4B" w:rsidRPr="00091FC2">
        <w:rPr>
          <w:bCs/>
          <w:sz w:val="22"/>
          <w:szCs w:val="22"/>
        </w:rPr>
        <w:t>’</w:t>
      </w:r>
      <w:r w:rsidR="00777C8A" w:rsidRPr="00091FC2">
        <w:rPr>
          <w:bCs/>
          <w:sz w:val="22"/>
          <w:szCs w:val="22"/>
        </w:rPr>
        <w:t xml:space="preserve">s prayers. </w:t>
      </w:r>
    </w:p>
    <w:p w14:paraId="3EF9A685" w14:textId="5C07660C" w:rsidR="00BA44C1" w:rsidRPr="00091FC2" w:rsidRDefault="004975F5" w:rsidP="00A8297E">
      <w:pPr>
        <w:rPr>
          <w:bCs/>
        </w:rPr>
      </w:pPr>
      <w:r w:rsidRPr="00091FC2">
        <w:rPr>
          <w:bCs/>
          <w:sz w:val="22"/>
          <w:szCs w:val="22"/>
        </w:rPr>
        <w:t xml:space="preserve">Order the Applicant to bear </w:t>
      </w:r>
      <w:r w:rsidR="00777C8A" w:rsidRPr="00091FC2">
        <w:rPr>
          <w:bCs/>
          <w:sz w:val="22"/>
          <w:szCs w:val="22"/>
        </w:rPr>
        <w:t>the costs of this Application.</w:t>
      </w:r>
      <w:r w:rsidR="00C208FA" w:rsidRPr="00091FC2">
        <w:rPr>
          <w:bCs/>
          <w:sz w:val="22"/>
          <w:szCs w:val="22"/>
        </w:rPr>
        <w:t xml:space="preserve"> </w:t>
      </w:r>
    </w:p>
    <w:p w14:paraId="0BD962A9" w14:textId="77777777" w:rsidR="00D3265B" w:rsidRPr="00091FC2" w:rsidRDefault="00D3265B" w:rsidP="00A8297E"/>
    <w:p w14:paraId="19CCEF88" w14:textId="77777777" w:rsidR="00B14B75" w:rsidRPr="00091FC2" w:rsidRDefault="00B14B75" w:rsidP="00A8297E"/>
    <w:p w14:paraId="660E0540" w14:textId="4582CA77" w:rsidR="00B14B75" w:rsidRPr="00091FC2" w:rsidRDefault="00B14B75" w:rsidP="00A8297E">
      <w:bookmarkStart w:id="9" w:name="_Toc136592897"/>
      <w:r w:rsidRPr="00091FC2">
        <w:t>JURISDICTION</w:t>
      </w:r>
      <w:bookmarkEnd w:id="9"/>
    </w:p>
    <w:p w14:paraId="42EC6814" w14:textId="77777777" w:rsidR="00B14B75" w:rsidRPr="00091FC2" w:rsidRDefault="00B14B75" w:rsidP="00A8297E"/>
    <w:p w14:paraId="02619C77" w14:textId="627A8D3F" w:rsidR="00B14B75" w:rsidRPr="00091FC2" w:rsidRDefault="00B14B75" w:rsidP="00A8297E">
      <w:pPr>
        <w:rPr>
          <w:bCs/>
        </w:rPr>
      </w:pPr>
      <w:r w:rsidRPr="00091FC2">
        <w:rPr>
          <w:bCs/>
        </w:rPr>
        <w:t>The Court observes that Article 3 of the Protocol provides as follows:</w:t>
      </w:r>
    </w:p>
    <w:p w14:paraId="1289A200" w14:textId="77777777" w:rsidR="002F46EC" w:rsidRPr="00091FC2" w:rsidRDefault="002F46EC" w:rsidP="00A8297E">
      <w:pPr>
        <w:rPr>
          <w:bCs/>
        </w:rPr>
      </w:pPr>
    </w:p>
    <w:p w14:paraId="133834A5" w14:textId="77777777" w:rsidR="003E5AA5" w:rsidRPr="00091FC2" w:rsidRDefault="00B14B75" w:rsidP="00A8297E">
      <w:pPr>
        <w:rPr>
          <w:bCs/>
          <w:sz w:val="22"/>
          <w:szCs w:val="22"/>
        </w:rPr>
      </w:pPr>
      <w:r w:rsidRPr="00091FC2">
        <w:rPr>
          <w:bCs/>
          <w:sz w:val="22"/>
          <w:szCs w:val="22"/>
        </w:rPr>
        <w:t>The jurisdiction of the Court shall extend to all cases and disputes submitted to it concerning the interpretation and application of the Charter, this Protocol and any other relevant Human Rights instrument ratified by the States concerned.</w:t>
      </w:r>
    </w:p>
    <w:p w14:paraId="4D8454DB" w14:textId="17F0FD75" w:rsidR="00B14B75" w:rsidRPr="00091FC2" w:rsidRDefault="00B14B75" w:rsidP="00A8297E">
      <w:pPr>
        <w:rPr>
          <w:bCs/>
          <w:sz w:val="22"/>
          <w:szCs w:val="22"/>
        </w:rPr>
      </w:pPr>
      <w:r w:rsidRPr="00091FC2">
        <w:rPr>
          <w:bCs/>
          <w:sz w:val="22"/>
          <w:szCs w:val="22"/>
        </w:rPr>
        <w:t>In the event of a dispute as to whether the Court has jurisdiction, the Court shall decide.</w:t>
      </w:r>
    </w:p>
    <w:p w14:paraId="29ED8980" w14:textId="77777777" w:rsidR="00BF13E1" w:rsidRPr="00091FC2" w:rsidRDefault="00BF13E1" w:rsidP="00A8297E">
      <w:pPr>
        <w:rPr>
          <w:bCs/>
        </w:rPr>
      </w:pPr>
    </w:p>
    <w:p w14:paraId="16C658A2" w14:textId="692E227A" w:rsidR="00B14B75" w:rsidRPr="00091FC2" w:rsidRDefault="00B14B75" w:rsidP="00A8297E">
      <w:pPr>
        <w:rPr>
          <w:bCs/>
        </w:rPr>
      </w:pPr>
      <w:r w:rsidRPr="00091FC2">
        <w:rPr>
          <w:bCs/>
        </w:rPr>
        <w:t xml:space="preserve">In accordance with Rule 49(1) of the Rules, “the Court shall </w:t>
      </w:r>
      <w:r w:rsidR="007D1DE9" w:rsidRPr="00091FC2">
        <w:rPr>
          <w:bCs/>
        </w:rPr>
        <w:t xml:space="preserve">conduct </w:t>
      </w:r>
      <w:r w:rsidR="008E7D27" w:rsidRPr="00091FC2">
        <w:rPr>
          <w:bCs/>
        </w:rPr>
        <w:t>preliminary examination of</w:t>
      </w:r>
      <w:r w:rsidRPr="00091FC2">
        <w:rPr>
          <w:bCs/>
        </w:rPr>
        <w:t xml:space="preserve"> its jurisdiction</w:t>
      </w:r>
      <w:r w:rsidR="008B7877" w:rsidRPr="00091FC2">
        <w:rPr>
          <w:bCs/>
        </w:rPr>
        <w:t xml:space="preserve"> </w:t>
      </w:r>
      <w:r w:rsidRPr="00091FC2">
        <w:rPr>
          <w:bCs/>
        </w:rPr>
        <w:t xml:space="preserve">… </w:t>
      </w:r>
      <w:r w:rsidR="00C05C11" w:rsidRPr="00091FC2">
        <w:rPr>
          <w:bCs/>
        </w:rPr>
        <w:t xml:space="preserve">of an Application </w:t>
      </w:r>
      <w:r w:rsidRPr="00091FC2">
        <w:rPr>
          <w:bCs/>
        </w:rPr>
        <w:t xml:space="preserve">in accordance with the Charter, the Protocol and these Rules.” </w:t>
      </w:r>
    </w:p>
    <w:p w14:paraId="5242FE8A" w14:textId="77777777" w:rsidR="00B14B75" w:rsidRPr="00091FC2" w:rsidRDefault="00B14B75" w:rsidP="00A8297E">
      <w:pPr>
        <w:rPr>
          <w:bCs/>
        </w:rPr>
      </w:pPr>
    </w:p>
    <w:p w14:paraId="6F2BDD1B" w14:textId="2FD3E0D1" w:rsidR="00B14B75" w:rsidRPr="00091FC2" w:rsidRDefault="00093CA3" w:rsidP="00A8297E">
      <w:pPr>
        <w:rPr>
          <w:bCs/>
        </w:rPr>
      </w:pPr>
      <w:r w:rsidRPr="00091FC2">
        <w:rPr>
          <w:bCs/>
        </w:rPr>
        <w:t>Based on</w:t>
      </w:r>
      <w:r w:rsidR="00B14B75" w:rsidRPr="00091FC2">
        <w:rPr>
          <w:bCs/>
        </w:rPr>
        <w:t xml:space="preserve"> the above-cited provisions, the Court must, in every application, conduct a</w:t>
      </w:r>
      <w:r w:rsidR="008D4053" w:rsidRPr="00091FC2">
        <w:rPr>
          <w:bCs/>
        </w:rPr>
        <w:t xml:space="preserve"> preliminary</w:t>
      </w:r>
      <w:r w:rsidR="00B14B75" w:rsidRPr="00091FC2">
        <w:rPr>
          <w:bCs/>
        </w:rPr>
        <w:t xml:space="preserve"> assessment of its jurisdiction and dispose of objections thereto, if any.</w:t>
      </w:r>
    </w:p>
    <w:p w14:paraId="20BF12E3" w14:textId="77777777" w:rsidR="007C1E7B" w:rsidRPr="00091FC2" w:rsidRDefault="007C1E7B" w:rsidP="00A8297E">
      <w:pPr>
        <w:rPr>
          <w:bCs/>
        </w:rPr>
      </w:pPr>
    </w:p>
    <w:p w14:paraId="3CAE8C39" w14:textId="46BF39B7" w:rsidR="003E5AA5" w:rsidRPr="00091FC2" w:rsidRDefault="003A08E7" w:rsidP="00A8297E">
      <w:r w:rsidRPr="00091FC2">
        <w:rPr>
          <w:bCs/>
        </w:rPr>
        <w:t>In the present case, the Court notes that the Respondent State raise</w:t>
      </w:r>
      <w:r w:rsidR="008D4053" w:rsidRPr="00091FC2">
        <w:rPr>
          <w:bCs/>
        </w:rPr>
        <w:t>s</w:t>
      </w:r>
      <w:r w:rsidRPr="00091FC2">
        <w:rPr>
          <w:bCs/>
        </w:rPr>
        <w:t xml:space="preserve"> an objection to its material jurisdiction. </w:t>
      </w:r>
      <w:r w:rsidR="002545C3" w:rsidRPr="00091FC2">
        <w:rPr>
          <w:bCs/>
        </w:rPr>
        <w:t>The Court will</w:t>
      </w:r>
      <w:r w:rsidR="00020EEE" w:rsidRPr="00091FC2">
        <w:rPr>
          <w:bCs/>
        </w:rPr>
        <w:t>,</w:t>
      </w:r>
      <w:r w:rsidR="002545C3" w:rsidRPr="00091FC2">
        <w:rPr>
          <w:bCs/>
        </w:rPr>
        <w:t xml:space="preserve"> thus</w:t>
      </w:r>
      <w:r w:rsidR="00020EEE" w:rsidRPr="00091FC2">
        <w:rPr>
          <w:bCs/>
        </w:rPr>
        <w:t>,</w:t>
      </w:r>
      <w:r w:rsidR="002545C3" w:rsidRPr="00091FC2">
        <w:rPr>
          <w:bCs/>
        </w:rPr>
        <w:t xml:space="preserve"> address </w:t>
      </w:r>
      <w:r w:rsidR="0024750A" w:rsidRPr="00091FC2">
        <w:rPr>
          <w:bCs/>
        </w:rPr>
        <w:t>(</w:t>
      </w:r>
      <w:r w:rsidR="002C75A2" w:rsidRPr="00091FC2">
        <w:rPr>
          <w:bCs/>
        </w:rPr>
        <w:t>A</w:t>
      </w:r>
      <w:r w:rsidR="0024750A" w:rsidRPr="00091FC2">
        <w:rPr>
          <w:bCs/>
        </w:rPr>
        <w:t xml:space="preserve">) </w:t>
      </w:r>
      <w:r w:rsidR="002545C3" w:rsidRPr="00091FC2">
        <w:rPr>
          <w:bCs/>
        </w:rPr>
        <w:t>this objection before dealing with other aspects of its jurisdiction</w:t>
      </w:r>
      <w:r w:rsidR="002C75A2" w:rsidRPr="00091FC2">
        <w:rPr>
          <w:bCs/>
        </w:rPr>
        <w:t xml:space="preserve"> </w:t>
      </w:r>
      <w:r w:rsidR="008D4053" w:rsidRPr="00091FC2">
        <w:rPr>
          <w:bCs/>
        </w:rPr>
        <w:t>(</w:t>
      </w:r>
      <w:r w:rsidR="002C75A2" w:rsidRPr="00091FC2">
        <w:rPr>
          <w:bCs/>
        </w:rPr>
        <w:t>B</w:t>
      </w:r>
      <w:r w:rsidR="008D4053" w:rsidRPr="00091FC2">
        <w:rPr>
          <w:bCs/>
        </w:rPr>
        <w:t>), if</w:t>
      </w:r>
      <w:r w:rsidR="001B2323" w:rsidRPr="00091FC2">
        <w:rPr>
          <w:bCs/>
        </w:rPr>
        <w:t xml:space="preserve"> necessary</w:t>
      </w:r>
      <w:r w:rsidR="00020EEE" w:rsidRPr="00091FC2">
        <w:rPr>
          <w:bCs/>
        </w:rPr>
        <w:t>.</w:t>
      </w:r>
    </w:p>
    <w:p w14:paraId="2A566429" w14:textId="77777777" w:rsidR="00DB50B2" w:rsidRPr="00091FC2" w:rsidRDefault="00DB50B2" w:rsidP="00A8297E"/>
    <w:p w14:paraId="4565126C" w14:textId="44A46B03" w:rsidR="00B14B75" w:rsidRPr="00091FC2" w:rsidRDefault="00B14B75" w:rsidP="00A8297E">
      <w:bookmarkStart w:id="10" w:name="_Toc4589343"/>
      <w:bookmarkStart w:id="11" w:name="_Toc17890833"/>
      <w:bookmarkStart w:id="12" w:name="_Toc18508025"/>
      <w:bookmarkStart w:id="13" w:name="_Toc36174910"/>
      <w:bookmarkStart w:id="14" w:name="_Toc36201053"/>
      <w:bookmarkStart w:id="15" w:name="_Toc36202440"/>
      <w:bookmarkStart w:id="16" w:name="_Toc136592898"/>
      <w:r w:rsidRPr="00091FC2">
        <w:t>Objectio</w:t>
      </w:r>
      <w:r w:rsidR="00A66648" w:rsidRPr="00091FC2">
        <w:t>n</w:t>
      </w:r>
      <w:r w:rsidRPr="00091FC2">
        <w:t xml:space="preserve"> to material jurisdiction</w:t>
      </w:r>
      <w:bookmarkEnd w:id="10"/>
      <w:bookmarkEnd w:id="11"/>
      <w:bookmarkEnd w:id="12"/>
      <w:bookmarkEnd w:id="13"/>
      <w:bookmarkEnd w:id="14"/>
      <w:bookmarkEnd w:id="15"/>
      <w:bookmarkEnd w:id="16"/>
      <w:r w:rsidRPr="00091FC2">
        <w:t xml:space="preserve"> </w:t>
      </w:r>
    </w:p>
    <w:p w14:paraId="5180A204" w14:textId="77777777" w:rsidR="00B14B75" w:rsidRPr="00091FC2" w:rsidRDefault="00B14B75" w:rsidP="00A8297E"/>
    <w:p w14:paraId="1ACC6AB8" w14:textId="0F49399B" w:rsidR="00B0331F" w:rsidRPr="00091FC2" w:rsidRDefault="009525CD" w:rsidP="00A8297E">
      <w:pPr>
        <w:rPr>
          <w:bCs/>
        </w:rPr>
      </w:pPr>
      <w:r w:rsidRPr="00091FC2">
        <w:rPr>
          <w:bCs/>
        </w:rPr>
        <w:t xml:space="preserve">Citing </w:t>
      </w:r>
      <w:r w:rsidRPr="00091FC2">
        <w:rPr>
          <w:bCs/>
          <w:i/>
        </w:rPr>
        <w:t>Ernest Francis Mtingwi v. Malawi</w:t>
      </w:r>
      <w:r w:rsidRPr="00091FC2">
        <w:rPr>
          <w:bCs/>
        </w:rPr>
        <w:t>, t</w:t>
      </w:r>
      <w:r w:rsidR="003A08E7" w:rsidRPr="00091FC2">
        <w:rPr>
          <w:bCs/>
        </w:rPr>
        <w:t xml:space="preserve">he Respondent State avers that the Court has no appellate jurisdiction to </w:t>
      </w:r>
      <w:r w:rsidRPr="00091FC2">
        <w:rPr>
          <w:bCs/>
        </w:rPr>
        <w:t xml:space="preserve">determine matters that have been </w:t>
      </w:r>
      <w:r w:rsidR="003A08E7" w:rsidRPr="00091FC2">
        <w:rPr>
          <w:bCs/>
        </w:rPr>
        <w:t>determined</w:t>
      </w:r>
      <w:r w:rsidRPr="00091FC2">
        <w:rPr>
          <w:bCs/>
        </w:rPr>
        <w:t xml:space="preserve"> conclusively</w:t>
      </w:r>
      <w:r w:rsidR="003A08E7" w:rsidRPr="00091FC2">
        <w:rPr>
          <w:bCs/>
        </w:rPr>
        <w:t xml:space="preserve"> by the Court of Appeal of Tanzania, </w:t>
      </w:r>
      <w:r w:rsidRPr="00091FC2">
        <w:rPr>
          <w:bCs/>
        </w:rPr>
        <w:t>in particular</w:t>
      </w:r>
      <w:r w:rsidR="00A66648" w:rsidRPr="00091FC2">
        <w:rPr>
          <w:bCs/>
        </w:rPr>
        <w:t>,</w:t>
      </w:r>
      <w:r w:rsidRPr="00091FC2">
        <w:rPr>
          <w:bCs/>
        </w:rPr>
        <w:t xml:space="preserve"> the admission of an</w:t>
      </w:r>
      <w:r w:rsidR="003A08E7" w:rsidRPr="00091FC2">
        <w:rPr>
          <w:bCs/>
        </w:rPr>
        <w:t xml:space="preserve"> extra-judicial statement as evidence</w:t>
      </w:r>
      <w:r w:rsidRPr="00091FC2">
        <w:rPr>
          <w:bCs/>
        </w:rPr>
        <w:t>. Further, the Respondent State argues that the Court does not have j</w:t>
      </w:r>
      <w:r w:rsidR="003A08E7" w:rsidRPr="00091FC2">
        <w:rPr>
          <w:bCs/>
        </w:rPr>
        <w:t xml:space="preserve">urisdiction to quash </w:t>
      </w:r>
      <w:r w:rsidRPr="00091FC2">
        <w:rPr>
          <w:bCs/>
        </w:rPr>
        <w:t xml:space="preserve">the conviction, set aside the sentence and release </w:t>
      </w:r>
      <w:r w:rsidR="007C1E7B" w:rsidRPr="00091FC2">
        <w:rPr>
          <w:bCs/>
        </w:rPr>
        <w:t xml:space="preserve">the </w:t>
      </w:r>
      <w:r w:rsidRPr="00091FC2">
        <w:rPr>
          <w:bCs/>
        </w:rPr>
        <w:t xml:space="preserve">Applicant from prison. </w:t>
      </w:r>
      <w:r w:rsidR="007314A0" w:rsidRPr="00091FC2">
        <w:rPr>
          <w:bCs/>
        </w:rPr>
        <w:t>T</w:t>
      </w:r>
      <w:r w:rsidRPr="00091FC2">
        <w:rPr>
          <w:bCs/>
        </w:rPr>
        <w:t xml:space="preserve">he Respondent State </w:t>
      </w:r>
      <w:r w:rsidR="007314A0" w:rsidRPr="00091FC2">
        <w:rPr>
          <w:bCs/>
        </w:rPr>
        <w:t xml:space="preserve">also </w:t>
      </w:r>
      <w:r w:rsidRPr="00091FC2">
        <w:rPr>
          <w:bCs/>
        </w:rPr>
        <w:t xml:space="preserve">submits that the Application does not raise any issue on the interpretation of the Charter, </w:t>
      </w:r>
      <w:r w:rsidR="008D4053" w:rsidRPr="00091FC2">
        <w:rPr>
          <w:bCs/>
        </w:rPr>
        <w:t xml:space="preserve">the </w:t>
      </w:r>
      <w:r w:rsidRPr="00091FC2">
        <w:rPr>
          <w:bCs/>
        </w:rPr>
        <w:t xml:space="preserve">Protocol or </w:t>
      </w:r>
      <w:r w:rsidR="008D4053" w:rsidRPr="00091FC2">
        <w:rPr>
          <w:bCs/>
        </w:rPr>
        <w:t xml:space="preserve">any </w:t>
      </w:r>
      <w:r w:rsidRPr="00091FC2">
        <w:rPr>
          <w:bCs/>
        </w:rPr>
        <w:t>relevant human rights instruments ratified by Tanzania</w:t>
      </w:r>
      <w:r w:rsidR="008D4053" w:rsidRPr="00091FC2">
        <w:rPr>
          <w:bCs/>
        </w:rPr>
        <w:t>.</w:t>
      </w:r>
      <w:r w:rsidRPr="00091FC2">
        <w:rPr>
          <w:bCs/>
        </w:rPr>
        <w:t xml:space="preserve"> </w:t>
      </w:r>
      <w:r w:rsidR="008D4053" w:rsidRPr="00091FC2">
        <w:rPr>
          <w:bCs/>
        </w:rPr>
        <w:t>R</w:t>
      </w:r>
      <w:r w:rsidRPr="00091FC2">
        <w:rPr>
          <w:bCs/>
        </w:rPr>
        <w:t xml:space="preserve">ather, it raises legal and evidentiary issues that were dealt with by the domestic courts. </w:t>
      </w:r>
    </w:p>
    <w:p w14:paraId="78FE32F1" w14:textId="4F5ED932" w:rsidR="009525CD" w:rsidRPr="00091FC2" w:rsidRDefault="009525CD" w:rsidP="00A8297E">
      <w:pPr>
        <w:rPr>
          <w:bCs/>
        </w:rPr>
      </w:pPr>
    </w:p>
    <w:p w14:paraId="4271C409" w14:textId="6D54B852" w:rsidR="00B0331F" w:rsidRPr="00091FC2" w:rsidRDefault="00B0331F" w:rsidP="00A8297E">
      <w:r w:rsidRPr="00091FC2">
        <w:rPr>
          <w:bCs/>
        </w:rPr>
        <w:t xml:space="preserve">The Applicant opposes the objection </w:t>
      </w:r>
      <w:r w:rsidR="007314A0" w:rsidRPr="00091FC2">
        <w:rPr>
          <w:bCs/>
        </w:rPr>
        <w:t xml:space="preserve">by </w:t>
      </w:r>
      <w:r w:rsidRPr="00091FC2">
        <w:rPr>
          <w:bCs/>
        </w:rPr>
        <w:t>arguing that</w:t>
      </w:r>
      <w:r w:rsidR="007314A0" w:rsidRPr="00091FC2">
        <w:rPr>
          <w:bCs/>
        </w:rPr>
        <w:t>,</w:t>
      </w:r>
      <w:r w:rsidRPr="00091FC2">
        <w:rPr>
          <w:bCs/>
        </w:rPr>
        <w:t xml:space="preserve"> although the Court is not an appellate</w:t>
      </w:r>
      <w:r w:rsidRPr="00091FC2">
        <w:t xml:space="preserve"> court, it is vested with jurisdiction over the Application as it alleges violation of rights protected by the Charter. Citing</w:t>
      </w:r>
      <w:r w:rsidRPr="00091FC2">
        <w:rPr>
          <w:i/>
        </w:rPr>
        <w:t xml:space="preserve"> Alex Thomas v. Tanzani</w:t>
      </w:r>
      <w:r w:rsidRPr="00091FC2">
        <w:t xml:space="preserve">a, the Applicant contends that the Court has jurisdiction to determine whether the </w:t>
      </w:r>
      <w:r w:rsidR="008D4053" w:rsidRPr="00091FC2">
        <w:t xml:space="preserve">treatment of the </w:t>
      </w:r>
      <w:r w:rsidRPr="00091FC2">
        <w:t xml:space="preserve">alleged legal and evidentiary anomalies </w:t>
      </w:r>
      <w:r w:rsidR="008D4053" w:rsidRPr="00091FC2">
        <w:t xml:space="preserve">by </w:t>
      </w:r>
      <w:r w:rsidRPr="00091FC2">
        <w:t xml:space="preserve">the domestic courts </w:t>
      </w:r>
      <w:r w:rsidR="00F82B90" w:rsidRPr="00091FC2">
        <w:t>compl</w:t>
      </w:r>
      <w:r w:rsidR="008D4053" w:rsidRPr="00091FC2">
        <w:t>ies</w:t>
      </w:r>
      <w:r w:rsidR="00F82B90" w:rsidRPr="00091FC2">
        <w:t xml:space="preserve"> with </w:t>
      </w:r>
      <w:r w:rsidRPr="00091FC2">
        <w:t xml:space="preserve">the standards </w:t>
      </w:r>
      <w:r w:rsidR="008D4053" w:rsidRPr="00091FC2">
        <w:t xml:space="preserve">of </w:t>
      </w:r>
      <w:r w:rsidRPr="00091FC2">
        <w:t>the Charter.</w:t>
      </w:r>
    </w:p>
    <w:p w14:paraId="458B53D7" w14:textId="273D75A1" w:rsidR="005202EE" w:rsidRPr="00091FC2" w:rsidRDefault="005202EE" w:rsidP="00A8297E">
      <w:r w:rsidRPr="00091FC2">
        <w:lastRenderedPageBreak/>
        <w:t>***</w:t>
      </w:r>
    </w:p>
    <w:p w14:paraId="7B648957" w14:textId="77777777" w:rsidR="009A3D86" w:rsidRPr="00091FC2" w:rsidRDefault="009A3D86" w:rsidP="00A8297E">
      <w:pPr>
        <w:rPr>
          <w:rFonts w:eastAsia="Calibri"/>
          <w:u w:color="000000"/>
          <w:bdr w:val="nil"/>
          <w:lang w:eastAsia="en-GB"/>
        </w:rPr>
      </w:pPr>
    </w:p>
    <w:p w14:paraId="62937896" w14:textId="1139CD0A" w:rsidR="003C1DA6" w:rsidRPr="00091FC2" w:rsidRDefault="003C1DA6" w:rsidP="00A8297E">
      <w:pPr>
        <w:rPr>
          <w:rFonts w:eastAsia="Calibri"/>
          <w:u w:color="000000"/>
          <w:bdr w:val="nil"/>
          <w:lang w:eastAsia="en-GB"/>
        </w:rPr>
      </w:pPr>
      <w:r w:rsidRPr="00091FC2">
        <w:rPr>
          <w:rFonts w:eastAsia="Calibri"/>
          <w:u w:color="000000"/>
          <w:bdr w:val="nil"/>
          <w:lang w:eastAsia="en-GB"/>
        </w:rPr>
        <w:t>The Court recalls that by virtue of Article 3(1) of the Protocol</w:t>
      </w:r>
      <w:r w:rsidR="00093987" w:rsidRPr="00091FC2">
        <w:rPr>
          <w:rFonts w:eastAsia="Calibri"/>
          <w:u w:color="000000"/>
          <w:bdr w:val="nil"/>
          <w:lang w:eastAsia="en-GB"/>
        </w:rPr>
        <w:t>,</w:t>
      </w:r>
      <w:r w:rsidRPr="00091FC2">
        <w:rPr>
          <w:rFonts w:eastAsia="Calibri"/>
          <w:u w:color="000000"/>
          <w:bdr w:val="nil"/>
          <w:lang w:eastAsia="en-GB"/>
        </w:rPr>
        <w:t xml:space="preserve"> it has jurisdiction to examine any application submitted to it provided that the rights of which a violation is alleged are protected by the Charter or any other human rights instrument ratified by the Respondent State.</w:t>
      </w:r>
      <w:r w:rsidRPr="00091FC2">
        <w:rPr>
          <w:rFonts w:eastAsia="Calibri"/>
          <w:u w:color="000000"/>
          <w:bdr w:val="nil"/>
          <w:vertAlign w:val="superscript"/>
          <w:lang w:eastAsia="en-GB"/>
        </w:rPr>
        <w:footnoteReference w:id="6"/>
      </w:r>
    </w:p>
    <w:p w14:paraId="3F527E33" w14:textId="77777777" w:rsidR="008B7877" w:rsidRPr="00091FC2" w:rsidRDefault="008B7877" w:rsidP="00A8297E">
      <w:pPr>
        <w:rPr>
          <w:rFonts w:eastAsia="Calibri"/>
          <w:u w:color="000000"/>
          <w:bdr w:val="nil"/>
          <w:lang w:eastAsia="en-GB"/>
        </w:rPr>
      </w:pPr>
    </w:p>
    <w:p w14:paraId="636DEDC2" w14:textId="22D24493" w:rsidR="007C1E7B" w:rsidRPr="00091FC2" w:rsidRDefault="008960F5" w:rsidP="00A8297E">
      <w:pPr>
        <w:rPr>
          <w:rFonts w:eastAsia="Calibri"/>
          <w:u w:color="000000"/>
          <w:bdr w:val="nil"/>
          <w:lang w:eastAsia="en-GB"/>
        </w:rPr>
      </w:pPr>
      <w:r w:rsidRPr="00091FC2">
        <w:rPr>
          <w:rFonts w:eastAsia="Calibri"/>
          <w:u w:color="000000"/>
          <w:bdr w:val="nil"/>
          <w:lang w:eastAsia="en-GB"/>
        </w:rPr>
        <w:t>The Court notes that the Respondent State</w:t>
      </w:r>
      <w:r w:rsidR="0092088E" w:rsidRPr="00091FC2">
        <w:rPr>
          <w:rFonts w:eastAsia="Calibri"/>
          <w:u w:color="000000"/>
          <w:bdr w:val="nil"/>
          <w:lang w:eastAsia="en-GB"/>
        </w:rPr>
        <w:t xml:space="preserve">’s objection to its material jurisdiction is premised on </w:t>
      </w:r>
      <w:r w:rsidRPr="00091FC2">
        <w:rPr>
          <w:rFonts w:eastAsia="Calibri"/>
          <w:u w:color="000000"/>
          <w:bdr w:val="nil"/>
          <w:lang w:eastAsia="en-GB"/>
        </w:rPr>
        <w:t>three (3) grounds namely: (i) the Court vesting itself with appellate jurisdiction over matters determined by its domestic courts; (ii) the Court</w:t>
      </w:r>
      <w:r w:rsidR="00093C4B" w:rsidRPr="00091FC2">
        <w:rPr>
          <w:rFonts w:eastAsia="Calibri"/>
          <w:u w:color="000000"/>
          <w:bdr w:val="nil"/>
          <w:lang w:eastAsia="en-GB"/>
        </w:rPr>
        <w:t>’</w:t>
      </w:r>
      <w:r w:rsidRPr="00091FC2">
        <w:rPr>
          <w:rFonts w:eastAsia="Calibri"/>
          <w:u w:color="000000"/>
          <w:bdr w:val="nil"/>
          <w:lang w:eastAsia="en-GB"/>
        </w:rPr>
        <w:t xml:space="preserve">s powers to quash convictions and set aside the death penalty legally meted </w:t>
      </w:r>
      <w:r w:rsidR="00D41C52" w:rsidRPr="00091FC2">
        <w:rPr>
          <w:rFonts w:eastAsia="Calibri"/>
          <w:u w:color="000000"/>
          <w:bdr w:val="nil"/>
          <w:lang w:eastAsia="en-GB"/>
        </w:rPr>
        <w:t xml:space="preserve">out </w:t>
      </w:r>
      <w:r w:rsidRPr="00091FC2">
        <w:rPr>
          <w:rFonts w:eastAsia="Calibri"/>
          <w:u w:color="000000"/>
          <w:bdr w:val="nil"/>
          <w:lang w:eastAsia="en-GB"/>
        </w:rPr>
        <w:t>on the Applicant; and (iii) the Application raising legal issues covered in its municipal laws</w:t>
      </w:r>
      <w:r w:rsidR="00F82B90" w:rsidRPr="00091FC2">
        <w:rPr>
          <w:rFonts w:eastAsia="Calibri"/>
          <w:u w:color="000000"/>
          <w:bdr w:val="nil"/>
          <w:lang w:eastAsia="en-GB"/>
        </w:rPr>
        <w:t xml:space="preserve"> </w:t>
      </w:r>
      <w:r w:rsidRPr="00091FC2">
        <w:rPr>
          <w:rFonts w:eastAsia="Calibri"/>
          <w:u w:color="000000"/>
          <w:bdr w:val="nil"/>
          <w:lang w:eastAsia="en-GB"/>
        </w:rPr>
        <w:t>rather than the Charter or ratified international human rights instruments</w:t>
      </w:r>
      <w:r w:rsidR="00F82B90" w:rsidRPr="00091FC2">
        <w:rPr>
          <w:rFonts w:eastAsia="Calibri"/>
          <w:u w:color="000000"/>
          <w:bdr w:val="nil"/>
          <w:lang w:eastAsia="en-GB"/>
        </w:rPr>
        <w:t xml:space="preserve">, that </w:t>
      </w:r>
      <w:r w:rsidR="008D4053" w:rsidRPr="00091FC2">
        <w:rPr>
          <w:rFonts w:eastAsia="Calibri"/>
          <w:u w:color="000000"/>
          <w:bdr w:val="nil"/>
          <w:lang w:eastAsia="en-GB"/>
        </w:rPr>
        <w:t xml:space="preserve">have </w:t>
      </w:r>
      <w:r w:rsidR="00F82B90" w:rsidRPr="00091FC2">
        <w:rPr>
          <w:rFonts w:eastAsia="Calibri"/>
          <w:u w:color="000000"/>
          <w:bdr w:val="nil"/>
          <w:lang w:eastAsia="en-GB"/>
        </w:rPr>
        <w:t xml:space="preserve">already </w:t>
      </w:r>
      <w:r w:rsidR="008D4053" w:rsidRPr="00091FC2">
        <w:rPr>
          <w:rFonts w:eastAsia="Calibri"/>
          <w:u w:color="000000"/>
          <w:bdr w:val="nil"/>
          <w:lang w:eastAsia="en-GB"/>
        </w:rPr>
        <w:t xml:space="preserve">been </w:t>
      </w:r>
      <w:r w:rsidR="00F82B90" w:rsidRPr="00091FC2">
        <w:rPr>
          <w:rFonts w:eastAsia="Calibri"/>
          <w:u w:color="000000"/>
          <w:bdr w:val="nil"/>
          <w:lang w:eastAsia="en-GB"/>
        </w:rPr>
        <w:t>determined by its domestic courts</w:t>
      </w:r>
      <w:r w:rsidRPr="00091FC2">
        <w:rPr>
          <w:rFonts w:eastAsia="Calibri"/>
          <w:u w:color="000000"/>
          <w:bdr w:val="nil"/>
          <w:lang w:eastAsia="en-GB"/>
        </w:rPr>
        <w:t>.</w:t>
      </w:r>
      <w:r w:rsidR="0092088E" w:rsidRPr="00091FC2">
        <w:rPr>
          <w:rFonts w:eastAsia="Calibri"/>
          <w:u w:color="000000"/>
          <w:bdr w:val="nil"/>
          <w:lang w:eastAsia="en-GB"/>
        </w:rPr>
        <w:t xml:space="preserve"> The Court will now address each of the grounds raised by the Respondent State in support of its objection.</w:t>
      </w:r>
    </w:p>
    <w:p w14:paraId="6D103723" w14:textId="3D353263" w:rsidR="008960F5" w:rsidRPr="00091FC2" w:rsidRDefault="008960F5" w:rsidP="00A8297E">
      <w:pPr>
        <w:rPr>
          <w:rFonts w:eastAsia="Calibri"/>
          <w:u w:color="000000"/>
          <w:bdr w:val="nil"/>
          <w:lang w:eastAsia="en-GB"/>
        </w:rPr>
      </w:pPr>
    </w:p>
    <w:p w14:paraId="7C510E90" w14:textId="77777777" w:rsidR="006F5C73" w:rsidRPr="00091FC2" w:rsidRDefault="006F5C73" w:rsidP="00A8297E">
      <w:pPr>
        <w:rPr>
          <w:rFonts w:eastAsia="Calibri"/>
          <w:u w:color="000000"/>
          <w:bdr w:val="nil"/>
          <w:lang w:eastAsia="en-GB"/>
        </w:rPr>
      </w:pPr>
    </w:p>
    <w:p w14:paraId="3CDAE3D8" w14:textId="77777777" w:rsidR="00A412B9" w:rsidRPr="00091FC2" w:rsidRDefault="00A412B9" w:rsidP="00A8297E">
      <w:pPr>
        <w:rPr>
          <w:rFonts w:eastAsia="Calibri"/>
          <w:u w:color="000000"/>
          <w:bdr w:val="nil"/>
          <w:lang w:eastAsia="en-GB"/>
        </w:rPr>
      </w:pPr>
    </w:p>
    <w:p w14:paraId="1F210F04" w14:textId="734267E3" w:rsidR="0024750A" w:rsidRPr="00091FC2" w:rsidRDefault="00207E9E" w:rsidP="00A8297E">
      <w:pPr>
        <w:rPr>
          <w:rFonts w:eastAsia="Calibri"/>
          <w:u w:color="000000"/>
          <w:bdr w:val="nil"/>
          <w:lang w:eastAsia="en-GB"/>
        </w:rPr>
      </w:pPr>
      <w:r w:rsidRPr="00091FC2">
        <w:rPr>
          <w:rFonts w:eastAsia="Calibri"/>
          <w:bCs/>
          <w:u w:color="000000"/>
          <w:bdr w:val="nil"/>
          <w:lang w:eastAsia="en-GB"/>
        </w:rPr>
        <w:t xml:space="preserve">Regarding the first ground, </w:t>
      </w:r>
      <w:r w:rsidR="0034728D" w:rsidRPr="00091FC2">
        <w:rPr>
          <w:rFonts w:eastAsia="Calibri"/>
          <w:bCs/>
          <w:u w:color="000000"/>
          <w:bdr w:val="nil"/>
          <w:lang w:eastAsia="en-GB"/>
        </w:rPr>
        <w:t xml:space="preserve">the </w:t>
      </w:r>
      <w:r w:rsidR="006A2FA0" w:rsidRPr="00091FC2">
        <w:rPr>
          <w:rFonts w:eastAsia="Calibri"/>
          <w:bCs/>
          <w:u w:color="000000"/>
          <w:bdr w:val="nil"/>
          <w:lang w:eastAsia="en-GB"/>
        </w:rPr>
        <w:t xml:space="preserve">Court recalls </w:t>
      </w:r>
      <w:r w:rsidRPr="00091FC2">
        <w:rPr>
          <w:rFonts w:eastAsia="Calibri"/>
          <w:bCs/>
          <w:u w:color="000000"/>
          <w:bdr w:val="nil"/>
          <w:lang w:eastAsia="en-GB"/>
        </w:rPr>
        <w:t>its jurisprudence</w:t>
      </w:r>
      <w:r w:rsidRPr="00091FC2">
        <w:rPr>
          <w:rFonts w:eastAsia="Calibri"/>
          <w:u w:color="000000"/>
          <w:bdr w:val="nil"/>
          <w:lang w:eastAsia="en-GB"/>
        </w:rPr>
        <w:t xml:space="preserve"> </w:t>
      </w:r>
      <w:r w:rsidR="006A2FA0" w:rsidRPr="00091FC2">
        <w:rPr>
          <w:rFonts w:eastAsia="Calibri"/>
          <w:u w:color="000000"/>
          <w:bdr w:val="nil"/>
          <w:lang w:eastAsia="en-GB"/>
        </w:rPr>
        <w:t>that it does not exercise appellate jurisdiction</w:t>
      </w:r>
      <w:r w:rsidR="00C74C23" w:rsidRPr="00091FC2">
        <w:rPr>
          <w:rFonts w:eastAsia="Calibri"/>
          <w:u w:color="000000"/>
          <w:bdr w:val="nil"/>
          <w:lang w:eastAsia="en-GB"/>
        </w:rPr>
        <w:t xml:space="preserve"> </w:t>
      </w:r>
      <w:r w:rsidR="006A2FA0" w:rsidRPr="00091FC2">
        <w:rPr>
          <w:rFonts w:eastAsia="Calibri"/>
          <w:u w:color="000000"/>
          <w:bdr w:val="nil"/>
          <w:lang w:eastAsia="en-GB"/>
        </w:rPr>
        <w:t>with respect to claims already examined by national courts.</w:t>
      </w:r>
      <w:r w:rsidR="006A2FA0" w:rsidRPr="00091FC2">
        <w:rPr>
          <w:rStyle w:val="FootnoteReference"/>
          <w:rFonts w:ascii="Arial" w:eastAsia="Calibri" w:hAnsi="Arial" w:cs="Arial"/>
          <w:u w:color="000000"/>
          <w:bdr w:val="nil"/>
          <w:lang w:eastAsia="en-GB"/>
        </w:rPr>
        <w:footnoteReference w:id="7"/>
      </w:r>
      <w:r w:rsidR="006A2FA0" w:rsidRPr="00091FC2">
        <w:rPr>
          <w:rFonts w:eastAsia="Calibri"/>
          <w:u w:color="000000"/>
          <w:bdr w:val="nil"/>
          <w:lang w:eastAsia="en-GB"/>
        </w:rPr>
        <w:t xml:space="preserve"> Rather, </w:t>
      </w:r>
      <w:r w:rsidR="009A3D86" w:rsidRPr="00091FC2">
        <w:rPr>
          <w:rFonts w:eastAsia="Calibri"/>
          <w:u w:color="000000"/>
          <w:bdr w:val="nil"/>
          <w:lang w:eastAsia="en-GB"/>
        </w:rPr>
        <w:t xml:space="preserve">it </w:t>
      </w:r>
      <w:r w:rsidR="006A2FA0" w:rsidRPr="00091FC2">
        <w:rPr>
          <w:rFonts w:eastAsia="Calibri"/>
          <w:u w:color="000000"/>
          <w:bdr w:val="nil"/>
          <w:lang w:eastAsia="en-GB"/>
        </w:rPr>
        <w:t xml:space="preserve">retains the power to assess the propriety of domestic proceedings against </w:t>
      </w:r>
      <w:r w:rsidR="007C1E7B" w:rsidRPr="00091FC2">
        <w:rPr>
          <w:rFonts w:eastAsia="Calibri"/>
          <w:u w:color="000000"/>
          <w:bdr w:val="nil"/>
          <w:lang w:eastAsia="en-GB"/>
        </w:rPr>
        <w:t xml:space="preserve">the </w:t>
      </w:r>
      <w:r w:rsidR="006A2FA0" w:rsidRPr="00091FC2">
        <w:rPr>
          <w:rFonts w:eastAsia="Calibri"/>
          <w:u w:color="000000"/>
          <w:bdr w:val="nil"/>
          <w:lang w:eastAsia="en-GB"/>
        </w:rPr>
        <w:t>standards set out in international human rights instruments ratified by the State concerned.</w:t>
      </w:r>
      <w:r w:rsidR="006A2FA0" w:rsidRPr="00091FC2">
        <w:rPr>
          <w:rStyle w:val="FootnoteReference"/>
          <w:rFonts w:ascii="Arial" w:eastAsia="Calibri" w:hAnsi="Arial" w:cs="Arial"/>
          <w:u w:color="000000"/>
          <w:bdr w:val="nil"/>
          <w:lang w:eastAsia="en-GB"/>
        </w:rPr>
        <w:footnoteReference w:id="8"/>
      </w:r>
      <w:r w:rsidR="0034728D" w:rsidRPr="00091FC2">
        <w:rPr>
          <w:rFonts w:eastAsia="Calibri"/>
          <w:u w:color="000000"/>
          <w:bdr w:val="nil"/>
          <w:lang w:eastAsia="en-GB"/>
        </w:rPr>
        <w:t xml:space="preserve"> </w:t>
      </w:r>
    </w:p>
    <w:p w14:paraId="22553D2A" w14:textId="77777777" w:rsidR="0024750A" w:rsidRPr="00091FC2" w:rsidRDefault="0024750A" w:rsidP="00A8297E">
      <w:pPr>
        <w:rPr>
          <w:rFonts w:eastAsia="Calibri"/>
          <w:u w:color="000000"/>
          <w:bdr w:val="nil"/>
          <w:lang w:eastAsia="en-GB"/>
        </w:rPr>
      </w:pPr>
    </w:p>
    <w:p w14:paraId="4A6359FF" w14:textId="434C7C5A" w:rsidR="00C94CB5" w:rsidRPr="00091FC2" w:rsidRDefault="006A2FA0" w:rsidP="00A8297E">
      <w:pPr>
        <w:rPr>
          <w:rFonts w:eastAsia="Calibri"/>
          <w:u w:color="000000"/>
          <w:bdr w:val="nil"/>
          <w:lang w:eastAsia="en-GB"/>
        </w:rPr>
      </w:pPr>
      <w:r w:rsidRPr="00091FC2">
        <w:rPr>
          <w:rFonts w:eastAsia="Calibri"/>
          <w:u w:color="000000"/>
          <w:bdr w:val="nil"/>
          <w:lang w:eastAsia="en-GB"/>
        </w:rPr>
        <w:t xml:space="preserve">Therefore, the Court </w:t>
      </w:r>
      <w:r w:rsidR="007C1E7B" w:rsidRPr="00091FC2">
        <w:rPr>
          <w:rFonts w:eastAsia="Calibri"/>
          <w:u w:color="000000"/>
          <w:bdr w:val="nil"/>
          <w:lang w:eastAsia="en-GB"/>
        </w:rPr>
        <w:t xml:space="preserve">will </w:t>
      </w:r>
      <w:r w:rsidR="00C94CB5" w:rsidRPr="00091FC2">
        <w:rPr>
          <w:rFonts w:eastAsia="Calibri"/>
          <w:u w:color="000000"/>
          <w:bdr w:val="nil"/>
          <w:lang w:eastAsia="en-GB"/>
        </w:rPr>
        <w:t xml:space="preserve">neither be sitting as an appellate court nor </w:t>
      </w:r>
      <w:r w:rsidR="00F82B90" w:rsidRPr="00091FC2">
        <w:rPr>
          <w:rFonts w:eastAsia="Calibri"/>
          <w:u w:color="000000"/>
          <w:bdr w:val="nil"/>
          <w:lang w:eastAsia="en-GB"/>
        </w:rPr>
        <w:t xml:space="preserve">be </w:t>
      </w:r>
      <w:r w:rsidR="00C94CB5" w:rsidRPr="00091FC2">
        <w:rPr>
          <w:rFonts w:eastAsia="Calibri"/>
          <w:u w:color="000000"/>
          <w:bdr w:val="nil"/>
          <w:lang w:eastAsia="en-GB"/>
        </w:rPr>
        <w:t xml:space="preserve">reviewing evidence adduced </w:t>
      </w:r>
      <w:r w:rsidR="002545C3" w:rsidRPr="00091FC2">
        <w:rPr>
          <w:rFonts w:eastAsia="Calibri"/>
          <w:u w:color="000000"/>
          <w:bdr w:val="nil"/>
          <w:lang w:eastAsia="en-GB"/>
        </w:rPr>
        <w:t>before</w:t>
      </w:r>
      <w:r w:rsidR="00C94CB5" w:rsidRPr="00091FC2">
        <w:rPr>
          <w:rFonts w:eastAsia="Calibri"/>
          <w:u w:color="000000"/>
          <w:bdr w:val="nil"/>
          <w:lang w:eastAsia="en-GB"/>
        </w:rPr>
        <w:t xml:space="preserve"> the Court of Appeal in Tanzania by </w:t>
      </w:r>
      <w:r w:rsidRPr="00091FC2">
        <w:rPr>
          <w:rFonts w:eastAsia="Calibri"/>
          <w:u w:color="000000"/>
          <w:bdr w:val="nil"/>
          <w:lang w:eastAsia="en-GB"/>
        </w:rPr>
        <w:t xml:space="preserve">seeking to </w:t>
      </w:r>
      <w:r w:rsidR="00D41C52" w:rsidRPr="00091FC2">
        <w:rPr>
          <w:rFonts w:eastAsia="Calibri"/>
          <w:u w:color="000000"/>
          <w:bdr w:val="nil"/>
          <w:lang w:eastAsia="en-GB"/>
        </w:rPr>
        <w:t xml:space="preserve">assess </w:t>
      </w:r>
      <w:r w:rsidRPr="00091FC2">
        <w:rPr>
          <w:rFonts w:eastAsia="Calibri"/>
          <w:u w:color="000000"/>
          <w:bdr w:val="nil"/>
          <w:lang w:eastAsia="en-GB"/>
        </w:rPr>
        <w:t>the domestic proceedings</w:t>
      </w:r>
      <w:r w:rsidR="009B2DB0" w:rsidRPr="00091FC2">
        <w:rPr>
          <w:rFonts w:eastAsia="Calibri"/>
          <w:u w:color="000000"/>
          <w:bdr w:val="nil"/>
          <w:lang w:eastAsia="en-GB"/>
        </w:rPr>
        <w:t xml:space="preserve"> </w:t>
      </w:r>
      <w:r w:rsidRPr="00091FC2">
        <w:rPr>
          <w:rFonts w:eastAsia="Calibri"/>
          <w:u w:color="000000"/>
          <w:bdr w:val="nil"/>
          <w:lang w:eastAsia="en-GB"/>
        </w:rPr>
        <w:t xml:space="preserve">that resulted in </w:t>
      </w:r>
      <w:r w:rsidR="00D41C52" w:rsidRPr="00091FC2">
        <w:rPr>
          <w:rFonts w:eastAsia="Calibri"/>
          <w:u w:color="000000"/>
          <w:bdr w:val="nil"/>
          <w:lang w:eastAsia="en-GB"/>
        </w:rPr>
        <w:t>the Applicant</w:t>
      </w:r>
      <w:r w:rsidR="00093C4B" w:rsidRPr="00091FC2">
        <w:rPr>
          <w:rFonts w:eastAsia="Calibri"/>
          <w:u w:color="000000"/>
          <w:bdr w:val="nil"/>
          <w:lang w:eastAsia="en-GB"/>
        </w:rPr>
        <w:t>’</w:t>
      </w:r>
      <w:r w:rsidR="00D41C52" w:rsidRPr="00091FC2">
        <w:rPr>
          <w:rFonts w:eastAsia="Calibri"/>
          <w:u w:color="000000"/>
          <w:bdr w:val="nil"/>
          <w:lang w:eastAsia="en-GB"/>
        </w:rPr>
        <w:t>s conviction and sentence</w:t>
      </w:r>
      <w:r w:rsidR="0034728D" w:rsidRPr="00091FC2">
        <w:rPr>
          <w:rFonts w:eastAsia="Calibri"/>
          <w:u w:color="000000"/>
          <w:bdr w:val="nil"/>
          <w:lang w:eastAsia="en-GB"/>
        </w:rPr>
        <w:t xml:space="preserve">. </w:t>
      </w:r>
      <w:r w:rsidR="00094B3D" w:rsidRPr="00091FC2">
        <w:rPr>
          <w:rFonts w:eastAsia="Calibri"/>
          <w:u w:color="000000"/>
          <w:bdr w:val="nil"/>
          <w:lang w:eastAsia="en-GB"/>
        </w:rPr>
        <w:t>T</w:t>
      </w:r>
      <w:r w:rsidRPr="00091FC2">
        <w:rPr>
          <w:rFonts w:eastAsia="Calibri"/>
          <w:u w:color="000000"/>
          <w:bdr w:val="nil"/>
          <w:lang w:eastAsia="en-GB"/>
        </w:rPr>
        <w:t>he Court</w:t>
      </w:r>
      <w:r w:rsidR="00094B3D" w:rsidRPr="00091FC2">
        <w:rPr>
          <w:rFonts w:eastAsia="Calibri"/>
          <w:u w:color="000000"/>
          <w:bdr w:val="nil"/>
          <w:lang w:eastAsia="en-GB"/>
        </w:rPr>
        <w:t>, therefore,</w:t>
      </w:r>
      <w:r w:rsidRPr="00091FC2">
        <w:rPr>
          <w:rFonts w:eastAsia="Calibri"/>
          <w:u w:color="000000"/>
          <w:bdr w:val="nil"/>
          <w:lang w:eastAsia="en-GB"/>
        </w:rPr>
        <w:t xml:space="preserve"> dismisses the first ground of the </w:t>
      </w:r>
      <w:r w:rsidR="00094B3D" w:rsidRPr="00091FC2">
        <w:rPr>
          <w:rFonts w:eastAsia="Calibri"/>
          <w:u w:color="000000"/>
          <w:bdr w:val="nil"/>
          <w:lang w:eastAsia="en-GB"/>
        </w:rPr>
        <w:t>Respondent State</w:t>
      </w:r>
      <w:r w:rsidR="00093C4B" w:rsidRPr="00091FC2">
        <w:rPr>
          <w:rFonts w:eastAsia="Calibri"/>
          <w:u w:color="000000"/>
          <w:bdr w:val="nil"/>
          <w:lang w:eastAsia="en-GB"/>
        </w:rPr>
        <w:t>’</w:t>
      </w:r>
      <w:r w:rsidR="00094B3D" w:rsidRPr="00091FC2">
        <w:rPr>
          <w:rFonts w:eastAsia="Calibri"/>
          <w:u w:color="000000"/>
          <w:bdr w:val="nil"/>
          <w:lang w:eastAsia="en-GB"/>
        </w:rPr>
        <w:t xml:space="preserve">s </w:t>
      </w:r>
      <w:r w:rsidR="00C94CB5" w:rsidRPr="00091FC2">
        <w:rPr>
          <w:rFonts w:eastAsia="Calibri"/>
          <w:u w:color="000000"/>
          <w:bdr w:val="nil"/>
          <w:lang w:eastAsia="en-GB"/>
        </w:rPr>
        <w:t>objection</w:t>
      </w:r>
      <w:r w:rsidRPr="00091FC2">
        <w:rPr>
          <w:rFonts w:eastAsia="Calibri"/>
          <w:u w:color="000000"/>
          <w:bdr w:val="nil"/>
          <w:lang w:eastAsia="en-GB"/>
        </w:rPr>
        <w:t>.</w:t>
      </w:r>
    </w:p>
    <w:p w14:paraId="042CBE31" w14:textId="77777777" w:rsidR="00C74C23" w:rsidRPr="00091FC2" w:rsidRDefault="00C74C23" w:rsidP="00A8297E">
      <w:pPr>
        <w:rPr>
          <w:rFonts w:eastAsia="Calibri"/>
          <w:bCs/>
          <w:u w:color="000000"/>
          <w:bdr w:val="nil"/>
          <w:lang w:eastAsia="en-GB"/>
        </w:rPr>
      </w:pPr>
    </w:p>
    <w:p w14:paraId="29BAB584" w14:textId="24DE274C" w:rsidR="00AD49CA" w:rsidRPr="00091FC2" w:rsidRDefault="009723FF" w:rsidP="00A8297E">
      <w:pPr>
        <w:rPr>
          <w:rFonts w:eastAsia="Calibri"/>
          <w:bCs/>
          <w:u w:color="000000"/>
          <w:bdr w:val="nil"/>
          <w:lang w:eastAsia="en-GB"/>
        </w:rPr>
      </w:pPr>
      <w:r w:rsidRPr="00091FC2">
        <w:rPr>
          <w:rFonts w:eastAsia="Calibri"/>
          <w:bCs/>
          <w:u w:color="000000"/>
          <w:bdr w:val="nil"/>
          <w:lang w:eastAsia="en-GB"/>
        </w:rPr>
        <w:t xml:space="preserve">Regarding the </w:t>
      </w:r>
      <w:r w:rsidR="00AD49CA" w:rsidRPr="00091FC2">
        <w:rPr>
          <w:rFonts w:eastAsia="Calibri"/>
          <w:bCs/>
          <w:u w:color="000000"/>
          <w:bdr w:val="nil"/>
          <w:lang w:eastAsia="en-GB"/>
        </w:rPr>
        <w:t xml:space="preserve">second ground, the Court affirms that </w:t>
      </w:r>
      <w:r w:rsidRPr="00091FC2">
        <w:rPr>
          <w:rFonts w:eastAsia="Calibri"/>
          <w:bCs/>
          <w:u w:color="000000"/>
          <w:bdr w:val="nil"/>
          <w:lang w:eastAsia="en-GB"/>
        </w:rPr>
        <w:t>in accordance with Article 27(1) of the Protocol,</w:t>
      </w:r>
      <w:r w:rsidR="00AD49CA" w:rsidRPr="00091FC2">
        <w:rPr>
          <w:rFonts w:eastAsia="Calibri"/>
          <w:bCs/>
          <w:u w:color="000000"/>
          <w:bdr w:val="nil"/>
          <w:lang w:eastAsia="en-GB"/>
        </w:rPr>
        <w:t xml:space="preserve"> </w:t>
      </w:r>
      <w:r w:rsidRPr="00091FC2">
        <w:rPr>
          <w:rFonts w:eastAsia="Calibri"/>
          <w:bCs/>
          <w:u w:color="000000"/>
          <w:bdr w:val="nil"/>
          <w:lang w:eastAsia="en-GB"/>
        </w:rPr>
        <w:t>“</w:t>
      </w:r>
      <w:r w:rsidR="00AD49CA" w:rsidRPr="00091FC2">
        <w:rPr>
          <w:rFonts w:eastAsia="Calibri"/>
          <w:bCs/>
          <w:u w:color="000000"/>
          <w:bdr w:val="nil"/>
          <w:lang w:eastAsia="en-GB"/>
        </w:rPr>
        <w:t>if it finds that there has been violation of human or peoples</w:t>
      </w:r>
      <w:r w:rsidR="00093C4B" w:rsidRPr="00091FC2">
        <w:rPr>
          <w:rFonts w:eastAsia="Calibri"/>
          <w:bCs/>
          <w:u w:color="000000"/>
          <w:bdr w:val="nil"/>
          <w:lang w:eastAsia="en-GB"/>
        </w:rPr>
        <w:t>’</w:t>
      </w:r>
      <w:r w:rsidR="00AD49CA" w:rsidRPr="00091FC2">
        <w:rPr>
          <w:rFonts w:eastAsia="Calibri"/>
          <w:bCs/>
          <w:u w:color="000000"/>
          <w:bdr w:val="nil"/>
          <w:lang w:eastAsia="en-GB"/>
        </w:rPr>
        <w:t xml:space="preserve"> right</w:t>
      </w:r>
      <w:r w:rsidRPr="00091FC2">
        <w:rPr>
          <w:rFonts w:eastAsia="Calibri"/>
          <w:bCs/>
          <w:u w:color="000000"/>
          <w:bdr w:val="nil"/>
          <w:lang w:eastAsia="en-GB"/>
        </w:rPr>
        <w:t>”</w:t>
      </w:r>
      <w:r w:rsidR="00AD49CA" w:rsidRPr="00091FC2">
        <w:rPr>
          <w:rFonts w:eastAsia="Calibri"/>
          <w:bCs/>
          <w:u w:color="000000"/>
          <w:bdr w:val="nil"/>
          <w:lang w:eastAsia="en-GB"/>
        </w:rPr>
        <w:t xml:space="preserve">, it can </w:t>
      </w:r>
      <w:r w:rsidRPr="00091FC2">
        <w:rPr>
          <w:rFonts w:eastAsia="Calibri"/>
          <w:bCs/>
          <w:u w:color="000000"/>
          <w:bdr w:val="nil"/>
          <w:lang w:eastAsia="en-GB"/>
        </w:rPr>
        <w:t xml:space="preserve">“make appropriate orders to remedy the violation, including the payment of fair compensation or reparation”. </w:t>
      </w:r>
      <w:r w:rsidR="009B05C0" w:rsidRPr="00091FC2">
        <w:rPr>
          <w:rFonts w:eastAsia="Calibri"/>
          <w:bCs/>
          <w:u w:color="000000"/>
          <w:bdr w:val="nil"/>
          <w:lang w:eastAsia="en-GB"/>
        </w:rPr>
        <w:t>W</w:t>
      </w:r>
      <w:r w:rsidRPr="00091FC2">
        <w:rPr>
          <w:rFonts w:eastAsia="Calibri"/>
          <w:bCs/>
          <w:u w:color="000000"/>
          <w:bdr w:val="nil"/>
          <w:lang w:eastAsia="en-GB"/>
        </w:rPr>
        <w:t>here it deems necessary</w:t>
      </w:r>
      <w:r w:rsidR="009B05C0" w:rsidRPr="00091FC2">
        <w:rPr>
          <w:rFonts w:eastAsia="Calibri"/>
          <w:bCs/>
          <w:u w:color="000000"/>
          <w:bdr w:val="nil"/>
          <w:lang w:eastAsia="en-GB"/>
        </w:rPr>
        <w:t>,</w:t>
      </w:r>
      <w:r w:rsidR="0092088E" w:rsidRPr="00091FC2">
        <w:rPr>
          <w:rFonts w:eastAsia="Calibri"/>
          <w:bCs/>
          <w:u w:color="000000"/>
          <w:bdr w:val="nil"/>
          <w:lang w:eastAsia="en-GB"/>
        </w:rPr>
        <w:t xml:space="preserve"> therefore,</w:t>
      </w:r>
      <w:r w:rsidR="009B05C0" w:rsidRPr="00091FC2">
        <w:rPr>
          <w:rFonts w:eastAsia="Calibri"/>
          <w:bCs/>
          <w:u w:color="000000"/>
          <w:bdr w:val="nil"/>
          <w:lang w:eastAsia="en-GB"/>
        </w:rPr>
        <w:t xml:space="preserve"> the Court </w:t>
      </w:r>
      <w:r w:rsidRPr="00091FC2">
        <w:rPr>
          <w:rFonts w:eastAsia="Calibri"/>
          <w:bCs/>
          <w:u w:color="000000"/>
          <w:bdr w:val="nil"/>
          <w:lang w:eastAsia="en-GB"/>
        </w:rPr>
        <w:t>can order reparations which relate to sentences meted out to a victim of violation of human or peoples</w:t>
      </w:r>
      <w:r w:rsidR="00093C4B" w:rsidRPr="00091FC2">
        <w:rPr>
          <w:rFonts w:eastAsia="Calibri"/>
          <w:bCs/>
          <w:u w:color="000000"/>
          <w:bdr w:val="nil"/>
          <w:lang w:eastAsia="en-GB"/>
        </w:rPr>
        <w:t>’</w:t>
      </w:r>
      <w:r w:rsidRPr="00091FC2">
        <w:rPr>
          <w:rFonts w:eastAsia="Calibri"/>
          <w:bCs/>
          <w:u w:color="000000"/>
          <w:bdr w:val="nil"/>
          <w:lang w:eastAsia="en-GB"/>
        </w:rPr>
        <w:t xml:space="preserve"> rights.</w:t>
      </w:r>
      <w:r w:rsidR="005B20E7" w:rsidRPr="00091FC2">
        <w:rPr>
          <w:rFonts w:eastAsia="Calibri"/>
          <w:bCs/>
          <w:u w:color="000000"/>
          <w:bdr w:val="nil"/>
          <w:lang w:eastAsia="en-GB"/>
        </w:rPr>
        <w:t xml:space="preserve"> </w:t>
      </w:r>
      <w:r w:rsidR="0092088E" w:rsidRPr="00091FC2">
        <w:rPr>
          <w:rFonts w:eastAsia="Calibri"/>
          <w:bCs/>
          <w:u w:color="000000"/>
          <w:bdr w:val="nil"/>
          <w:lang w:eastAsia="en-GB"/>
        </w:rPr>
        <w:t>The Court thus dismisses the second ground.</w:t>
      </w:r>
    </w:p>
    <w:p w14:paraId="7E7DD34B" w14:textId="77777777" w:rsidR="00AD49CA" w:rsidRPr="00091FC2" w:rsidRDefault="00AD49CA" w:rsidP="00A8297E">
      <w:pPr>
        <w:rPr>
          <w:rFonts w:eastAsia="Calibri"/>
          <w:u w:color="000000"/>
          <w:bdr w:val="nil"/>
          <w:lang w:eastAsia="en-GB"/>
        </w:rPr>
      </w:pPr>
    </w:p>
    <w:p w14:paraId="63E88D00" w14:textId="5B931BBD" w:rsidR="003C1DA6" w:rsidRPr="00091FC2" w:rsidRDefault="006A2FA0" w:rsidP="00A8297E">
      <w:pPr>
        <w:rPr>
          <w:rFonts w:eastAsia="Calibri"/>
          <w:u w:color="000000"/>
          <w:bdr w:val="nil"/>
          <w:lang w:eastAsia="en-GB"/>
        </w:rPr>
      </w:pPr>
      <w:r w:rsidRPr="00091FC2">
        <w:rPr>
          <w:rFonts w:eastAsia="Calibri"/>
          <w:u w:color="000000"/>
          <w:bdr w:val="nil"/>
          <w:lang w:eastAsia="en-GB"/>
        </w:rPr>
        <w:t xml:space="preserve">In relation to the third ground, the </w:t>
      </w:r>
      <w:r w:rsidR="00730B2F" w:rsidRPr="00091FC2">
        <w:rPr>
          <w:rFonts w:eastAsia="Calibri"/>
          <w:u w:color="000000"/>
          <w:bdr w:val="nil"/>
          <w:lang w:eastAsia="en-GB"/>
        </w:rPr>
        <w:t xml:space="preserve">Court recalls </w:t>
      </w:r>
      <w:r w:rsidR="00F15996" w:rsidRPr="00091FC2">
        <w:rPr>
          <w:rFonts w:eastAsia="Calibri"/>
          <w:u w:color="000000"/>
          <w:bdr w:val="nil"/>
          <w:lang w:eastAsia="en-GB"/>
        </w:rPr>
        <w:t xml:space="preserve">the provisions of </w:t>
      </w:r>
      <w:r w:rsidR="00C94CB5" w:rsidRPr="00091FC2">
        <w:rPr>
          <w:rFonts w:eastAsia="Calibri"/>
          <w:u w:color="000000"/>
          <w:bdr w:val="nil"/>
          <w:lang w:eastAsia="en-GB"/>
        </w:rPr>
        <w:t>Article 7 of the Protocol</w:t>
      </w:r>
      <w:r w:rsidR="0099655C" w:rsidRPr="00091FC2">
        <w:rPr>
          <w:rFonts w:eastAsia="Calibri"/>
          <w:u w:color="000000"/>
          <w:bdr w:val="nil"/>
          <w:lang w:eastAsia="en-GB"/>
        </w:rPr>
        <w:t xml:space="preserve">, </w:t>
      </w:r>
      <w:r w:rsidR="006518F4" w:rsidRPr="00091FC2">
        <w:rPr>
          <w:rFonts w:eastAsia="Calibri"/>
          <w:u w:color="000000"/>
          <w:bdr w:val="nil"/>
          <w:lang w:eastAsia="en-GB"/>
        </w:rPr>
        <w:t xml:space="preserve">by virtue of </w:t>
      </w:r>
      <w:r w:rsidR="009B2DB0" w:rsidRPr="00091FC2">
        <w:rPr>
          <w:rFonts w:eastAsia="Calibri"/>
          <w:u w:color="000000"/>
          <w:bdr w:val="nil"/>
          <w:lang w:eastAsia="en-GB"/>
        </w:rPr>
        <w:t xml:space="preserve">which </w:t>
      </w:r>
      <w:r w:rsidR="00094B3D" w:rsidRPr="00091FC2">
        <w:rPr>
          <w:rFonts w:eastAsia="Calibri"/>
          <w:u w:color="000000"/>
          <w:bdr w:val="nil"/>
          <w:lang w:eastAsia="en-GB"/>
        </w:rPr>
        <w:t>it</w:t>
      </w:r>
      <w:r w:rsidR="00730B2F" w:rsidRPr="00091FC2">
        <w:rPr>
          <w:rFonts w:eastAsia="Calibri"/>
          <w:u w:color="000000"/>
          <w:bdr w:val="nil"/>
          <w:lang w:eastAsia="en-GB"/>
        </w:rPr>
        <w:t xml:space="preserve"> </w:t>
      </w:r>
      <w:r w:rsidR="006518F4" w:rsidRPr="00091FC2">
        <w:rPr>
          <w:rFonts w:eastAsia="Calibri"/>
          <w:u w:color="000000"/>
          <w:bdr w:val="nil"/>
          <w:lang w:eastAsia="en-GB"/>
        </w:rPr>
        <w:t xml:space="preserve">interprets </w:t>
      </w:r>
      <w:r w:rsidR="00763047" w:rsidRPr="00091FC2">
        <w:rPr>
          <w:rFonts w:eastAsia="Calibri"/>
          <w:u w:color="000000"/>
          <w:bdr w:val="nil"/>
          <w:lang w:eastAsia="en-GB"/>
        </w:rPr>
        <w:t xml:space="preserve">and applies </w:t>
      </w:r>
      <w:r w:rsidR="00730B2F" w:rsidRPr="00091FC2">
        <w:rPr>
          <w:rFonts w:eastAsia="Calibri"/>
          <w:u w:color="000000"/>
          <w:bdr w:val="nil"/>
          <w:lang w:eastAsia="en-GB"/>
        </w:rPr>
        <w:t xml:space="preserve">the provisions of the Charter and </w:t>
      </w:r>
      <w:r w:rsidR="00F82B90" w:rsidRPr="00091FC2">
        <w:rPr>
          <w:rFonts w:eastAsia="Calibri"/>
          <w:u w:color="000000"/>
          <w:bdr w:val="nil"/>
          <w:lang w:eastAsia="en-GB"/>
        </w:rPr>
        <w:t xml:space="preserve">other human rights </w:t>
      </w:r>
      <w:r w:rsidR="00730B2F" w:rsidRPr="00091FC2">
        <w:rPr>
          <w:rFonts w:eastAsia="Calibri"/>
          <w:u w:color="000000"/>
          <w:bdr w:val="nil"/>
          <w:lang w:eastAsia="en-GB"/>
        </w:rPr>
        <w:t xml:space="preserve">instruments ratified by the Respondent State. The Court will, therefore, </w:t>
      </w:r>
      <w:r w:rsidR="006518F4" w:rsidRPr="00091FC2">
        <w:rPr>
          <w:rFonts w:eastAsia="Calibri"/>
          <w:u w:color="000000"/>
          <w:bdr w:val="nil"/>
          <w:lang w:eastAsia="en-GB"/>
        </w:rPr>
        <w:t>determine</w:t>
      </w:r>
      <w:r w:rsidR="00730B2F" w:rsidRPr="00091FC2">
        <w:rPr>
          <w:rFonts w:eastAsia="Calibri"/>
          <w:u w:color="000000"/>
          <w:bdr w:val="nil"/>
          <w:lang w:eastAsia="en-GB"/>
        </w:rPr>
        <w:t xml:space="preserve"> </w:t>
      </w:r>
      <w:r w:rsidR="006518F4" w:rsidRPr="00091FC2">
        <w:rPr>
          <w:rFonts w:eastAsia="Calibri"/>
          <w:u w:color="000000"/>
          <w:bdr w:val="nil"/>
          <w:lang w:eastAsia="en-GB"/>
        </w:rPr>
        <w:t xml:space="preserve">the </w:t>
      </w:r>
      <w:r w:rsidR="00730B2F" w:rsidRPr="00091FC2">
        <w:rPr>
          <w:rFonts w:eastAsia="Calibri"/>
          <w:u w:color="000000"/>
          <w:bdr w:val="nil"/>
          <w:lang w:eastAsia="en-GB"/>
        </w:rPr>
        <w:t xml:space="preserve">issues </w:t>
      </w:r>
      <w:r w:rsidR="006518F4" w:rsidRPr="00091FC2">
        <w:rPr>
          <w:rFonts w:eastAsia="Calibri"/>
          <w:u w:color="000000"/>
          <w:bdr w:val="nil"/>
          <w:lang w:eastAsia="en-GB"/>
        </w:rPr>
        <w:t xml:space="preserve">arising </w:t>
      </w:r>
      <w:r w:rsidR="00730B2F" w:rsidRPr="00091FC2">
        <w:rPr>
          <w:rFonts w:eastAsia="Calibri"/>
          <w:u w:color="000000"/>
          <w:bdr w:val="nil"/>
          <w:lang w:eastAsia="en-GB"/>
        </w:rPr>
        <w:t xml:space="preserve">in the Application </w:t>
      </w:r>
      <w:r w:rsidR="00F82B90" w:rsidRPr="00091FC2">
        <w:rPr>
          <w:rFonts w:eastAsia="Calibri"/>
          <w:u w:color="000000"/>
          <w:bdr w:val="nil"/>
          <w:lang w:eastAsia="en-GB"/>
        </w:rPr>
        <w:t>regardless of</w:t>
      </w:r>
      <w:r w:rsidR="00730B2F" w:rsidRPr="00091FC2">
        <w:rPr>
          <w:rFonts w:eastAsia="Calibri"/>
          <w:u w:color="000000"/>
          <w:bdr w:val="nil"/>
          <w:lang w:eastAsia="en-GB"/>
        </w:rPr>
        <w:t xml:space="preserve"> whether the Applicant </w:t>
      </w:r>
      <w:r w:rsidR="006518F4" w:rsidRPr="00091FC2">
        <w:rPr>
          <w:rFonts w:eastAsia="Calibri"/>
          <w:u w:color="000000"/>
          <w:bdr w:val="nil"/>
          <w:lang w:eastAsia="en-GB"/>
        </w:rPr>
        <w:t xml:space="preserve">has </w:t>
      </w:r>
      <w:r w:rsidR="00730B2F" w:rsidRPr="00091FC2">
        <w:rPr>
          <w:rFonts w:eastAsia="Calibri"/>
          <w:u w:color="000000"/>
          <w:bdr w:val="nil"/>
          <w:lang w:eastAsia="en-GB"/>
        </w:rPr>
        <w:t xml:space="preserve">cited the correct </w:t>
      </w:r>
      <w:r w:rsidR="00730B2F" w:rsidRPr="00091FC2">
        <w:rPr>
          <w:rFonts w:eastAsia="Calibri"/>
          <w:u w:color="000000"/>
          <w:bdr w:val="nil"/>
          <w:lang w:eastAsia="en-GB"/>
        </w:rPr>
        <w:lastRenderedPageBreak/>
        <w:t xml:space="preserve">provisions of the Charter </w:t>
      </w:r>
      <w:r w:rsidR="0099655C" w:rsidRPr="00091FC2">
        <w:rPr>
          <w:rFonts w:eastAsia="Calibri"/>
          <w:u w:color="000000"/>
          <w:bdr w:val="nil"/>
          <w:lang w:eastAsia="en-GB"/>
        </w:rPr>
        <w:t>and</w:t>
      </w:r>
      <w:r w:rsidR="007314A0" w:rsidRPr="00091FC2">
        <w:rPr>
          <w:rFonts w:eastAsia="Calibri"/>
          <w:u w:color="000000"/>
          <w:bdr w:val="nil"/>
          <w:lang w:eastAsia="en-GB"/>
        </w:rPr>
        <w:t xml:space="preserve"> other human rights </w:t>
      </w:r>
      <w:r w:rsidR="00730B2F" w:rsidRPr="00091FC2">
        <w:rPr>
          <w:rFonts w:eastAsia="Calibri"/>
          <w:u w:color="000000"/>
          <w:bdr w:val="nil"/>
          <w:lang w:eastAsia="en-GB"/>
        </w:rPr>
        <w:t>instruments</w:t>
      </w:r>
      <w:r w:rsidR="0099655C" w:rsidRPr="00091FC2">
        <w:rPr>
          <w:rFonts w:eastAsia="Calibri"/>
          <w:u w:color="000000"/>
          <w:bdr w:val="nil"/>
          <w:lang w:eastAsia="en-GB"/>
        </w:rPr>
        <w:t xml:space="preserve"> ratified by the Respondent State</w:t>
      </w:r>
      <w:r w:rsidR="00730B2F" w:rsidRPr="00091FC2">
        <w:rPr>
          <w:rFonts w:eastAsia="Calibri"/>
          <w:u w:color="000000"/>
          <w:bdr w:val="nil"/>
          <w:lang w:eastAsia="en-GB"/>
        </w:rPr>
        <w:t>.</w:t>
      </w:r>
      <w:r w:rsidR="00C36D93" w:rsidRPr="00091FC2">
        <w:rPr>
          <w:rStyle w:val="FootnoteReference"/>
          <w:rFonts w:ascii="Arial" w:eastAsia="Calibri" w:hAnsi="Arial" w:cs="Arial"/>
          <w:u w:color="000000"/>
          <w:bdr w:val="nil"/>
          <w:lang w:eastAsia="en-GB"/>
        </w:rPr>
        <w:footnoteReference w:id="9"/>
      </w:r>
      <w:r w:rsidR="00730B2F" w:rsidRPr="00091FC2">
        <w:rPr>
          <w:rFonts w:eastAsia="Calibri"/>
          <w:u w:color="000000"/>
          <w:bdr w:val="nil"/>
          <w:lang w:eastAsia="en-GB"/>
        </w:rPr>
        <w:t xml:space="preserve"> </w:t>
      </w:r>
      <w:r w:rsidR="006518F4" w:rsidRPr="00091FC2">
        <w:rPr>
          <w:rFonts w:eastAsia="Calibri"/>
          <w:u w:color="000000"/>
          <w:bdr w:val="nil"/>
          <w:lang w:eastAsia="en-GB"/>
        </w:rPr>
        <w:t>T</w:t>
      </w:r>
      <w:r w:rsidR="00AC2A67" w:rsidRPr="00091FC2">
        <w:rPr>
          <w:rFonts w:eastAsia="Calibri"/>
          <w:u w:color="000000"/>
          <w:bdr w:val="nil"/>
          <w:lang w:eastAsia="en-GB"/>
        </w:rPr>
        <w:t xml:space="preserve">he Court observes that in the </w:t>
      </w:r>
      <w:r w:rsidR="006518F4" w:rsidRPr="00091FC2">
        <w:rPr>
          <w:rFonts w:eastAsia="Calibri"/>
          <w:u w:color="000000"/>
          <w:bdr w:val="nil"/>
          <w:lang w:eastAsia="en-GB"/>
        </w:rPr>
        <w:t xml:space="preserve">instant </w:t>
      </w:r>
      <w:r w:rsidR="00AC2A67" w:rsidRPr="00091FC2">
        <w:rPr>
          <w:rFonts w:eastAsia="Calibri"/>
          <w:u w:color="000000"/>
          <w:bdr w:val="nil"/>
          <w:lang w:eastAsia="en-GB"/>
        </w:rPr>
        <w:t>case, the Applicant alleges that the Respondent State violated his right to a fair trial under Article 7 of the Charter.</w:t>
      </w:r>
      <w:r w:rsidR="0034728D" w:rsidRPr="00091FC2">
        <w:rPr>
          <w:rFonts w:eastAsia="Calibri"/>
          <w:u w:color="000000"/>
          <w:bdr w:val="nil"/>
          <w:lang w:eastAsia="en-GB"/>
        </w:rPr>
        <w:t xml:space="preserve"> </w:t>
      </w:r>
      <w:r w:rsidR="00F82B90" w:rsidRPr="00091FC2">
        <w:rPr>
          <w:rFonts w:eastAsia="Calibri"/>
          <w:u w:color="000000"/>
          <w:bdr w:val="nil"/>
          <w:lang w:eastAsia="en-GB"/>
        </w:rPr>
        <w:t>The</w:t>
      </w:r>
      <w:r w:rsidR="0092088E" w:rsidRPr="00091FC2">
        <w:rPr>
          <w:rFonts w:eastAsia="Calibri"/>
          <w:u w:color="000000"/>
          <w:bdr w:val="nil"/>
          <w:lang w:eastAsia="en-GB"/>
        </w:rPr>
        <w:t xml:space="preserve"> </w:t>
      </w:r>
      <w:r w:rsidR="00AC2A67" w:rsidRPr="00091FC2">
        <w:rPr>
          <w:rFonts w:eastAsia="Calibri"/>
          <w:u w:color="000000"/>
          <w:bdr w:val="nil"/>
          <w:lang w:eastAsia="en-GB"/>
        </w:rPr>
        <w:t>Court</w:t>
      </w:r>
      <w:r w:rsidR="0092088E" w:rsidRPr="00091FC2">
        <w:rPr>
          <w:rFonts w:eastAsia="Calibri"/>
          <w:u w:color="000000"/>
          <w:bdr w:val="nil"/>
          <w:lang w:eastAsia="en-GB"/>
        </w:rPr>
        <w:t>, therefore,</w:t>
      </w:r>
      <w:r w:rsidR="00AC2A67" w:rsidRPr="00091FC2">
        <w:rPr>
          <w:rFonts w:eastAsia="Calibri"/>
          <w:u w:color="000000"/>
          <w:bdr w:val="nil"/>
          <w:lang w:eastAsia="en-GB"/>
        </w:rPr>
        <w:t xml:space="preserve"> dismisses the third ground </w:t>
      </w:r>
      <w:r w:rsidR="00971A8E" w:rsidRPr="00091FC2">
        <w:rPr>
          <w:rFonts w:eastAsia="Calibri"/>
          <w:u w:color="000000"/>
          <w:bdr w:val="nil"/>
          <w:lang w:eastAsia="en-GB"/>
        </w:rPr>
        <w:t xml:space="preserve">for </w:t>
      </w:r>
      <w:r w:rsidR="00AC2A67" w:rsidRPr="00091FC2">
        <w:rPr>
          <w:rFonts w:eastAsia="Calibri"/>
          <w:u w:color="000000"/>
          <w:bdr w:val="nil"/>
          <w:lang w:eastAsia="en-GB"/>
        </w:rPr>
        <w:t>the objection to its material jurisdiction.</w:t>
      </w:r>
    </w:p>
    <w:p w14:paraId="630A6049" w14:textId="77777777" w:rsidR="00D931DD" w:rsidRPr="00091FC2" w:rsidRDefault="00D931DD" w:rsidP="00A8297E">
      <w:pPr>
        <w:rPr>
          <w:rFonts w:eastAsia="Calibri"/>
          <w:u w:color="000000"/>
          <w:bdr w:val="nil"/>
          <w:lang w:eastAsia="en-GB"/>
        </w:rPr>
      </w:pPr>
    </w:p>
    <w:p w14:paraId="2A2D9EFD" w14:textId="35A22CC6" w:rsidR="00D3265B" w:rsidRPr="00091FC2" w:rsidRDefault="00D3265B" w:rsidP="00A8297E">
      <w:pPr>
        <w:rPr>
          <w:rFonts w:eastAsia="Calibri"/>
          <w:u w:color="000000"/>
          <w:bdr w:val="nil"/>
          <w:lang w:eastAsia="en-GB"/>
        </w:rPr>
      </w:pPr>
      <w:r w:rsidRPr="00091FC2">
        <w:rPr>
          <w:rFonts w:eastAsia="Calibri"/>
          <w:u w:color="000000"/>
          <w:bdr w:val="nil"/>
          <w:lang w:eastAsia="en-GB"/>
        </w:rPr>
        <w:t>In view of the foregoing, the Court dismisses the Respondent State</w:t>
      </w:r>
      <w:r w:rsidR="00093C4B" w:rsidRPr="00091FC2">
        <w:rPr>
          <w:rFonts w:eastAsia="Calibri"/>
          <w:u w:color="000000"/>
          <w:bdr w:val="nil"/>
          <w:lang w:eastAsia="en-GB"/>
        </w:rPr>
        <w:t>’</w:t>
      </w:r>
      <w:r w:rsidRPr="00091FC2">
        <w:rPr>
          <w:rFonts w:eastAsia="Calibri"/>
          <w:u w:color="000000"/>
          <w:bdr w:val="nil"/>
          <w:lang w:eastAsia="en-GB"/>
        </w:rPr>
        <w:t xml:space="preserve">s objection and holds that it has material jurisdiction to hear this Application. </w:t>
      </w:r>
    </w:p>
    <w:p w14:paraId="5A93253C" w14:textId="77777777" w:rsidR="00D3265B" w:rsidRPr="00091FC2" w:rsidRDefault="00D3265B" w:rsidP="00A8297E">
      <w:pPr>
        <w:rPr>
          <w:u w:color="000000"/>
          <w:bdr w:val="nil"/>
          <w:lang w:eastAsia="en-GB"/>
        </w:rPr>
      </w:pPr>
    </w:p>
    <w:p w14:paraId="7B7390D4" w14:textId="039D5275" w:rsidR="00B14B75" w:rsidRPr="00091FC2" w:rsidRDefault="00B14B75" w:rsidP="00A8297E">
      <w:bookmarkStart w:id="17" w:name="_Toc136592899"/>
      <w:r w:rsidRPr="00091FC2">
        <w:t>Other aspects of jurisdiction</w:t>
      </w:r>
      <w:bookmarkEnd w:id="17"/>
    </w:p>
    <w:p w14:paraId="1B87FDD8" w14:textId="77777777" w:rsidR="00B14B75" w:rsidRPr="00091FC2" w:rsidRDefault="00B14B75" w:rsidP="00A8297E"/>
    <w:p w14:paraId="13440BDC" w14:textId="726AC869" w:rsidR="000A55D9" w:rsidRPr="00091FC2" w:rsidRDefault="000A55D9" w:rsidP="00A8297E">
      <w:r w:rsidRPr="00091FC2">
        <w:t xml:space="preserve">The Court notes that the Respondent State </w:t>
      </w:r>
      <w:r w:rsidR="00971A8E" w:rsidRPr="00091FC2">
        <w:t xml:space="preserve">does </w:t>
      </w:r>
      <w:r w:rsidRPr="00091FC2">
        <w:t xml:space="preserve">not dispute </w:t>
      </w:r>
      <w:r w:rsidR="006518F4" w:rsidRPr="00091FC2">
        <w:t xml:space="preserve">the </w:t>
      </w:r>
      <w:r w:rsidR="00C97646" w:rsidRPr="00091FC2">
        <w:t>Court</w:t>
      </w:r>
      <w:r w:rsidR="00093C4B" w:rsidRPr="00091FC2">
        <w:t>’</w:t>
      </w:r>
      <w:r w:rsidR="00C97646" w:rsidRPr="00091FC2">
        <w:t>s personal</w:t>
      </w:r>
      <w:r w:rsidRPr="00091FC2">
        <w:t>, temporal and territorial jurisdiction. Nonetheless, in line with Rule 49(1) of the Rules,</w:t>
      </w:r>
      <w:r w:rsidRPr="00091FC2">
        <w:rPr>
          <w:vertAlign w:val="superscript"/>
        </w:rPr>
        <w:footnoteReference w:id="10"/>
      </w:r>
      <w:r w:rsidRPr="00091FC2">
        <w:t xml:space="preserve"> it must ensure that all aspects of its jurisdiction are fulfilled before proceeding with the determination of the Application.</w:t>
      </w:r>
      <w:r w:rsidR="00B14B75" w:rsidRPr="00091FC2">
        <w:t xml:space="preserve"> </w:t>
      </w:r>
    </w:p>
    <w:p w14:paraId="470D4C69" w14:textId="77777777" w:rsidR="002933AE" w:rsidRPr="00091FC2" w:rsidRDefault="002933AE" w:rsidP="00A8297E"/>
    <w:p w14:paraId="3E3A253D" w14:textId="31396393" w:rsidR="00853416" w:rsidRPr="00091FC2" w:rsidRDefault="00D20BDF" w:rsidP="00A8297E">
      <w:r w:rsidRPr="00091FC2">
        <w:t>Regarding</w:t>
      </w:r>
      <w:r w:rsidR="00853416" w:rsidRPr="00091FC2">
        <w:t xml:space="preserve"> personal jurisdiction, the Court recalls, as indicated in paragraph 2 of this </w:t>
      </w:r>
      <w:r w:rsidR="00214A29" w:rsidRPr="00091FC2">
        <w:t>J</w:t>
      </w:r>
      <w:r w:rsidR="00853416" w:rsidRPr="00091FC2">
        <w:t>udgment</w:t>
      </w:r>
      <w:r w:rsidR="00664498" w:rsidRPr="00091FC2">
        <w:t>,</w:t>
      </w:r>
      <w:r w:rsidR="00853416" w:rsidRPr="00091FC2">
        <w:t xml:space="preserve"> that on 21 November 20</w:t>
      </w:r>
      <w:r w:rsidR="006518F4" w:rsidRPr="00091FC2">
        <w:t>19</w:t>
      </w:r>
      <w:r w:rsidR="00853416" w:rsidRPr="00091FC2">
        <w:t xml:space="preserve">, the Respondent State deposited the instrument of withdrawal of the Declaration. The Court has held that such withdrawal does not apply retroactively. Therefore, it has no bearing on matters pending before the Court prior to filing of the instrument withdrawing the Declaration or new cases filed before the withdrawal took effect, </w:t>
      </w:r>
      <w:r w:rsidR="007314A0" w:rsidRPr="00091FC2">
        <w:t xml:space="preserve">one (1) year </w:t>
      </w:r>
      <w:r w:rsidR="00853416" w:rsidRPr="00091FC2">
        <w:t>after the notice of withdrawal was dep</w:t>
      </w:r>
      <w:r w:rsidR="007314A0" w:rsidRPr="00091FC2">
        <w:t>osited</w:t>
      </w:r>
      <w:r w:rsidR="00971A8E" w:rsidRPr="00091FC2">
        <w:t>, that is, on</w:t>
      </w:r>
      <w:r w:rsidR="007314A0" w:rsidRPr="00091FC2">
        <w:t xml:space="preserve"> 22 November </w:t>
      </w:r>
      <w:r w:rsidR="00853416" w:rsidRPr="00091FC2">
        <w:t>2020.</w:t>
      </w:r>
      <w:r w:rsidR="00EE0282" w:rsidRPr="00091FC2">
        <w:t xml:space="preserve"> Hence, the Court holds that it has personal jurisdiction in the present Application as it was filed before the withdrawal of the Declaration.</w:t>
      </w:r>
    </w:p>
    <w:p w14:paraId="2DA5326B" w14:textId="77777777" w:rsidR="00392822" w:rsidRPr="00091FC2" w:rsidRDefault="00392822" w:rsidP="00A8297E">
      <w:pPr>
        <w:rPr>
          <w:color w:val="000000" w:themeColor="text1"/>
        </w:rPr>
      </w:pPr>
    </w:p>
    <w:p w14:paraId="358BEFF0" w14:textId="0433E0E0" w:rsidR="00392822" w:rsidRPr="00091FC2" w:rsidRDefault="00BF3A31" w:rsidP="00A8297E">
      <w:pPr>
        <w:rPr>
          <w:color w:val="000000" w:themeColor="text1"/>
        </w:rPr>
      </w:pPr>
      <w:r w:rsidRPr="00091FC2">
        <w:rPr>
          <w:color w:val="000000" w:themeColor="text1"/>
        </w:rPr>
        <w:t>As regards</w:t>
      </w:r>
      <w:r w:rsidR="00392822" w:rsidRPr="00091FC2">
        <w:rPr>
          <w:color w:val="000000" w:themeColor="text1"/>
        </w:rPr>
        <w:t xml:space="preserve"> its temporal jurisdiction, the Court notes that the relevant dates, in relation to the Respondent State, are those of entry into force of the Charter and the Protocol.</w:t>
      </w:r>
    </w:p>
    <w:p w14:paraId="7C0C6EE4" w14:textId="77777777" w:rsidR="007314A0" w:rsidRPr="00091FC2" w:rsidRDefault="007314A0" w:rsidP="00A8297E">
      <w:pPr>
        <w:rPr>
          <w:color w:val="000000" w:themeColor="text1"/>
        </w:rPr>
      </w:pPr>
    </w:p>
    <w:p w14:paraId="66580FC1" w14:textId="55469245" w:rsidR="00392822" w:rsidRPr="00091FC2" w:rsidRDefault="00392822" w:rsidP="00A8297E">
      <w:pPr>
        <w:rPr>
          <w:bCs/>
        </w:rPr>
      </w:pPr>
      <w:r w:rsidRPr="00091FC2">
        <w:rPr>
          <w:color w:val="000000" w:themeColor="text1"/>
        </w:rPr>
        <w:t xml:space="preserve">In the instant case, the Court notes that the violations alleged by the Applicant are based on the judgments of the High Court and Court of Appeal rendered on 29 June 2005 and 21 May 2009, respectively, that is, after the Respondent State </w:t>
      </w:r>
      <w:r w:rsidR="00BF3A31" w:rsidRPr="00091FC2">
        <w:rPr>
          <w:color w:val="000000" w:themeColor="text1"/>
        </w:rPr>
        <w:t xml:space="preserve">had </w:t>
      </w:r>
      <w:r w:rsidRPr="00091FC2">
        <w:rPr>
          <w:color w:val="000000" w:themeColor="text1"/>
        </w:rPr>
        <w:t>ratified the Charter and the Protocol. Furthermore, the alleged violations are continuing, as the Applicant remains</w:t>
      </w:r>
      <w:r w:rsidRPr="00091FC2">
        <w:t xml:space="preserve"> </w:t>
      </w:r>
      <w:r w:rsidRPr="00091FC2">
        <w:rPr>
          <w:color w:val="000000" w:themeColor="text1"/>
        </w:rPr>
        <w:t xml:space="preserve">convicted and is awaiting execution of the death sentence imposed upon him by the High Court </w:t>
      </w:r>
      <w:bookmarkStart w:id="18" w:name="_Hlk128729239"/>
      <w:r w:rsidR="00BF3A31" w:rsidRPr="00091FC2">
        <w:rPr>
          <w:color w:val="000000" w:themeColor="text1"/>
        </w:rPr>
        <w:t xml:space="preserve">of </w:t>
      </w:r>
      <w:r w:rsidR="00532961" w:rsidRPr="00091FC2">
        <w:rPr>
          <w:color w:val="000000" w:themeColor="text1"/>
        </w:rPr>
        <w:t>Bukoba</w:t>
      </w:r>
      <w:bookmarkEnd w:id="18"/>
      <w:r w:rsidRPr="00091FC2">
        <w:rPr>
          <w:color w:val="000000" w:themeColor="text1"/>
        </w:rPr>
        <w:t>, on the basis of what he considers an unfair process.</w:t>
      </w:r>
      <w:r w:rsidRPr="00091FC2">
        <w:rPr>
          <w:rStyle w:val="FootnoteReference"/>
          <w:rFonts w:ascii="Arial" w:hAnsi="Arial" w:cs="Arial"/>
        </w:rPr>
        <w:footnoteReference w:id="11"/>
      </w:r>
      <w:r w:rsidRPr="00091FC2">
        <w:rPr>
          <w:color w:val="000000" w:themeColor="text1"/>
        </w:rPr>
        <w:t xml:space="preserve"> </w:t>
      </w:r>
    </w:p>
    <w:p w14:paraId="6BDAF743" w14:textId="77777777" w:rsidR="00392822" w:rsidRPr="00091FC2" w:rsidRDefault="00392822" w:rsidP="00A8297E">
      <w:pPr>
        <w:rPr>
          <w:bCs/>
        </w:rPr>
      </w:pPr>
    </w:p>
    <w:p w14:paraId="31F2B989" w14:textId="1A7BCCE5" w:rsidR="00853416" w:rsidRPr="00091FC2" w:rsidRDefault="00853416" w:rsidP="00A8297E">
      <w:r w:rsidRPr="00091FC2">
        <w:t xml:space="preserve">The Court </w:t>
      </w:r>
      <w:r w:rsidR="00664498" w:rsidRPr="00091FC2">
        <w:t xml:space="preserve">also holds that it </w:t>
      </w:r>
      <w:r w:rsidRPr="00091FC2">
        <w:t>has territorial jurisdiction over this Application given that alleged violations occurred within the Respondent State</w:t>
      </w:r>
      <w:r w:rsidR="00093C4B" w:rsidRPr="00091FC2">
        <w:t>’</w:t>
      </w:r>
      <w:r w:rsidRPr="00091FC2">
        <w:t>s territory.</w:t>
      </w:r>
    </w:p>
    <w:p w14:paraId="036A1661" w14:textId="77777777" w:rsidR="00CF049B" w:rsidRPr="00091FC2" w:rsidRDefault="00CF049B" w:rsidP="00A8297E"/>
    <w:p w14:paraId="4D3CFE91" w14:textId="77777777" w:rsidR="00B14B75" w:rsidRPr="00091FC2" w:rsidRDefault="00B14B75" w:rsidP="00A8297E">
      <w:pPr>
        <w:rPr>
          <w:rStyle w:val="tlid-translation"/>
          <w:rFonts w:ascii="Arial" w:hAnsi="Arial" w:cs="Arial"/>
          <w:bCs/>
        </w:rPr>
      </w:pPr>
      <w:r w:rsidRPr="00091FC2">
        <w:t>In light of the foregoing, the Court holds that it has jurisdiction to hear this Application</w:t>
      </w:r>
      <w:r w:rsidRPr="00091FC2">
        <w:rPr>
          <w:rStyle w:val="tlid-translation"/>
          <w:rFonts w:ascii="Arial" w:hAnsi="Arial" w:cs="Arial"/>
        </w:rPr>
        <w:t>.</w:t>
      </w:r>
    </w:p>
    <w:p w14:paraId="37FEE648" w14:textId="77777777" w:rsidR="00F95F7C" w:rsidRPr="00091FC2" w:rsidRDefault="00F95F7C" w:rsidP="00A8297E">
      <w:pPr>
        <w:rPr>
          <w:bCs/>
        </w:rPr>
      </w:pPr>
    </w:p>
    <w:p w14:paraId="6424182B" w14:textId="2BA329DF" w:rsidR="009B7224" w:rsidRPr="00091FC2" w:rsidRDefault="009B7224" w:rsidP="00A8297E">
      <w:pPr>
        <w:rPr>
          <w:bCs/>
        </w:rPr>
      </w:pPr>
    </w:p>
    <w:p w14:paraId="48D51752" w14:textId="7EF95E00" w:rsidR="00B14B75" w:rsidRPr="00091FC2" w:rsidRDefault="00B14B75" w:rsidP="00A8297E">
      <w:bookmarkStart w:id="19" w:name="_Toc136592900"/>
      <w:r w:rsidRPr="00091FC2">
        <w:t>ADMISSIBILITY</w:t>
      </w:r>
      <w:bookmarkEnd w:id="19"/>
    </w:p>
    <w:p w14:paraId="31EC835A" w14:textId="77777777" w:rsidR="00B14B75" w:rsidRPr="00091FC2" w:rsidRDefault="00B14B75" w:rsidP="00A8297E"/>
    <w:p w14:paraId="5977D003" w14:textId="310E4866" w:rsidR="0009712C" w:rsidRPr="00091FC2" w:rsidRDefault="00B14B75" w:rsidP="00A8297E">
      <w:r w:rsidRPr="00091FC2">
        <w:lastRenderedPageBreak/>
        <w:t>In terms of Article 6(2) of the Protocol, “the Court shall rule on the admissibility of cases taking into account the provisions of Article 56 of the Charter”</w:t>
      </w:r>
      <w:r w:rsidR="00F56B70" w:rsidRPr="00091FC2">
        <w:t>.</w:t>
      </w:r>
      <w:r w:rsidRPr="00091FC2">
        <w:t xml:space="preserve"> </w:t>
      </w:r>
    </w:p>
    <w:p w14:paraId="6473E565" w14:textId="77777777" w:rsidR="0009712C" w:rsidRPr="00091FC2" w:rsidRDefault="0009712C" w:rsidP="00A8297E"/>
    <w:p w14:paraId="4D343985" w14:textId="3115F759" w:rsidR="00B14B75" w:rsidRPr="00091FC2" w:rsidRDefault="00B14B75" w:rsidP="00A8297E">
      <w:r w:rsidRPr="00091FC2">
        <w:t>Pursuant to Rule 49(1) and 50 of the Rules, “The Court shall ascertain the admissibility of an Application filed before it in accordance with Article 56 of the Charter, Article 6(2) of the Protocol and these Rules</w:t>
      </w:r>
      <w:r w:rsidR="0099655C" w:rsidRPr="00091FC2">
        <w:t>.</w:t>
      </w:r>
      <w:r w:rsidRPr="00091FC2">
        <w:t>”</w:t>
      </w:r>
    </w:p>
    <w:p w14:paraId="678F7762" w14:textId="77777777" w:rsidR="00B14B75" w:rsidRPr="00091FC2" w:rsidRDefault="00B14B75" w:rsidP="00A8297E"/>
    <w:p w14:paraId="05E3E32A" w14:textId="006E2CD6" w:rsidR="00B14B75" w:rsidRPr="00091FC2" w:rsidRDefault="00B14B75" w:rsidP="00A8297E">
      <w:r w:rsidRPr="00091FC2">
        <w:t>Rule 50(2) of the Rules, which in substance restates the provisions of Article 56 of the Charter, provides as follows:</w:t>
      </w:r>
    </w:p>
    <w:p w14:paraId="1DBABADA" w14:textId="77777777" w:rsidR="002467F8" w:rsidRPr="00091FC2" w:rsidRDefault="002467F8" w:rsidP="00A8297E"/>
    <w:p w14:paraId="7FC5CDC4" w14:textId="39796DF1" w:rsidR="00B14B75" w:rsidRPr="00091FC2" w:rsidRDefault="0099655C" w:rsidP="00A8297E">
      <w:pPr>
        <w:rPr>
          <w:rFonts w:eastAsia="Calibri"/>
          <w:sz w:val="22"/>
          <w:szCs w:val="22"/>
        </w:rPr>
      </w:pPr>
      <w:r w:rsidRPr="00091FC2">
        <w:rPr>
          <w:rFonts w:eastAsia="Calibri"/>
          <w:sz w:val="22"/>
          <w:szCs w:val="22"/>
        </w:rPr>
        <w:t xml:space="preserve">Applications filed before the Court shall comply with </w:t>
      </w:r>
      <w:r w:rsidR="000B7988" w:rsidRPr="00091FC2">
        <w:rPr>
          <w:rFonts w:eastAsia="Calibri"/>
          <w:sz w:val="22"/>
          <w:szCs w:val="22"/>
        </w:rPr>
        <w:t>all</w:t>
      </w:r>
      <w:r w:rsidRPr="00091FC2">
        <w:rPr>
          <w:rFonts w:eastAsia="Calibri"/>
          <w:sz w:val="22"/>
          <w:szCs w:val="22"/>
        </w:rPr>
        <w:t xml:space="preserve"> </w:t>
      </w:r>
      <w:r w:rsidR="00C3540B" w:rsidRPr="00091FC2">
        <w:rPr>
          <w:rFonts w:eastAsia="Calibri"/>
          <w:sz w:val="22"/>
          <w:szCs w:val="22"/>
        </w:rPr>
        <w:t xml:space="preserve">of </w:t>
      </w:r>
      <w:r w:rsidRPr="00091FC2">
        <w:rPr>
          <w:rFonts w:eastAsia="Calibri"/>
          <w:sz w:val="22"/>
          <w:szCs w:val="22"/>
        </w:rPr>
        <w:t>the following conditions</w:t>
      </w:r>
      <w:r w:rsidR="00B14B75" w:rsidRPr="00091FC2">
        <w:rPr>
          <w:rFonts w:eastAsia="Calibri"/>
          <w:sz w:val="22"/>
          <w:szCs w:val="22"/>
        </w:rPr>
        <w:t>:</w:t>
      </w:r>
    </w:p>
    <w:p w14:paraId="6273CCF1" w14:textId="21ACCBAA" w:rsidR="00B14B75" w:rsidRPr="00091FC2" w:rsidRDefault="00406856" w:rsidP="00A8297E">
      <w:pPr>
        <w:rPr>
          <w:sz w:val="22"/>
          <w:szCs w:val="22"/>
        </w:rPr>
      </w:pPr>
      <w:r w:rsidRPr="00091FC2">
        <w:rPr>
          <w:sz w:val="22"/>
          <w:szCs w:val="22"/>
        </w:rPr>
        <w:t xml:space="preserve">Indicate their authors even if the latter request </w:t>
      </w:r>
      <w:r w:rsidR="00B14B75" w:rsidRPr="00091FC2">
        <w:rPr>
          <w:sz w:val="22"/>
          <w:szCs w:val="22"/>
        </w:rPr>
        <w:t>anonymity;</w:t>
      </w:r>
    </w:p>
    <w:p w14:paraId="0F8A1365" w14:textId="7ABD4F1E" w:rsidR="00B14B75" w:rsidRPr="00091FC2" w:rsidRDefault="00406856" w:rsidP="00A8297E">
      <w:pPr>
        <w:rPr>
          <w:sz w:val="22"/>
          <w:szCs w:val="22"/>
        </w:rPr>
      </w:pPr>
      <w:r w:rsidRPr="00091FC2">
        <w:rPr>
          <w:sz w:val="22"/>
          <w:szCs w:val="22"/>
        </w:rPr>
        <w:t xml:space="preserve">Are compatible </w:t>
      </w:r>
      <w:r w:rsidR="00B14B75" w:rsidRPr="00091FC2">
        <w:rPr>
          <w:sz w:val="22"/>
          <w:szCs w:val="22"/>
        </w:rPr>
        <w:t xml:space="preserve">with the Constitutive Act of the </w:t>
      </w:r>
      <w:r w:rsidRPr="00091FC2">
        <w:rPr>
          <w:sz w:val="22"/>
          <w:szCs w:val="22"/>
        </w:rPr>
        <w:t xml:space="preserve">African </w:t>
      </w:r>
      <w:r w:rsidR="00B14B75" w:rsidRPr="00091FC2">
        <w:rPr>
          <w:sz w:val="22"/>
          <w:szCs w:val="22"/>
        </w:rPr>
        <w:t xml:space="preserve">Union and </w:t>
      </w:r>
      <w:r w:rsidRPr="00091FC2">
        <w:rPr>
          <w:sz w:val="22"/>
          <w:szCs w:val="22"/>
        </w:rPr>
        <w:t xml:space="preserve">with </w:t>
      </w:r>
      <w:r w:rsidR="00B14B75" w:rsidRPr="00091FC2">
        <w:rPr>
          <w:sz w:val="22"/>
          <w:szCs w:val="22"/>
        </w:rPr>
        <w:t>the Charter;</w:t>
      </w:r>
    </w:p>
    <w:p w14:paraId="3F16B500" w14:textId="1D827E5C" w:rsidR="00B14B75" w:rsidRPr="00091FC2" w:rsidRDefault="00406856" w:rsidP="00A8297E">
      <w:pPr>
        <w:rPr>
          <w:sz w:val="22"/>
          <w:szCs w:val="22"/>
        </w:rPr>
      </w:pPr>
      <w:r w:rsidRPr="00091FC2">
        <w:rPr>
          <w:sz w:val="22"/>
          <w:szCs w:val="22"/>
        </w:rPr>
        <w:t>Are n</w:t>
      </w:r>
      <w:r w:rsidR="00B14B75" w:rsidRPr="00091FC2">
        <w:rPr>
          <w:sz w:val="22"/>
          <w:szCs w:val="22"/>
        </w:rPr>
        <w:t xml:space="preserve">ot </w:t>
      </w:r>
      <w:r w:rsidRPr="00091FC2">
        <w:rPr>
          <w:sz w:val="22"/>
          <w:szCs w:val="22"/>
        </w:rPr>
        <w:t xml:space="preserve">written in </w:t>
      </w:r>
      <w:r w:rsidR="00B14B75" w:rsidRPr="00091FC2">
        <w:rPr>
          <w:sz w:val="22"/>
          <w:szCs w:val="22"/>
        </w:rPr>
        <w:t>disparaging or insulting language</w:t>
      </w:r>
      <w:r w:rsidRPr="00091FC2">
        <w:rPr>
          <w:sz w:val="22"/>
          <w:szCs w:val="22"/>
        </w:rPr>
        <w:t xml:space="preserve"> directed against the State concerned and its institutions or the African Union</w:t>
      </w:r>
      <w:r w:rsidR="00B14B75" w:rsidRPr="00091FC2">
        <w:rPr>
          <w:sz w:val="22"/>
          <w:szCs w:val="22"/>
        </w:rPr>
        <w:t>;</w:t>
      </w:r>
    </w:p>
    <w:p w14:paraId="652A9A63" w14:textId="3E73AD81" w:rsidR="00B14B75" w:rsidRPr="00091FC2" w:rsidRDefault="00406856" w:rsidP="00A8297E">
      <w:pPr>
        <w:rPr>
          <w:sz w:val="22"/>
          <w:szCs w:val="22"/>
        </w:rPr>
      </w:pPr>
      <w:r w:rsidRPr="00091FC2">
        <w:rPr>
          <w:sz w:val="22"/>
          <w:szCs w:val="22"/>
        </w:rPr>
        <w:t>Are n</w:t>
      </w:r>
      <w:r w:rsidR="00B14B75" w:rsidRPr="00091FC2">
        <w:rPr>
          <w:sz w:val="22"/>
          <w:szCs w:val="22"/>
        </w:rPr>
        <w:t>ot based exclusively on news disseminated through the mass media;</w:t>
      </w:r>
    </w:p>
    <w:p w14:paraId="2E71BC8E" w14:textId="2ED443D0" w:rsidR="00B14B75" w:rsidRPr="00091FC2" w:rsidRDefault="00406856" w:rsidP="00A8297E">
      <w:pPr>
        <w:rPr>
          <w:sz w:val="22"/>
          <w:szCs w:val="22"/>
        </w:rPr>
      </w:pPr>
      <w:r w:rsidRPr="00091FC2">
        <w:rPr>
          <w:sz w:val="22"/>
          <w:szCs w:val="22"/>
        </w:rPr>
        <w:t xml:space="preserve">Are sent </w:t>
      </w:r>
      <w:r w:rsidR="00B14B75" w:rsidRPr="00091FC2">
        <w:rPr>
          <w:sz w:val="22"/>
          <w:szCs w:val="22"/>
        </w:rPr>
        <w:t>after exhausting local remedies, if any, unless it is obvious that this procedure is unduly prolonged;</w:t>
      </w:r>
    </w:p>
    <w:p w14:paraId="5C5B5F56" w14:textId="0A7BA202" w:rsidR="00B14B75" w:rsidRPr="00091FC2" w:rsidRDefault="00406856" w:rsidP="00A8297E">
      <w:pPr>
        <w:rPr>
          <w:sz w:val="22"/>
          <w:szCs w:val="22"/>
        </w:rPr>
      </w:pPr>
      <w:r w:rsidRPr="00091FC2">
        <w:rPr>
          <w:sz w:val="22"/>
          <w:szCs w:val="22"/>
        </w:rPr>
        <w:t xml:space="preserve">Are submitted </w:t>
      </w:r>
      <w:r w:rsidR="00B14B75" w:rsidRPr="00091FC2">
        <w:rPr>
          <w:sz w:val="22"/>
          <w:szCs w:val="22"/>
        </w:rPr>
        <w:t>within a reasonable time from the date local remedies were exhausted or from the date set by the Court as being the commencement of the time limit w</w:t>
      </w:r>
      <w:r w:rsidR="00612DE0" w:rsidRPr="00091FC2">
        <w:rPr>
          <w:sz w:val="22"/>
          <w:szCs w:val="22"/>
        </w:rPr>
        <w:t>ithin which it shall be seised with the m</w:t>
      </w:r>
      <w:r w:rsidR="00B14B75" w:rsidRPr="00091FC2">
        <w:rPr>
          <w:sz w:val="22"/>
          <w:szCs w:val="22"/>
        </w:rPr>
        <w:t>atter;</w:t>
      </w:r>
      <w:r w:rsidR="00612DE0" w:rsidRPr="00091FC2">
        <w:rPr>
          <w:sz w:val="22"/>
          <w:szCs w:val="22"/>
        </w:rPr>
        <w:t xml:space="preserve"> and</w:t>
      </w:r>
    </w:p>
    <w:p w14:paraId="38655895" w14:textId="45C4AD05" w:rsidR="00B14B75" w:rsidRPr="00091FC2" w:rsidRDefault="00612DE0" w:rsidP="00A8297E">
      <w:pPr>
        <w:rPr>
          <w:sz w:val="22"/>
          <w:szCs w:val="22"/>
        </w:rPr>
      </w:pPr>
      <w:r w:rsidRPr="00091FC2">
        <w:rPr>
          <w:sz w:val="22"/>
          <w:szCs w:val="22"/>
        </w:rPr>
        <w:t>Do n</w:t>
      </w:r>
      <w:r w:rsidR="00B14B75" w:rsidRPr="00091FC2">
        <w:rPr>
          <w:sz w:val="22"/>
          <w:szCs w:val="22"/>
        </w:rPr>
        <w:t xml:space="preserve">ot </w:t>
      </w:r>
      <w:r w:rsidRPr="00091FC2">
        <w:rPr>
          <w:sz w:val="22"/>
          <w:szCs w:val="22"/>
        </w:rPr>
        <w:t>deal with cases which have been settled by those States involved</w:t>
      </w:r>
      <w:r w:rsidR="00B14B75" w:rsidRPr="00091FC2">
        <w:rPr>
          <w:sz w:val="22"/>
          <w:szCs w:val="22"/>
        </w:rPr>
        <w:t xml:space="preserve"> in accordance with the principles of the Charter of the United Nations, the Constit</w:t>
      </w:r>
      <w:r w:rsidRPr="00091FC2">
        <w:rPr>
          <w:sz w:val="22"/>
          <w:szCs w:val="22"/>
        </w:rPr>
        <w:t xml:space="preserve">utive Act of the African Union or </w:t>
      </w:r>
      <w:r w:rsidR="00B14B75" w:rsidRPr="00091FC2">
        <w:rPr>
          <w:sz w:val="22"/>
          <w:szCs w:val="22"/>
        </w:rPr>
        <w:t>the provisions of the Charter.</w:t>
      </w:r>
    </w:p>
    <w:p w14:paraId="45F35E7B" w14:textId="77777777" w:rsidR="00192701" w:rsidRPr="00091FC2" w:rsidRDefault="00192701" w:rsidP="00A8297E"/>
    <w:p w14:paraId="745001C3" w14:textId="7588E421" w:rsidR="00192701" w:rsidRPr="00091FC2" w:rsidRDefault="00192701" w:rsidP="00A8297E">
      <w:r w:rsidRPr="00091FC2">
        <w:t>The Court notes that the Respondent State raise</w:t>
      </w:r>
      <w:r w:rsidR="00B90639" w:rsidRPr="00091FC2">
        <w:t>s</w:t>
      </w:r>
      <w:r w:rsidRPr="00091FC2">
        <w:t xml:space="preserve"> two </w:t>
      </w:r>
      <w:r w:rsidR="001A6CB7" w:rsidRPr="00091FC2">
        <w:t xml:space="preserve">(2) </w:t>
      </w:r>
      <w:r w:rsidRPr="00091FC2">
        <w:t xml:space="preserve">objections to the admissibility of the Application. The first relates to the </w:t>
      </w:r>
      <w:r w:rsidR="00481A6B" w:rsidRPr="00091FC2">
        <w:rPr>
          <w:bCs/>
        </w:rPr>
        <w:t>failure to exhaust</w:t>
      </w:r>
      <w:r w:rsidR="00481A6B" w:rsidRPr="00091FC2">
        <w:t xml:space="preserve"> </w:t>
      </w:r>
      <w:r w:rsidRPr="00091FC2">
        <w:t>local remedies and the second relates to whether the Application was filed within reasonable time.</w:t>
      </w:r>
    </w:p>
    <w:p w14:paraId="74742029" w14:textId="77777777" w:rsidR="008E3A77" w:rsidRPr="00091FC2" w:rsidRDefault="008E3A77" w:rsidP="00A8297E"/>
    <w:p w14:paraId="6EF64DEF" w14:textId="33DABDD4" w:rsidR="00A269FF" w:rsidRPr="00091FC2" w:rsidRDefault="00B14B75" w:rsidP="00A8297E">
      <w:bookmarkStart w:id="20" w:name="_Toc136592901"/>
      <w:r w:rsidRPr="00091FC2">
        <w:t xml:space="preserve">Objection </w:t>
      </w:r>
      <w:r w:rsidR="004B7BF6" w:rsidRPr="00091FC2">
        <w:t xml:space="preserve">based </w:t>
      </w:r>
      <w:r w:rsidRPr="00091FC2">
        <w:t xml:space="preserve">on </w:t>
      </w:r>
      <w:r w:rsidR="00A269FF" w:rsidRPr="00091FC2">
        <w:t>non-exhaustion of local remedies</w:t>
      </w:r>
      <w:bookmarkEnd w:id="20"/>
    </w:p>
    <w:p w14:paraId="21513F4F" w14:textId="77777777" w:rsidR="00554EF9" w:rsidRPr="00091FC2" w:rsidRDefault="00554EF9" w:rsidP="00A8297E"/>
    <w:p w14:paraId="0AC09256" w14:textId="1FA4CFC9" w:rsidR="00382154" w:rsidRPr="00091FC2" w:rsidRDefault="00382154" w:rsidP="00A8297E">
      <w:r w:rsidRPr="00091FC2">
        <w:t>The Respondent State argues that</w:t>
      </w:r>
      <w:r w:rsidR="0049757C" w:rsidRPr="00091FC2">
        <w:t>,</w:t>
      </w:r>
      <w:r w:rsidRPr="00091FC2">
        <w:t xml:space="preserve"> </w:t>
      </w:r>
      <w:r w:rsidR="00D3213D" w:rsidRPr="00091FC2">
        <w:t xml:space="preserve">contrary to Rule 40(5) of </w:t>
      </w:r>
      <w:r w:rsidRPr="00091FC2">
        <w:t>the</w:t>
      </w:r>
      <w:r w:rsidR="00D3213D" w:rsidRPr="00091FC2">
        <w:t xml:space="preserve"> Rules of the Court,</w:t>
      </w:r>
      <w:r w:rsidR="00447F46" w:rsidRPr="00091FC2">
        <w:rPr>
          <w:rStyle w:val="FootnoteReference"/>
          <w:rFonts w:ascii="Arial" w:hAnsi="Arial" w:cs="Arial"/>
        </w:rPr>
        <w:footnoteReference w:id="12"/>
      </w:r>
      <w:r w:rsidR="00D3213D" w:rsidRPr="00091FC2">
        <w:t xml:space="preserve"> the</w:t>
      </w:r>
      <w:r w:rsidRPr="00091FC2">
        <w:t xml:space="preserve"> Application </w:t>
      </w:r>
      <w:r w:rsidR="00B90639" w:rsidRPr="00091FC2">
        <w:t>was</w:t>
      </w:r>
      <w:r w:rsidRPr="00091FC2">
        <w:t xml:space="preserve"> instituted prematurely</w:t>
      </w:r>
      <w:r w:rsidR="000F5D74" w:rsidRPr="00091FC2">
        <w:t xml:space="preserve">. </w:t>
      </w:r>
      <w:r w:rsidR="000F5D74" w:rsidRPr="00091FC2">
        <w:rPr>
          <w:bCs/>
        </w:rPr>
        <w:t>The Respondent State avers that</w:t>
      </w:r>
      <w:r w:rsidR="000F5D74" w:rsidRPr="00091FC2">
        <w:t xml:space="preserve"> </w:t>
      </w:r>
      <w:r w:rsidRPr="00091FC2">
        <w:t xml:space="preserve">the Applicant neither pursued the remedy of filing a constitutional petition before the High Court </w:t>
      </w:r>
      <w:r w:rsidR="006D3505" w:rsidRPr="00091FC2">
        <w:t xml:space="preserve">pursuant to </w:t>
      </w:r>
      <w:r w:rsidRPr="00091FC2">
        <w:t>Article 13(6) of the</w:t>
      </w:r>
      <w:r w:rsidR="005D7598" w:rsidRPr="00091FC2">
        <w:t xml:space="preserve"> Constitution of Tanzania (1977)</w:t>
      </w:r>
      <w:r w:rsidRPr="00091FC2">
        <w:t xml:space="preserve"> </w:t>
      </w:r>
      <w:r w:rsidR="000A7ACD" w:rsidRPr="00091FC2">
        <w:t>nor applied</w:t>
      </w:r>
      <w:r w:rsidRPr="00091FC2">
        <w:t xml:space="preserve"> for the review of the Court of Appeal decision to redress the alleged violation of his right to be heard.</w:t>
      </w:r>
    </w:p>
    <w:p w14:paraId="3C17370D" w14:textId="09E3491B" w:rsidR="00382154" w:rsidRPr="00091FC2" w:rsidRDefault="00382154" w:rsidP="00A8297E"/>
    <w:p w14:paraId="39AB3797" w14:textId="5B6868DE" w:rsidR="005D7598" w:rsidRPr="00091FC2" w:rsidRDefault="00B27CF7" w:rsidP="00A8297E">
      <w:r w:rsidRPr="00091FC2">
        <w:t xml:space="preserve">In </w:t>
      </w:r>
      <w:r w:rsidR="000F5D74" w:rsidRPr="00091FC2">
        <w:t xml:space="preserve">the </w:t>
      </w:r>
      <w:r w:rsidRPr="00091FC2">
        <w:t>Reply, t</w:t>
      </w:r>
      <w:r w:rsidR="00382154" w:rsidRPr="00091FC2">
        <w:t>he Applicant</w:t>
      </w:r>
      <w:r w:rsidR="00554EF9" w:rsidRPr="00091FC2">
        <w:t xml:space="preserve"> </w:t>
      </w:r>
      <w:r w:rsidR="005D7598" w:rsidRPr="00091FC2">
        <w:t>contends that he exhausted local remedies before filing the Application. In his view, instituting a constitutional petition would be untenable considering that a single judge assigned to adjudicate constitutional petitions cannot overturn the Court of Appeal decision, which was determined by a three-judge</w:t>
      </w:r>
      <w:r w:rsidR="00192701" w:rsidRPr="00091FC2">
        <w:t xml:space="preserve"> bench</w:t>
      </w:r>
      <w:r w:rsidR="002A037B" w:rsidRPr="00091FC2">
        <w:t xml:space="preserve">. </w:t>
      </w:r>
      <w:r w:rsidR="005D7598" w:rsidRPr="00091FC2">
        <w:t xml:space="preserve">Further, the Applicant </w:t>
      </w:r>
      <w:r w:rsidR="00B90639" w:rsidRPr="00091FC2">
        <w:t xml:space="preserve">refutes </w:t>
      </w:r>
      <w:r w:rsidR="00554EF9" w:rsidRPr="00091FC2">
        <w:t xml:space="preserve">the claim that the review remedy was not pursued </w:t>
      </w:r>
      <w:r w:rsidR="006D3505" w:rsidRPr="00091FC2">
        <w:t xml:space="preserve">since </w:t>
      </w:r>
      <w:r w:rsidR="00C3540B" w:rsidRPr="00091FC2">
        <w:t>he filed a notice of motion for review of the Court of Appeal</w:t>
      </w:r>
      <w:r w:rsidR="00093C4B" w:rsidRPr="00091FC2">
        <w:t>’</w:t>
      </w:r>
      <w:r w:rsidR="00C3540B" w:rsidRPr="00091FC2">
        <w:t>s decision</w:t>
      </w:r>
      <w:r w:rsidR="003C5886" w:rsidRPr="00091FC2">
        <w:t xml:space="preserve">, which was received by the </w:t>
      </w:r>
      <w:r w:rsidR="00563279" w:rsidRPr="00091FC2">
        <w:t>“</w:t>
      </w:r>
      <w:r w:rsidR="00554EF9" w:rsidRPr="00091FC2">
        <w:t xml:space="preserve">Registry of the </w:t>
      </w:r>
      <w:r w:rsidR="003C5886" w:rsidRPr="00091FC2">
        <w:t>Court of A</w:t>
      </w:r>
      <w:r w:rsidR="00554EF9" w:rsidRPr="00091FC2">
        <w:t>ppeal at Bukoba on 11 March 2014</w:t>
      </w:r>
      <w:r w:rsidR="00563279" w:rsidRPr="00091FC2">
        <w:t>”</w:t>
      </w:r>
      <w:r w:rsidR="00554EF9" w:rsidRPr="00091FC2">
        <w:t xml:space="preserve">. </w:t>
      </w:r>
    </w:p>
    <w:p w14:paraId="1CD3C35C" w14:textId="77777777" w:rsidR="003960B0" w:rsidRPr="00091FC2" w:rsidRDefault="003960B0" w:rsidP="00A8297E"/>
    <w:p w14:paraId="62DF0C20" w14:textId="2FFD207A" w:rsidR="005D7598" w:rsidRPr="00091FC2" w:rsidRDefault="00192701" w:rsidP="00A8297E">
      <w:r w:rsidRPr="00091FC2">
        <w:t>***</w:t>
      </w:r>
    </w:p>
    <w:p w14:paraId="57C0203B" w14:textId="77777777" w:rsidR="00EE0A5E" w:rsidRPr="00091FC2" w:rsidRDefault="00EE0A5E" w:rsidP="00A8297E"/>
    <w:p w14:paraId="277D1B45" w14:textId="486614EE" w:rsidR="00B27CF7" w:rsidRPr="00091FC2" w:rsidRDefault="00B27CF7" w:rsidP="00A8297E">
      <w:pPr>
        <w:rPr>
          <w:iCs/>
        </w:rPr>
      </w:pPr>
      <w:r w:rsidRPr="00091FC2">
        <w:lastRenderedPageBreak/>
        <w:t xml:space="preserve">The Court notes </w:t>
      </w:r>
      <w:r w:rsidR="006A1FFE" w:rsidRPr="00091FC2">
        <w:t xml:space="preserve">that, </w:t>
      </w:r>
      <w:r w:rsidRPr="00091FC2">
        <w:t xml:space="preserve">pursuant to Article 56(5) of the Charter, whose provisions are restated in Rule 50(2)(e) of the Rules, any application filed before it </w:t>
      </w:r>
      <w:r w:rsidR="000F5D74" w:rsidRPr="00091FC2">
        <w:t>must</w:t>
      </w:r>
      <w:r w:rsidRPr="00091FC2">
        <w:t xml:space="preserve"> fulfil the requirement of exhaustion of local remedies. The</w:t>
      </w:r>
      <w:r w:rsidR="005B20E7" w:rsidRPr="00091FC2">
        <w:t xml:space="preserve"> </w:t>
      </w:r>
      <w:r w:rsidR="000F5D74" w:rsidRPr="00091FC2">
        <w:t xml:space="preserve">requirement </w:t>
      </w:r>
      <w:r w:rsidRPr="00091FC2">
        <w:t>aims at providing States the opportunity to deal with human rights violations within their jurisdictions before an international human rights body is called upon to determine the State</w:t>
      </w:r>
      <w:r w:rsidR="00093C4B" w:rsidRPr="00091FC2">
        <w:t>’</w:t>
      </w:r>
      <w:r w:rsidRPr="00091FC2">
        <w:t>s responsibility for the same.</w:t>
      </w:r>
      <w:r w:rsidRPr="00091FC2">
        <w:rPr>
          <w:vertAlign w:val="superscript"/>
        </w:rPr>
        <w:footnoteReference w:id="13"/>
      </w:r>
      <w:r w:rsidRPr="00091FC2">
        <w:t xml:space="preserve"> </w:t>
      </w:r>
    </w:p>
    <w:p w14:paraId="6893C797" w14:textId="77777777" w:rsidR="004A3CA5" w:rsidRPr="00091FC2" w:rsidRDefault="004A3CA5" w:rsidP="00A8297E">
      <w:pPr>
        <w:rPr>
          <w:iCs/>
        </w:rPr>
      </w:pPr>
    </w:p>
    <w:p w14:paraId="649653C7" w14:textId="359C19C5" w:rsidR="002A037B" w:rsidRPr="00091FC2" w:rsidRDefault="00B27CF7" w:rsidP="00A8297E">
      <w:r w:rsidRPr="00091FC2">
        <w:rPr>
          <w:color w:val="000000" w:themeColor="text1"/>
        </w:rPr>
        <w:t>Th</w:t>
      </w:r>
      <w:r w:rsidR="0092088E" w:rsidRPr="00091FC2">
        <w:rPr>
          <w:color w:val="000000" w:themeColor="text1"/>
        </w:rPr>
        <w:t>e</w:t>
      </w:r>
      <w:r w:rsidRPr="00091FC2">
        <w:rPr>
          <w:color w:val="000000" w:themeColor="text1"/>
        </w:rPr>
        <w:t xml:space="preserve"> Court </w:t>
      </w:r>
      <w:r w:rsidRPr="00091FC2">
        <w:t xml:space="preserve">has also stated in a </w:t>
      </w:r>
      <w:r w:rsidR="005B14B5" w:rsidRPr="00091FC2">
        <w:t>number of</w:t>
      </w:r>
      <w:r w:rsidRPr="00091FC2">
        <w:t xml:space="preserve"> cases involving the Respondent State that the remedies of filing a constitutional petition in the High Court and use of the review procedure in the </w:t>
      </w:r>
      <w:r w:rsidR="00D309E8" w:rsidRPr="00091FC2">
        <w:t>Respondent State</w:t>
      </w:r>
      <w:r w:rsidR="00093C4B" w:rsidRPr="00091FC2">
        <w:t>’</w:t>
      </w:r>
      <w:r w:rsidR="00D309E8" w:rsidRPr="00091FC2">
        <w:t xml:space="preserve">s </w:t>
      </w:r>
      <w:r w:rsidRPr="00091FC2">
        <w:t>judicial system are extraordinary remedies</w:t>
      </w:r>
      <w:r w:rsidR="0090492E" w:rsidRPr="00091FC2">
        <w:t>. Therefore</w:t>
      </w:r>
      <w:r w:rsidR="00066481" w:rsidRPr="00091FC2">
        <w:t>,</w:t>
      </w:r>
      <w:r w:rsidRPr="00091FC2">
        <w:t xml:space="preserve"> an Applicant is not r</w:t>
      </w:r>
      <w:r w:rsidR="00C3540B" w:rsidRPr="00091FC2">
        <w:t xml:space="preserve">equired to exhaust </w:t>
      </w:r>
      <w:r w:rsidR="0090492E" w:rsidRPr="00091FC2">
        <w:t xml:space="preserve">these remedies </w:t>
      </w:r>
      <w:r w:rsidR="00C3540B" w:rsidRPr="00091FC2">
        <w:t>prior to seiz</w:t>
      </w:r>
      <w:r w:rsidRPr="00091FC2">
        <w:t>ing this Court.</w:t>
      </w:r>
      <w:r w:rsidRPr="00091FC2">
        <w:rPr>
          <w:rStyle w:val="FootnoteReference"/>
          <w:rFonts w:ascii="Arial" w:hAnsi="Arial" w:cs="Arial"/>
        </w:rPr>
        <w:footnoteReference w:id="14"/>
      </w:r>
      <w:r w:rsidR="005856F4" w:rsidRPr="00091FC2">
        <w:t xml:space="preserve"> </w:t>
      </w:r>
    </w:p>
    <w:p w14:paraId="11288B5E" w14:textId="77777777" w:rsidR="002A037B" w:rsidRPr="00091FC2" w:rsidRDefault="002A037B" w:rsidP="00A8297E"/>
    <w:p w14:paraId="5B43D51D" w14:textId="3463B42E" w:rsidR="00B27CF7" w:rsidRPr="00091FC2" w:rsidRDefault="00B27CF7" w:rsidP="00A8297E">
      <w:r w:rsidRPr="00091FC2">
        <w:t>The Court</w:t>
      </w:r>
      <w:r w:rsidR="0090492E" w:rsidRPr="00091FC2">
        <w:t xml:space="preserve"> notes </w:t>
      </w:r>
      <w:r w:rsidR="00C3540B" w:rsidRPr="00091FC2">
        <w:t>that</w:t>
      </w:r>
      <w:r w:rsidR="004B7BF6" w:rsidRPr="00091FC2">
        <w:t xml:space="preserve"> </w:t>
      </w:r>
      <w:r w:rsidRPr="00091FC2">
        <w:t xml:space="preserve">the Court of Appeal of Tanzania, the highest judicial organ in the Respondent State, had, by its judgment of </w:t>
      </w:r>
      <w:r w:rsidR="005856F4" w:rsidRPr="00091FC2">
        <w:t>21 May 2009</w:t>
      </w:r>
      <w:r w:rsidR="004B7BF6" w:rsidRPr="00091FC2">
        <w:t xml:space="preserve"> on the Applicant</w:t>
      </w:r>
      <w:r w:rsidR="00093C4B" w:rsidRPr="00091FC2">
        <w:t>’</w:t>
      </w:r>
      <w:r w:rsidR="004B7BF6" w:rsidRPr="00091FC2">
        <w:t>s appeal</w:t>
      </w:r>
      <w:r w:rsidRPr="00091FC2">
        <w:t>, upheld his conviction and sentence following proceedings which the Applicant alleges violated his rights.</w:t>
      </w:r>
      <w:r w:rsidR="0090492E" w:rsidRPr="00091FC2">
        <w:t xml:space="preserve"> </w:t>
      </w:r>
      <w:r w:rsidR="0090492E" w:rsidRPr="00091FC2">
        <w:rPr>
          <w:bCs/>
        </w:rPr>
        <w:t xml:space="preserve">The Court therefore finds that the Applicant exhausted local remedies prior to filing </w:t>
      </w:r>
      <w:r w:rsidR="00257E63" w:rsidRPr="00091FC2">
        <w:rPr>
          <w:bCs/>
        </w:rPr>
        <w:t xml:space="preserve">the </w:t>
      </w:r>
      <w:r w:rsidR="0090492E" w:rsidRPr="00091FC2">
        <w:rPr>
          <w:bCs/>
        </w:rPr>
        <w:t>Application.</w:t>
      </w:r>
      <w:r w:rsidR="0090492E" w:rsidRPr="00091FC2">
        <w:t xml:space="preserve"> </w:t>
      </w:r>
    </w:p>
    <w:p w14:paraId="297BA5EC" w14:textId="77777777" w:rsidR="00A412B9" w:rsidRPr="00091FC2" w:rsidRDefault="00A412B9" w:rsidP="00A8297E"/>
    <w:p w14:paraId="416A9BC5" w14:textId="4F1AECFA" w:rsidR="005856F4" w:rsidRPr="00091FC2" w:rsidRDefault="00BF21E2" w:rsidP="00A8297E">
      <w:r w:rsidRPr="00091FC2">
        <w:t xml:space="preserve">In view of </w:t>
      </w:r>
      <w:r w:rsidR="005856F4" w:rsidRPr="00091FC2">
        <w:t>the above, the Court dismisses the Respondent State</w:t>
      </w:r>
      <w:r w:rsidR="00093C4B" w:rsidRPr="00091FC2">
        <w:t>’</w:t>
      </w:r>
      <w:r w:rsidR="005856F4" w:rsidRPr="00091FC2">
        <w:t>s objection alleging that the Applicant did not exhaust local remedies.</w:t>
      </w:r>
      <w:r w:rsidR="00C208FA" w:rsidRPr="00091FC2">
        <w:t xml:space="preserve"> </w:t>
      </w:r>
    </w:p>
    <w:p w14:paraId="4C100AB9" w14:textId="0F258A4F" w:rsidR="00B14B75" w:rsidRPr="00091FC2" w:rsidRDefault="00B14B75" w:rsidP="00A8297E">
      <w:bookmarkStart w:id="21" w:name="_Toc136592902"/>
      <w:r w:rsidRPr="00091FC2">
        <w:t xml:space="preserve">Objection </w:t>
      </w:r>
      <w:r w:rsidR="004B7BF6" w:rsidRPr="00091FC2">
        <w:t xml:space="preserve">based </w:t>
      </w:r>
      <w:r w:rsidRPr="00091FC2">
        <w:t>on</w:t>
      </w:r>
      <w:r w:rsidR="00A269FF" w:rsidRPr="00091FC2">
        <w:t xml:space="preserve"> failure to file </w:t>
      </w:r>
      <w:r w:rsidR="00095BF3" w:rsidRPr="00091FC2">
        <w:t xml:space="preserve">the </w:t>
      </w:r>
      <w:r w:rsidR="00A269FF" w:rsidRPr="00091FC2">
        <w:t>Application within a reasonable time</w:t>
      </w:r>
      <w:bookmarkEnd w:id="21"/>
      <w:r w:rsidR="00A269FF" w:rsidRPr="00091FC2">
        <w:t xml:space="preserve"> </w:t>
      </w:r>
    </w:p>
    <w:p w14:paraId="1E7836B2" w14:textId="23A3A423" w:rsidR="00B14B75" w:rsidRPr="00091FC2" w:rsidRDefault="00447F46" w:rsidP="00A8297E">
      <w:r w:rsidRPr="00091FC2">
        <w:tab/>
      </w:r>
    </w:p>
    <w:p w14:paraId="1F66FC6C" w14:textId="6F57E415" w:rsidR="00D3213D" w:rsidRPr="00091FC2" w:rsidRDefault="00D3213D" w:rsidP="00A8297E">
      <w:r w:rsidRPr="00091FC2">
        <w:t xml:space="preserve">The Respondent State submits that the Application </w:t>
      </w:r>
      <w:r w:rsidR="00BF21E2" w:rsidRPr="00091FC2">
        <w:t xml:space="preserve">was </w:t>
      </w:r>
      <w:r w:rsidRPr="00091FC2">
        <w:t xml:space="preserve">not </w:t>
      </w:r>
      <w:r w:rsidR="00B07208" w:rsidRPr="00091FC2">
        <w:t xml:space="preserve">filed within reasonable time </w:t>
      </w:r>
      <w:r w:rsidRPr="00091FC2">
        <w:t xml:space="preserve">in accordance with Rule 40(6) of </w:t>
      </w:r>
      <w:r w:rsidR="007D5B36" w:rsidRPr="00091FC2">
        <w:t>the Rules of the Court</w:t>
      </w:r>
      <w:r w:rsidR="00447F46" w:rsidRPr="00091FC2">
        <w:rPr>
          <w:rStyle w:val="FootnoteReference"/>
          <w:rFonts w:ascii="Arial" w:hAnsi="Arial" w:cs="Arial"/>
        </w:rPr>
        <w:footnoteReference w:id="15"/>
      </w:r>
      <w:r w:rsidR="007D5B36" w:rsidRPr="00091FC2">
        <w:t xml:space="preserve"> on </w:t>
      </w:r>
      <w:r w:rsidR="004D1649" w:rsidRPr="00091FC2">
        <w:t xml:space="preserve">four </w:t>
      </w:r>
      <w:r w:rsidR="00A517DA" w:rsidRPr="00091FC2">
        <w:t>(</w:t>
      </w:r>
      <w:r w:rsidR="004D1649" w:rsidRPr="00091FC2">
        <w:t>4</w:t>
      </w:r>
      <w:r w:rsidR="00A517DA" w:rsidRPr="00091FC2">
        <w:t xml:space="preserve">) </w:t>
      </w:r>
      <w:r w:rsidR="007D5B36" w:rsidRPr="00091FC2">
        <w:t xml:space="preserve">grounds. </w:t>
      </w:r>
      <w:r w:rsidR="004D1649" w:rsidRPr="00091FC2">
        <w:t>First, the Respondent State avers that the application for review</w:t>
      </w:r>
      <w:r w:rsidR="00C208FA" w:rsidRPr="00091FC2">
        <w:t xml:space="preserve"> </w:t>
      </w:r>
      <w:r w:rsidR="004D1649" w:rsidRPr="00091FC2">
        <w:t>“which was attached by the Applicant was not filed in the Court of Appeal Registry, no proof of service was shown by the Applicant, the application was not endorsed by the Registrar, no stamp to prove that the application was received by the Respondent</w:t>
      </w:r>
      <w:r w:rsidR="00D55685" w:rsidRPr="00091FC2">
        <w:t xml:space="preserve"> State</w:t>
      </w:r>
      <w:r w:rsidR="004D1649" w:rsidRPr="00091FC2">
        <w:t xml:space="preserve">, further that the application number was not given by the Court”. Second, </w:t>
      </w:r>
      <w:r w:rsidR="004A7DA0" w:rsidRPr="00091FC2">
        <w:t>“</w:t>
      </w:r>
      <w:r w:rsidR="007D5B36" w:rsidRPr="00091FC2">
        <w:t xml:space="preserve">the </w:t>
      </w:r>
      <w:r w:rsidR="00E05523" w:rsidRPr="00091FC2">
        <w:t xml:space="preserve">notice for application </w:t>
      </w:r>
      <w:r w:rsidR="007D5B36" w:rsidRPr="00091FC2">
        <w:t xml:space="preserve">for </w:t>
      </w:r>
      <w:r w:rsidR="00E05523" w:rsidRPr="00091FC2">
        <w:t>r</w:t>
      </w:r>
      <w:r w:rsidR="007D5B36" w:rsidRPr="00091FC2">
        <w:t xml:space="preserve">eview was filed after five (5) years </w:t>
      </w:r>
      <w:r w:rsidR="00E02B62" w:rsidRPr="00091FC2">
        <w:t xml:space="preserve">contrary to </w:t>
      </w:r>
      <w:r w:rsidR="007D5B36" w:rsidRPr="00091FC2">
        <w:t>Rule 66 of the Rules of the Court of Appeal, which prescribe</w:t>
      </w:r>
      <w:r w:rsidR="0040082D" w:rsidRPr="00091FC2">
        <w:t xml:space="preserve">s that the </w:t>
      </w:r>
      <w:r w:rsidR="00737E38" w:rsidRPr="00091FC2">
        <w:t>notice of</w:t>
      </w:r>
      <w:r w:rsidR="004A7DA0" w:rsidRPr="00091FC2">
        <w:t xml:space="preserve"> motion for</w:t>
      </w:r>
      <w:r w:rsidR="0040082D" w:rsidRPr="00091FC2">
        <w:t xml:space="preserve"> review should be filed </w:t>
      </w:r>
      <w:r w:rsidR="00763047" w:rsidRPr="00091FC2">
        <w:t xml:space="preserve">within </w:t>
      </w:r>
      <w:r w:rsidR="007D5B36" w:rsidRPr="00091FC2">
        <w:t>sixty (60) days</w:t>
      </w:r>
      <w:r w:rsidR="0040082D" w:rsidRPr="00091FC2">
        <w:t xml:space="preserve"> </w:t>
      </w:r>
      <w:r w:rsidR="004A7DA0" w:rsidRPr="00091FC2">
        <w:t xml:space="preserve">from the date </w:t>
      </w:r>
      <w:r w:rsidR="0040082D" w:rsidRPr="00091FC2">
        <w:t>of the judgment</w:t>
      </w:r>
      <w:r w:rsidR="004A7DA0" w:rsidRPr="00091FC2">
        <w:t>”</w:t>
      </w:r>
      <w:r w:rsidR="00DE377E" w:rsidRPr="00091FC2">
        <w:t>.</w:t>
      </w:r>
      <w:r w:rsidR="007D5B36" w:rsidRPr="00091FC2">
        <w:t xml:space="preserve"> </w:t>
      </w:r>
      <w:r w:rsidR="004D1649" w:rsidRPr="00091FC2">
        <w:t xml:space="preserve">Third, </w:t>
      </w:r>
      <w:r w:rsidR="007D5B36" w:rsidRPr="00091FC2">
        <w:t>the Application</w:t>
      </w:r>
      <w:r w:rsidR="0040082D" w:rsidRPr="00091FC2">
        <w:t xml:space="preserve"> </w:t>
      </w:r>
      <w:r w:rsidR="004D1649" w:rsidRPr="00091FC2">
        <w:t xml:space="preserve">before the African Court </w:t>
      </w:r>
      <w:r w:rsidR="0040082D" w:rsidRPr="00091FC2">
        <w:t>was filed</w:t>
      </w:r>
      <w:r w:rsidR="007D5B36" w:rsidRPr="00091FC2">
        <w:t xml:space="preserve"> after seven (7) years, contrary to </w:t>
      </w:r>
      <w:r w:rsidR="00F433EC" w:rsidRPr="00091FC2">
        <w:t>the African Commission on Human and Peoples</w:t>
      </w:r>
      <w:r w:rsidR="00093C4B" w:rsidRPr="00091FC2">
        <w:t>’</w:t>
      </w:r>
      <w:r w:rsidR="00F433EC" w:rsidRPr="00091FC2">
        <w:t xml:space="preserve"> Rights</w:t>
      </w:r>
      <w:r w:rsidR="00093C4B" w:rsidRPr="00091FC2">
        <w:t>’</w:t>
      </w:r>
      <w:r w:rsidR="00E02B62" w:rsidRPr="00091FC2">
        <w:t xml:space="preserve"> (African Commission)</w:t>
      </w:r>
      <w:r w:rsidR="00F433EC" w:rsidRPr="00091FC2">
        <w:t xml:space="preserve"> decision in </w:t>
      </w:r>
      <w:r w:rsidR="00F433EC" w:rsidRPr="00091FC2">
        <w:rPr>
          <w:i/>
        </w:rPr>
        <w:t>Majuru v</w:t>
      </w:r>
      <w:r w:rsidR="00B07208" w:rsidRPr="00091FC2">
        <w:rPr>
          <w:i/>
        </w:rPr>
        <w:t>.</w:t>
      </w:r>
      <w:r w:rsidR="00F433EC" w:rsidRPr="00091FC2">
        <w:rPr>
          <w:i/>
        </w:rPr>
        <w:t xml:space="preserve"> Zimbabwe</w:t>
      </w:r>
      <w:r w:rsidR="00F433EC" w:rsidRPr="00091FC2">
        <w:t xml:space="preserve">, </w:t>
      </w:r>
      <w:r w:rsidR="007D5B36" w:rsidRPr="00091FC2">
        <w:t xml:space="preserve">which establishes that </w:t>
      </w:r>
      <w:r w:rsidR="00B64269" w:rsidRPr="00091FC2">
        <w:t xml:space="preserve">filing </w:t>
      </w:r>
      <w:r w:rsidR="001E7755" w:rsidRPr="00091FC2">
        <w:t xml:space="preserve">an application </w:t>
      </w:r>
      <w:r w:rsidR="00B64269" w:rsidRPr="00091FC2">
        <w:t xml:space="preserve">after a period of </w:t>
      </w:r>
      <w:r w:rsidR="007D5B36" w:rsidRPr="00091FC2">
        <w:t>six</w:t>
      </w:r>
      <w:r w:rsidR="0040082D" w:rsidRPr="00091FC2">
        <w:t xml:space="preserve"> </w:t>
      </w:r>
      <w:r w:rsidR="007D5B36" w:rsidRPr="00091FC2">
        <w:t xml:space="preserve">(6) months is </w:t>
      </w:r>
      <w:r w:rsidR="00B64269" w:rsidRPr="00091FC2">
        <w:t>unreasonable</w:t>
      </w:r>
      <w:r w:rsidR="007D5B36" w:rsidRPr="00091FC2">
        <w:t xml:space="preserve">. </w:t>
      </w:r>
      <w:r w:rsidR="004D1649" w:rsidRPr="00091FC2">
        <w:t>Fourth</w:t>
      </w:r>
      <w:r w:rsidR="007D5B36" w:rsidRPr="00091FC2">
        <w:t xml:space="preserve">, </w:t>
      </w:r>
      <w:r w:rsidR="009E13F1" w:rsidRPr="00091FC2">
        <w:t xml:space="preserve">by virtue of </w:t>
      </w:r>
      <w:r w:rsidR="007D5B36" w:rsidRPr="00091FC2">
        <w:t>fil</w:t>
      </w:r>
      <w:r w:rsidR="0040082D" w:rsidRPr="00091FC2">
        <w:t>ing the present Application</w:t>
      </w:r>
      <w:r w:rsidR="009E13F1" w:rsidRPr="00091FC2">
        <w:t xml:space="preserve">, the Applicant proved that his incarceration </w:t>
      </w:r>
      <w:r w:rsidR="00BF21E2" w:rsidRPr="00091FC2">
        <w:t xml:space="preserve">did </w:t>
      </w:r>
      <w:r w:rsidR="0040082D" w:rsidRPr="00091FC2">
        <w:t>not impede</w:t>
      </w:r>
      <w:r w:rsidR="009E13F1" w:rsidRPr="00091FC2">
        <w:t xml:space="preserve"> his</w:t>
      </w:r>
      <w:r w:rsidR="0040082D" w:rsidRPr="00091FC2">
        <w:t xml:space="preserve"> access to the Court.</w:t>
      </w:r>
      <w:r w:rsidR="00C208FA" w:rsidRPr="00091FC2">
        <w:t xml:space="preserve"> </w:t>
      </w:r>
    </w:p>
    <w:p w14:paraId="731308A8" w14:textId="77777777" w:rsidR="0040082D" w:rsidRPr="00091FC2" w:rsidRDefault="0040082D" w:rsidP="00A8297E"/>
    <w:p w14:paraId="69E72813" w14:textId="3CD699AD" w:rsidR="0040082D" w:rsidRPr="00091FC2" w:rsidRDefault="005856F4" w:rsidP="00A8297E">
      <w:r w:rsidRPr="00091FC2">
        <w:t>In his Reply, the Applicant argues</w:t>
      </w:r>
      <w:r w:rsidR="0040082D" w:rsidRPr="00091FC2">
        <w:t xml:space="preserve"> that there is no provision in the Rules of the Court on the time</w:t>
      </w:r>
      <w:r w:rsidR="00BF21E2" w:rsidRPr="00091FC2">
        <w:t>-limit</w:t>
      </w:r>
      <w:r w:rsidR="0040082D" w:rsidRPr="00091FC2">
        <w:t xml:space="preserve"> for filing an application</w:t>
      </w:r>
      <w:r w:rsidR="00BF21E2" w:rsidRPr="00091FC2">
        <w:t>.</w:t>
      </w:r>
      <w:r w:rsidR="0040082D" w:rsidRPr="00091FC2">
        <w:t xml:space="preserve"> </w:t>
      </w:r>
      <w:r w:rsidR="00BF21E2" w:rsidRPr="00091FC2">
        <w:t>R</w:t>
      </w:r>
      <w:r w:rsidR="0040082D" w:rsidRPr="00091FC2">
        <w:t>ather</w:t>
      </w:r>
      <w:r w:rsidR="0049614B" w:rsidRPr="00091FC2">
        <w:t>,</w:t>
      </w:r>
      <w:r w:rsidR="0040082D" w:rsidRPr="00091FC2">
        <w:t xml:space="preserve"> reasonable time is determined on a case-by-case basis. The</w:t>
      </w:r>
      <w:r w:rsidR="005916B3" w:rsidRPr="00091FC2">
        <w:t xml:space="preserve"> Applicant </w:t>
      </w:r>
      <w:r w:rsidR="00BF21E2" w:rsidRPr="00091FC2">
        <w:t xml:space="preserve">further </w:t>
      </w:r>
      <w:r w:rsidR="005916B3" w:rsidRPr="00091FC2">
        <w:t xml:space="preserve">contends that </w:t>
      </w:r>
      <w:r w:rsidR="00D55685" w:rsidRPr="00091FC2">
        <w:t xml:space="preserve">he </w:t>
      </w:r>
      <w:r w:rsidR="005916B3" w:rsidRPr="00091FC2">
        <w:t xml:space="preserve">filed </w:t>
      </w:r>
      <w:r w:rsidR="00D55685" w:rsidRPr="00091FC2">
        <w:t xml:space="preserve">the Application </w:t>
      </w:r>
      <w:r w:rsidR="005916B3" w:rsidRPr="00091FC2">
        <w:t>within reasonabl</w:t>
      </w:r>
      <w:r w:rsidR="00B07208" w:rsidRPr="00091FC2">
        <w:t xml:space="preserve">e time </w:t>
      </w:r>
      <w:r w:rsidR="00D55685" w:rsidRPr="00091FC2">
        <w:t>considering</w:t>
      </w:r>
      <w:r w:rsidR="00B07208" w:rsidRPr="00091FC2">
        <w:t xml:space="preserve"> that</w:t>
      </w:r>
      <w:r w:rsidR="005916B3" w:rsidRPr="00091FC2">
        <w:t xml:space="preserve"> his</w:t>
      </w:r>
      <w:r w:rsidR="00D309E8" w:rsidRPr="00091FC2">
        <w:t xml:space="preserve"> application for</w:t>
      </w:r>
      <w:r w:rsidR="005916B3" w:rsidRPr="00091FC2">
        <w:t xml:space="preserve"> review is yet to be determined conclusively</w:t>
      </w:r>
      <w:r w:rsidR="00D55685" w:rsidRPr="00091FC2">
        <w:t xml:space="preserve">. He also avers that </w:t>
      </w:r>
      <w:r w:rsidR="005916B3" w:rsidRPr="00091FC2">
        <w:t>his incarceration</w:t>
      </w:r>
      <w:r w:rsidR="0049614B" w:rsidRPr="00091FC2">
        <w:t xml:space="preserve"> on death row</w:t>
      </w:r>
      <w:r w:rsidR="005916B3" w:rsidRPr="00091FC2">
        <w:t xml:space="preserve"> restricted his capacity to follow up </w:t>
      </w:r>
      <w:r w:rsidR="004A7DA0" w:rsidRPr="00091FC2">
        <w:t xml:space="preserve">on </w:t>
      </w:r>
      <w:r w:rsidR="005916B3" w:rsidRPr="00091FC2">
        <w:t xml:space="preserve">the </w:t>
      </w:r>
      <w:r w:rsidR="00E05523" w:rsidRPr="00091FC2">
        <w:t xml:space="preserve">hearing of the </w:t>
      </w:r>
      <w:r w:rsidR="00D309E8" w:rsidRPr="00091FC2">
        <w:t>same</w:t>
      </w:r>
      <w:r w:rsidR="002B4A32" w:rsidRPr="00091FC2">
        <w:t xml:space="preserve"> and</w:t>
      </w:r>
      <w:r w:rsidR="005916B3" w:rsidRPr="00091FC2">
        <w:t xml:space="preserve"> </w:t>
      </w:r>
      <w:r w:rsidR="004A7DA0" w:rsidRPr="00091FC2">
        <w:t xml:space="preserve">to </w:t>
      </w:r>
      <w:r w:rsidR="002B4A32" w:rsidRPr="00091FC2">
        <w:t xml:space="preserve">access </w:t>
      </w:r>
      <w:r w:rsidR="005916B3" w:rsidRPr="00091FC2">
        <w:t>the Court</w:t>
      </w:r>
      <w:r w:rsidR="004A7DA0" w:rsidRPr="00091FC2">
        <w:t xml:space="preserve"> of Appeal and this Court</w:t>
      </w:r>
      <w:r w:rsidR="005916B3" w:rsidRPr="00091FC2">
        <w:t xml:space="preserve">. </w:t>
      </w:r>
    </w:p>
    <w:p w14:paraId="04D3D39C" w14:textId="77777777" w:rsidR="00684325" w:rsidRPr="00091FC2" w:rsidRDefault="00684325" w:rsidP="00A8297E"/>
    <w:p w14:paraId="1FDA9B9C" w14:textId="7775FF66" w:rsidR="0049614B" w:rsidRPr="00091FC2" w:rsidRDefault="00B07208" w:rsidP="00A8297E">
      <w:r w:rsidRPr="00091FC2">
        <w:lastRenderedPageBreak/>
        <w:t>***</w:t>
      </w:r>
    </w:p>
    <w:p w14:paraId="4CA8AAAA" w14:textId="77777777" w:rsidR="006F5C73" w:rsidRPr="00091FC2" w:rsidRDefault="006F5C73" w:rsidP="00A8297E"/>
    <w:p w14:paraId="44A893BF" w14:textId="0FD2692D" w:rsidR="0049614B" w:rsidRPr="00091FC2" w:rsidRDefault="0049614B" w:rsidP="00A8297E">
      <w:r w:rsidRPr="00091FC2">
        <w:t xml:space="preserve">The Court notes that the issue for determination is whether the time taken by the Applicant </w:t>
      </w:r>
      <w:r w:rsidR="002B4A32" w:rsidRPr="00091FC2">
        <w:t>to seize</w:t>
      </w:r>
      <w:r w:rsidRPr="00091FC2">
        <w:t xml:space="preserve"> the Court is reasonable w</w:t>
      </w:r>
      <w:r w:rsidR="005F32E3" w:rsidRPr="00091FC2">
        <w:t>ithin the meaning of Article 56</w:t>
      </w:r>
      <w:r w:rsidRPr="00091FC2">
        <w:t>(6) of the Charter read together with Rule 5</w:t>
      </w:r>
      <w:r w:rsidR="005F32E3" w:rsidRPr="00091FC2">
        <w:t>0(2)</w:t>
      </w:r>
      <w:r w:rsidRPr="00091FC2">
        <w:t xml:space="preserve">(f) of the Rules. </w:t>
      </w:r>
    </w:p>
    <w:p w14:paraId="1238EF24" w14:textId="77777777" w:rsidR="0049614B" w:rsidRPr="00091FC2" w:rsidRDefault="0049614B" w:rsidP="00A8297E"/>
    <w:p w14:paraId="46C4101D" w14:textId="7181EE61" w:rsidR="0049614B" w:rsidRPr="00091FC2" w:rsidRDefault="0049614B" w:rsidP="00A8297E">
      <w:r w:rsidRPr="00091FC2">
        <w:t xml:space="preserve">Pursuant to Article 56(6) of the Charter, as restated in Rule 50(2)(f) of the Rules, </w:t>
      </w:r>
      <w:r w:rsidR="00F82B90" w:rsidRPr="00091FC2">
        <w:t xml:space="preserve">an </w:t>
      </w:r>
      <w:r w:rsidRPr="00091FC2">
        <w:t>application must be “submitted within a reasonable time from the date local remedies were exhausted or from the date set by the Court as being the commencement of the time</w:t>
      </w:r>
      <w:r w:rsidR="008D56D2" w:rsidRPr="00091FC2">
        <w:t>-</w:t>
      </w:r>
      <w:r w:rsidRPr="00091FC2">
        <w:t>lim</w:t>
      </w:r>
      <w:r w:rsidR="00B64269" w:rsidRPr="00091FC2">
        <w:t xml:space="preserve">it within which it shall </w:t>
      </w:r>
      <w:r w:rsidR="002B4A32" w:rsidRPr="00091FC2">
        <w:t>be seized</w:t>
      </w:r>
      <w:r w:rsidRPr="00091FC2">
        <w:t xml:space="preserve"> with the matter</w:t>
      </w:r>
      <w:r w:rsidR="00B64269" w:rsidRPr="00091FC2">
        <w:t>.</w:t>
      </w:r>
      <w:r w:rsidRPr="00091FC2">
        <w:t>” These provisions do not set a time</w:t>
      </w:r>
      <w:r w:rsidR="008D56D2" w:rsidRPr="00091FC2">
        <w:t>-</w:t>
      </w:r>
      <w:r w:rsidRPr="00091FC2">
        <w:t>li</w:t>
      </w:r>
      <w:r w:rsidR="005F32E3" w:rsidRPr="00091FC2">
        <w:t>mit within which the Court</w:t>
      </w:r>
      <w:r w:rsidR="00B64269" w:rsidRPr="00091FC2">
        <w:t xml:space="preserve"> must </w:t>
      </w:r>
      <w:r w:rsidR="002B4A32" w:rsidRPr="00091FC2">
        <w:t>be seized</w:t>
      </w:r>
      <w:r w:rsidRPr="00091FC2">
        <w:t>.</w:t>
      </w:r>
    </w:p>
    <w:p w14:paraId="4B562836" w14:textId="77777777" w:rsidR="00E05523" w:rsidRPr="00091FC2" w:rsidRDefault="00E05523" w:rsidP="00A8297E"/>
    <w:p w14:paraId="77F9BD36" w14:textId="6429FF51" w:rsidR="009C21F6" w:rsidRPr="00091FC2" w:rsidRDefault="00DB50B2" w:rsidP="00A8297E">
      <w:r w:rsidRPr="00091FC2">
        <w:t xml:space="preserve">In connection with the first ground of the objection, </w:t>
      </w:r>
      <w:r w:rsidR="008D56D2" w:rsidRPr="00091FC2">
        <w:t xml:space="preserve">namely, </w:t>
      </w:r>
      <w:r w:rsidRPr="00091FC2">
        <w:t xml:space="preserve">the application for review was never filed and served on the Respondent State, </w:t>
      </w:r>
      <w:r w:rsidR="00013DEC" w:rsidRPr="00091FC2">
        <w:t>the Court notes that there is a contradiction in the Respondent State</w:t>
      </w:r>
      <w:r w:rsidR="00093C4B" w:rsidRPr="00091FC2">
        <w:t>’</w:t>
      </w:r>
      <w:r w:rsidR="00013DEC" w:rsidRPr="00091FC2">
        <w:t xml:space="preserve">s position since on </w:t>
      </w:r>
      <w:r w:rsidR="00D55685" w:rsidRPr="00091FC2">
        <w:t xml:space="preserve">the </w:t>
      </w:r>
      <w:r w:rsidR="00013DEC" w:rsidRPr="00091FC2">
        <w:t xml:space="preserve">one hand, </w:t>
      </w:r>
      <w:r w:rsidR="008D56D2" w:rsidRPr="00091FC2">
        <w:t xml:space="preserve">it </w:t>
      </w:r>
      <w:r w:rsidR="00013DEC" w:rsidRPr="00091FC2">
        <w:t>contest</w:t>
      </w:r>
      <w:r w:rsidR="008D56D2" w:rsidRPr="00091FC2">
        <w:t>s</w:t>
      </w:r>
      <w:r w:rsidR="00013DEC" w:rsidRPr="00091FC2">
        <w:t xml:space="preserve"> the filing and service of the application for review and</w:t>
      </w:r>
      <w:r w:rsidR="008D56D2" w:rsidRPr="00091FC2">
        <w:t>,</w:t>
      </w:r>
      <w:r w:rsidR="00013DEC" w:rsidRPr="00091FC2">
        <w:t xml:space="preserve"> on the other hand</w:t>
      </w:r>
      <w:r w:rsidR="008D56D2" w:rsidRPr="00091FC2">
        <w:t>,</w:t>
      </w:r>
      <w:r w:rsidR="00013DEC" w:rsidRPr="00091FC2">
        <w:t xml:space="preserve"> </w:t>
      </w:r>
      <w:r w:rsidR="008D56D2" w:rsidRPr="00091FC2">
        <w:t xml:space="preserve">it </w:t>
      </w:r>
      <w:r w:rsidR="00013DEC" w:rsidRPr="00091FC2">
        <w:t>acknowledg</w:t>
      </w:r>
      <w:r w:rsidR="00B503AF" w:rsidRPr="00091FC2">
        <w:t>e</w:t>
      </w:r>
      <w:r w:rsidR="008D56D2" w:rsidRPr="00091FC2">
        <w:t>s</w:t>
      </w:r>
      <w:r w:rsidR="00013DEC" w:rsidRPr="00091FC2">
        <w:t xml:space="preserve"> that the application was filed, albeit out </w:t>
      </w:r>
      <w:r w:rsidR="008D56D2" w:rsidRPr="00091FC2">
        <w:t xml:space="preserve">of </w:t>
      </w:r>
      <w:r w:rsidR="00013DEC" w:rsidRPr="00091FC2">
        <w:t xml:space="preserve">time. </w:t>
      </w:r>
    </w:p>
    <w:p w14:paraId="4F3B49D3" w14:textId="77777777" w:rsidR="009C21F6" w:rsidRPr="00091FC2" w:rsidRDefault="009C21F6" w:rsidP="00A8297E"/>
    <w:p w14:paraId="303CDC8B" w14:textId="1330FD22" w:rsidR="00DB50B2" w:rsidRPr="00091FC2" w:rsidRDefault="00013DEC" w:rsidP="00A8297E">
      <w:r w:rsidRPr="00091FC2">
        <w:t>O</w:t>
      </w:r>
      <w:r w:rsidR="00DB50B2" w:rsidRPr="00091FC2">
        <w:t>n 7 October and 12 November 2022 and 25 January 2023 the Court requested the Applicant to file documents indicating that</w:t>
      </w:r>
      <w:r w:rsidR="00340838" w:rsidRPr="00091FC2">
        <w:t xml:space="preserve"> </w:t>
      </w:r>
      <w:r w:rsidR="00340838" w:rsidRPr="00091FC2">
        <w:rPr>
          <w:bCs/>
        </w:rPr>
        <w:t>the Court of Appeal granted him leave to file his application for review out of time and that</w:t>
      </w:r>
      <w:r w:rsidR="000B6D66" w:rsidRPr="00091FC2">
        <w:rPr>
          <w:bCs/>
        </w:rPr>
        <w:t xml:space="preserve"> </w:t>
      </w:r>
      <w:r w:rsidR="00DB50B2" w:rsidRPr="00091FC2">
        <w:rPr>
          <w:bCs/>
        </w:rPr>
        <w:t>the said application was filed and served</w:t>
      </w:r>
      <w:r w:rsidR="00340838" w:rsidRPr="00091FC2">
        <w:rPr>
          <w:bCs/>
        </w:rPr>
        <w:t xml:space="preserve"> on the Respondent State</w:t>
      </w:r>
      <w:r w:rsidR="00DB50B2" w:rsidRPr="00091FC2">
        <w:rPr>
          <w:bCs/>
        </w:rPr>
        <w:t xml:space="preserve">. </w:t>
      </w:r>
      <w:r w:rsidR="00D55685" w:rsidRPr="00091FC2">
        <w:rPr>
          <w:bCs/>
        </w:rPr>
        <w:t>T</w:t>
      </w:r>
      <w:r w:rsidR="00DB50B2" w:rsidRPr="00091FC2">
        <w:rPr>
          <w:bCs/>
        </w:rPr>
        <w:t>he Applicant failed to do so</w:t>
      </w:r>
      <w:r w:rsidR="00EE0764" w:rsidRPr="00091FC2">
        <w:rPr>
          <w:bCs/>
        </w:rPr>
        <w:t>.</w:t>
      </w:r>
      <w:r w:rsidR="00DB50B2" w:rsidRPr="00091FC2">
        <w:rPr>
          <w:bCs/>
        </w:rPr>
        <w:t xml:space="preserve"> In view of these circumstances, the </w:t>
      </w:r>
      <w:r w:rsidR="00340838" w:rsidRPr="00091FC2">
        <w:rPr>
          <w:bCs/>
        </w:rPr>
        <w:t>Court finds that the Applicant</w:t>
      </w:r>
      <w:r w:rsidR="00093C4B" w:rsidRPr="00091FC2">
        <w:rPr>
          <w:bCs/>
        </w:rPr>
        <w:t>’</w:t>
      </w:r>
      <w:r w:rsidR="00340838" w:rsidRPr="00091FC2">
        <w:rPr>
          <w:bCs/>
        </w:rPr>
        <w:t xml:space="preserve">s </w:t>
      </w:r>
      <w:r w:rsidR="00DB50B2" w:rsidRPr="00091FC2">
        <w:rPr>
          <w:bCs/>
        </w:rPr>
        <w:t xml:space="preserve">claim that the application for review was pending at the time </w:t>
      </w:r>
      <w:r w:rsidR="00340838" w:rsidRPr="00091FC2">
        <w:rPr>
          <w:bCs/>
        </w:rPr>
        <w:t xml:space="preserve">the Application was filed before this Court has not been proven. </w:t>
      </w:r>
    </w:p>
    <w:p w14:paraId="78128D1B" w14:textId="77777777" w:rsidR="00DB50B2" w:rsidRPr="00091FC2" w:rsidRDefault="00DB50B2" w:rsidP="00A8297E"/>
    <w:p w14:paraId="651D2438" w14:textId="12FF227D" w:rsidR="00584B95" w:rsidRPr="00091FC2" w:rsidRDefault="00584B95" w:rsidP="00A8297E">
      <w:r w:rsidRPr="00091FC2">
        <w:t>The Court notes</w:t>
      </w:r>
      <w:r w:rsidR="004D1649" w:rsidRPr="00091FC2">
        <w:t xml:space="preserve">, </w:t>
      </w:r>
      <w:r w:rsidR="0077408F" w:rsidRPr="00091FC2">
        <w:t>regarding</w:t>
      </w:r>
      <w:r w:rsidR="004D1649" w:rsidRPr="00091FC2">
        <w:t xml:space="preserve"> the second ground of the objection,</w:t>
      </w:r>
      <w:r w:rsidRPr="00091FC2">
        <w:t xml:space="preserve"> </w:t>
      </w:r>
      <w:r w:rsidR="00340838" w:rsidRPr="00091FC2">
        <w:rPr>
          <w:bCs/>
        </w:rPr>
        <w:t>that, in any event,</w:t>
      </w:r>
      <w:r w:rsidR="00340838" w:rsidRPr="00091FC2">
        <w:t xml:space="preserve"> </w:t>
      </w:r>
      <w:r w:rsidRPr="00091FC2">
        <w:t xml:space="preserve">compliance with time limits regarding domestic proceedings </w:t>
      </w:r>
      <w:r w:rsidR="004D1649" w:rsidRPr="00091FC2">
        <w:t xml:space="preserve">is </w:t>
      </w:r>
      <w:r w:rsidR="007D3468" w:rsidRPr="00091FC2">
        <w:t>ir</w:t>
      </w:r>
      <w:r w:rsidRPr="00091FC2">
        <w:t xml:space="preserve">relevant </w:t>
      </w:r>
      <w:r w:rsidR="007D3468" w:rsidRPr="00091FC2">
        <w:t xml:space="preserve">to </w:t>
      </w:r>
      <w:r w:rsidRPr="00091FC2">
        <w:t>assessing reasonableness of</w:t>
      </w:r>
      <w:r w:rsidR="007D3468" w:rsidRPr="00091FC2">
        <w:t xml:space="preserve"> time for</w:t>
      </w:r>
      <w:r w:rsidRPr="00091FC2">
        <w:t xml:space="preserve"> filing Applications before this Court. The Court finds</w:t>
      </w:r>
      <w:r w:rsidR="00D309E8" w:rsidRPr="00091FC2">
        <w:t>, therefore,</w:t>
      </w:r>
      <w:r w:rsidRPr="00091FC2">
        <w:t xml:space="preserve"> that the Respondent State</w:t>
      </w:r>
      <w:r w:rsidR="00093C4B" w:rsidRPr="00091FC2">
        <w:t>’</w:t>
      </w:r>
      <w:r w:rsidRPr="00091FC2">
        <w:t>s argument that the Applicant ought to have filed the notice of motion for review of the Court of Appeal</w:t>
      </w:r>
      <w:r w:rsidR="00093C4B" w:rsidRPr="00091FC2">
        <w:t>’</w:t>
      </w:r>
      <w:r w:rsidRPr="00091FC2">
        <w:t xml:space="preserve">s judgment on </w:t>
      </w:r>
      <w:r w:rsidR="00DC5A38" w:rsidRPr="00091FC2">
        <w:t xml:space="preserve">his appeal </w:t>
      </w:r>
      <w:r w:rsidRPr="00091FC2">
        <w:t xml:space="preserve">within sixty (60) </w:t>
      </w:r>
      <w:r w:rsidR="00F221B1" w:rsidRPr="00091FC2">
        <w:t>days is</w:t>
      </w:r>
      <w:r w:rsidRPr="00091FC2">
        <w:t xml:space="preserve"> immaterial </w:t>
      </w:r>
      <w:r w:rsidR="007D3468" w:rsidRPr="00091FC2">
        <w:t xml:space="preserve">to </w:t>
      </w:r>
      <w:r w:rsidRPr="00091FC2">
        <w:t xml:space="preserve">the determination of the reasonableness of time taken to file the Application before this Court. </w:t>
      </w:r>
    </w:p>
    <w:p w14:paraId="5BF34C5E" w14:textId="6A2AFECB" w:rsidR="00C6072F" w:rsidRPr="00091FC2" w:rsidRDefault="00B503AF" w:rsidP="00A8297E">
      <w:r w:rsidRPr="00091FC2">
        <w:t xml:space="preserve">Furthermore, </w:t>
      </w:r>
      <w:r w:rsidR="007D3468" w:rsidRPr="00091FC2">
        <w:t>as regards</w:t>
      </w:r>
      <w:r w:rsidRPr="00091FC2">
        <w:t xml:space="preserve"> </w:t>
      </w:r>
      <w:r w:rsidR="004D1649" w:rsidRPr="00091FC2">
        <w:t>the third ground, i</w:t>
      </w:r>
      <w:r w:rsidR="00C6072F" w:rsidRPr="00091FC2">
        <w:t>n line with its established case-law, the Court has held that the case-by-case approach applied in the African Commission</w:t>
      </w:r>
      <w:r w:rsidR="00093C4B" w:rsidRPr="00091FC2">
        <w:t>’</w:t>
      </w:r>
      <w:r w:rsidR="00C6072F" w:rsidRPr="00091FC2">
        <w:t xml:space="preserve">s decision of </w:t>
      </w:r>
      <w:r w:rsidR="00C6072F" w:rsidRPr="00091FC2">
        <w:rPr>
          <w:i/>
        </w:rPr>
        <w:t>Majuru v. Zimbabwe</w:t>
      </w:r>
      <w:r w:rsidR="00C6072F" w:rsidRPr="00091FC2">
        <w:rPr>
          <w:rStyle w:val="FootnoteReference"/>
          <w:rFonts w:ascii="Arial" w:hAnsi="Arial" w:cs="Arial"/>
        </w:rPr>
        <w:footnoteReference w:id="16"/>
      </w:r>
      <w:r w:rsidR="00C6072F" w:rsidRPr="00091FC2">
        <w:t xml:space="preserve"> is the applicable one, and not the six-month standard.</w:t>
      </w:r>
      <w:r w:rsidR="00C6072F" w:rsidRPr="00091FC2">
        <w:rPr>
          <w:vertAlign w:val="superscript"/>
        </w:rPr>
        <w:footnoteReference w:id="17"/>
      </w:r>
      <w:r w:rsidR="00C6072F" w:rsidRPr="00091FC2">
        <w:t xml:space="preserve"> Therefore,</w:t>
      </w:r>
      <w:r w:rsidR="00DE377E" w:rsidRPr="00091FC2">
        <w:t xml:space="preserve"> </w:t>
      </w:r>
      <w:r w:rsidR="00C6072F" w:rsidRPr="00091FC2">
        <w:t>the Respondent State</w:t>
      </w:r>
      <w:r w:rsidR="00093C4B" w:rsidRPr="00091FC2">
        <w:t>’</w:t>
      </w:r>
      <w:r w:rsidR="00C6072F" w:rsidRPr="00091FC2">
        <w:t xml:space="preserve">s argument that </w:t>
      </w:r>
      <w:r w:rsidR="003647A5" w:rsidRPr="00091FC2">
        <w:rPr>
          <w:bCs/>
        </w:rPr>
        <w:t>the filing of an Application before this Court</w:t>
      </w:r>
      <w:r w:rsidR="003647A5" w:rsidRPr="00091FC2">
        <w:t xml:space="preserve"> </w:t>
      </w:r>
      <w:r w:rsidR="00C6072F" w:rsidRPr="00091FC2">
        <w:t xml:space="preserve">more than six (6) months </w:t>
      </w:r>
      <w:r w:rsidR="00DE377E" w:rsidRPr="00091FC2">
        <w:t>after exhaustion of local remedies</w:t>
      </w:r>
      <w:r w:rsidR="007D3468" w:rsidRPr="00091FC2">
        <w:t xml:space="preserve"> constitutes</w:t>
      </w:r>
      <w:r w:rsidR="00C6072F" w:rsidRPr="00091FC2">
        <w:t xml:space="preserve"> unreasonable</w:t>
      </w:r>
      <w:r w:rsidR="007D3468" w:rsidRPr="00091FC2">
        <w:t xml:space="preserve"> time</w:t>
      </w:r>
      <w:r w:rsidR="00DE377E" w:rsidRPr="00091FC2">
        <w:t>, cannot be sustained</w:t>
      </w:r>
      <w:r w:rsidR="00C6072F" w:rsidRPr="00091FC2">
        <w:t xml:space="preserve">. </w:t>
      </w:r>
    </w:p>
    <w:p w14:paraId="214682CF" w14:textId="77777777" w:rsidR="00B503AF" w:rsidRPr="00091FC2" w:rsidRDefault="00B503AF" w:rsidP="00A8297E"/>
    <w:p w14:paraId="25A1FB9D" w14:textId="0782448E" w:rsidR="00B503AF" w:rsidRPr="00091FC2" w:rsidRDefault="00B503AF" w:rsidP="00A8297E">
      <w:r w:rsidRPr="00091FC2">
        <w:t xml:space="preserve">In the instant case, the Court notes that the Applicant exhausted local remedies on 21 May 2009, when the Court of Appeal sitting at Mwanza rendered its judgment dismissing his appeal. This should be the date used to reckon the time </w:t>
      </w:r>
      <w:r w:rsidR="007D3468" w:rsidRPr="00091FC2">
        <w:t xml:space="preserve">it took </w:t>
      </w:r>
      <w:r w:rsidRPr="00091FC2">
        <w:t>the Applicant to file the Application. However, it was only after 29 March 2010 when the Respondent State deposited the Declaration accepting the Court</w:t>
      </w:r>
      <w:r w:rsidR="00093C4B" w:rsidRPr="00091FC2">
        <w:t>’</w:t>
      </w:r>
      <w:r w:rsidRPr="00091FC2">
        <w:t xml:space="preserve">s jurisdiction under Article 34(6) of the </w:t>
      </w:r>
      <w:r w:rsidRPr="00091FC2">
        <w:lastRenderedPageBreak/>
        <w:t xml:space="preserve">Protocol that the Applicant was able to file </w:t>
      </w:r>
      <w:r w:rsidR="006E0086" w:rsidRPr="00091FC2">
        <w:t xml:space="preserve">the </w:t>
      </w:r>
      <w:r w:rsidRPr="00091FC2">
        <w:t>Application.</w:t>
      </w:r>
      <w:r w:rsidR="00962804" w:rsidRPr="00091FC2">
        <w:t xml:space="preserve"> </w:t>
      </w:r>
      <w:r w:rsidRPr="00091FC2">
        <w:t xml:space="preserve">Ordinarily, </w:t>
      </w:r>
      <w:r w:rsidR="00962804" w:rsidRPr="00091FC2">
        <w:t xml:space="preserve">the period to be considered for the assessment of timeliness in filing the Application should be </w:t>
      </w:r>
      <w:r w:rsidRPr="00091FC2">
        <w:t>six (6) years, two (2) months and nineteen (19) days</w:t>
      </w:r>
      <w:r w:rsidR="007D3468" w:rsidRPr="00091FC2">
        <w:t>,</w:t>
      </w:r>
      <w:r w:rsidRPr="00091FC2">
        <w:t xml:space="preserve"> </w:t>
      </w:r>
      <w:r w:rsidR="00962804" w:rsidRPr="00091FC2">
        <w:t xml:space="preserve">which is the period </w:t>
      </w:r>
      <w:r w:rsidRPr="00091FC2">
        <w:t xml:space="preserve">between </w:t>
      </w:r>
      <w:r w:rsidR="006E0086" w:rsidRPr="00091FC2">
        <w:t xml:space="preserve">29 March 2010, </w:t>
      </w:r>
      <w:r w:rsidRPr="00091FC2">
        <w:t>the date of deposit</w:t>
      </w:r>
      <w:r w:rsidR="00962804" w:rsidRPr="00091FC2">
        <w:t xml:space="preserve"> by the Respondent State of</w:t>
      </w:r>
      <w:r w:rsidRPr="00091FC2">
        <w:t xml:space="preserve"> the Declaration</w:t>
      </w:r>
      <w:r w:rsidR="006E0086" w:rsidRPr="00091FC2">
        <w:t xml:space="preserve">, </w:t>
      </w:r>
      <w:r w:rsidRPr="00091FC2">
        <w:t xml:space="preserve">and </w:t>
      </w:r>
      <w:r w:rsidR="007D3468" w:rsidRPr="00091FC2">
        <w:t xml:space="preserve">8 June 2016, </w:t>
      </w:r>
      <w:r w:rsidRPr="00091FC2">
        <w:t xml:space="preserve">the date of filing the </w:t>
      </w:r>
      <w:r w:rsidR="005B14B5" w:rsidRPr="00091FC2">
        <w:t>Application.</w:t>
      </w:r>
      <w:r w:rsidRPr="00091FC2">
        <w:t xml:space="preserve"> </w:t>
      </w:r>
    </w:p>
    <w:p w14:paraId="33388833" w14:textId="77777777" w:rsidR="00962804" w:rsidRPr="00091FC2" w:rsidRDefault="00962804" w:rsidP="00A8297E"/>
    <w:p w14:paraId="478E7BE4" w14:textId="5A2709CA" w:rsidR="00962804" w:rsidRPr="00091FC2" w:rsidRDefault="00962804" w:rsidP="00A8297E">
      <w:r w:rsidRPr="00091FC2">
        <w:t>The Court notes</w:t>
      </w:r>
      <w:r w:rsidR="007D3468" w:rsidRPr="00091FC2">
        <w:t>,</w:t>
      </w:r>
      <w:r w:rsidRPr="00091FC2">
        <w:t xml:space="preserve"> however, that the period between 2007 and 2013 </w:t>
      </w:r>
      <w:r w:rsidR="007D3468" w:rsidRPr="00091FC2">
        <w:t xml:space="preserve">was </w:t>
      </w:r>
      <w:r w:rsidRPr="00091FC2">
        <w:t xml:space="preserve">the </w:t>
      </w:r>
      <w:r w:rsidR="007D3468" w:rsidRPr="00091FC2">
        <w:t>Court</w:t>
      </w:r>
      <w:r w:rsidR="00093C4B" w:rsidRPr="00091FC2">
        <w:t>’</w:t>
      </w:r>
      <w:r w:rsidR="007D3468" w:rsidRPr="00091FC2">
        <w:t xml:space="preserve">s </w:t>
      </w:r>
      <w:r w:rsidRPr="00091FC2">
        <w:t xml:space="preserve">formative years. As the Court has previously held, during the </w:t>
      </w:r>
      <w:r w:rsidR="007D3468" w:rsidRPr="00091FC2">
        <w:t xml:space="preserve">said </w:t>
      </w:r>
      <w:r w:rsidRPr="00091FC2">
        <w:t xml:space="preserve">period, members of the public, let alone persons in the situation of the Applicant in the present case, could not be presumed to </w:t>
      </w:r>
      <w:r w:rsidR="007D3468" w:rsidRPr="00091FC2">
        <w:t>have been</w:t>
      </w:r>
      <w:r w:rsidRPr="00091FC2">
        <w:t xml:space="preserve"> sufficient</w:t>
      </w:r>
      <w:r w:rsidR="007D3468" w:rsidRPr="00091FC2">
        <w:t>ly</w:t>
      </w:r>
      <w:r w:rsidRPr="00091FC2">
        <w:t xml:space="preserve"> aware of the </w:t>
      </w:r>
      <w:r w:rsidR="007D3468" w:rsidRPr="00091FC2">
        <w:t>Court</w:t>
      </w:r>
      <w:r w:rsidR="00093C4B" w:rsidRPr="00091FC2">
        <w:t>’</w:t>
      </w:r>
      <w:r w:rsidR="007D3468" w:rsidRPr="00091FC2">
        <w:t xml:space="preserve">s </w:t>
      </w:r>
      <w:r w:rsidRPr="00091FC2">
        <w:t>existence so as to file their applications soon after exhaustion of local remedies.</w:t>
      </w:r>
      <w:r w:rsidRPr="00091FC2">
        <w:rPr>
          <w:rStyle w:val="FootnoteReference"/>
          <w:rFonts w:ascii="Arial" w:hAnsi="Arial" w:cs="Arial"/>
        </w:rPr>
        <w:footnoteReference w:id="18"/>
      </w:r>
      <w:r w:rsidR="00AE660D" w:rsidRPr="00091FC2">
        <w:t xml:space="preserve"> Consequently, the period to be assessed for compliance with the requirement for filing the Application within reasonable time, is that between 2013, when the public would be expected to have become aware of the Court</w:t>
      </w:r>
      <w:r w:rsidR="00B80C74" w:rsidRPr="00091FC2">
        <w:t>,</w:t>
      </w:r>
      <w:r w:rsidR="00AE660D" w:rsidRPr="00091FC2">
        <w:t xml:space="preserve"> and 2016, the year the Application was filed, which is a period of three (3) years.</w:t>
      </w:r>
    </w:p>
    <w:p w14:paraId="63F24506" w14:textId="77777777" w:rsidR="00962804" w:rsidRPr="00091FC2" w:rsidRDefault="00962804" w:rsidP="00A8297E"/>
    <w:p w14:paraId="7C60DEA5" w14:textId="4D767BA4" w:rsidR="00AE660D" w:rsidRPr="00091FC2" w:rsidRDefault="00AE660D" w:rsidP="00A8297E">
      <w:r w:rsidRPr="00091FC2">
        <w:t>T</w:t>
      </w:r>
      <w:r w:rsidRPr="00091FC2">
        <w:rPr>
          <w:lang w:bidi="fr-FR"/>
        </w:rPr>
        <w:t xml:space="preserve">he Court recalls its jurisprudence </w:t>
      </w:r>
      <w:r w:rsidRPr="00091FC2">
        <w:rPr>
          <w:iCs/>
          <w:lang w:bidi="fr-FR"/>
        </w:rPr>
        <w:t xml:space="preserve">that </w:t>
      </w:r>
      <w:r w:rsidRPr="00091FC2">
        <w:rPr>
          <w:lang w:bidi="fr-FR"/>
        </w:rPr>
        <w:t>“…</w:t>
      </w:r>
      <w:r w:rsidR="008335E7" w:rsidRPr="00091FC2">
        <w:rPr>
          <w:lang w:bidi="fr-FR"/>
        </w:rPr>
        <w:t xml:space="preserve"> </w:t>
      </w:r>
      <w:r w:rsidRPr="00091FC2">
        <w:rPr>
          <w:lang w:bidi="fr-FR"/>
        </w:rPr>
        <w:t>the reasonableness of the timeframe for seizure depends on the specific circumstances of the case and should be determined on a case-by-case basis.”</w:t>
      </w:r>
      <w:r w:rsidRPr="00091FC2">
        <w:rPr>
          <w:vertAlign w:val="superscript"/>
          <w:lang w:bidi="fr-FR"/>
        </w:rPr>
        <w:footnoteReference w:id="19"/>
      </w:r>
      <w:r w:rsidRPr="00091FC2">
        <w:rPr>
          <w:lang w:bidi="fr-FR"/>
        </w:rPr>
        <w:t xml:space="preserve"> </w:t>
      </w:r>
      <w:r w:rsidRPr="00091FC2">
        <w:t xml:space="preserve">In view of this, the </w:t>
      </w:r>
      <w:r w:rsidRPr="00091FC2">
        <w:rPr>
          <w:lang w:bidi="fr-FR"/>
        </w:rPr>
        <w:t>Court has taken into consideration circumstances such as incarceration and being on death row with the resultant limited movement and limited flow of information,</w:t>
      </w:r>
      <w:r w:rsidRPr="00091FC2">
        <w:rPr>
          <w:rStyle w:val="FootnoteReference"/>
          <w:rFonts w:ascii="Arial" w:hAnsi="Arial" w:cs="Arial"/>
          <w:lang w:bidi="fr-FR"/>
        </w:rPr>
        <w:footnoteReference w:id="20"/>
      </w:r>
      <w:r w:rsidRPr="00091FC2">
        <w:rPr>
          <w:lang w:bidi="fr-FR"/>
        </w:rPr>
        <w:t xml:space="preserve"> being lay without the benefit of legal assistance</w:t>
      </w:r>
      <w:r w:rsidRPr="00091FC2">
        <w:rPr>
          <w:vertAlign w:val="superscript"/>
          <w:lang w:bidi="fr-FR"/>
        </w:rPr>
        <w:footnoteReference w:id="21"/>
      </w:r>
      <w:r w:rsidRPr="00091FC2">
        <w:rPr>
          <w:lang w:bidi="fr-FR"/>
        </w:rPr>
        <w:t xml:space="preserve"> </w:t>
      </w:r>
      <w:r w:rsidR="00340838" w:rsidRPr="00091FC2">
        <w:rPr>
          <w:lang w:bidi="fr-FR"/>
        </w:rPr>
        <w:t xml:space="preserve">and </w:t>
      </w:r>
      <w:r w:rsidRPr="00091FC2">
        <w:rPr>
          <w:lang w:bidi="fr-FR"/>
        </w:rPr>
        <w:t>lack of awareness of the existence of the Court</w:t>
      </w:r>
      <w:r w:rsidR="00340838" w:rsidRPr="00091FC2">
        <w:rPr>
          <w:lang w:bidi="fr-FR"/>
        </w:rPr>
        <w:t>.</w:t>
      </w:r>
      <w:r w:rsidRPr="00091FC2">
        <w:rPr>
          <w:rStyle w:val="FootnoteReference"/>
          <w:rFonts w:ascii="Arial" w:hAnsi="Arial" w:cs="Arial"/>
          <w:lang w:bidi="fr-FR"/>
        </w:rPr>
        <w:footnoteReference w:id="22"/>
      </w:r>
      <w:r w:rsidRPr="00091FC2">
        <w:rPr>
          <w:lang w:bidi="fr-FR"/>
        </w:rPr>
        <w:t xml:space="preserve"> Nevertheless, these circumstances must be proven.</w:t>
      </w:r>
    </w:p>
    <w:p w14:paraId="5490B4BB" w14:textId="77777777" w:rsidR="00AE660D" w:rsidRPr="00091FC2" w:rsidRDefault="00AE660D" w:rsidP="00A8297E"/>
    <w:p w14:paraId="12A15D75" w14:textId="40957AED" w:rsidR="00AE660D" w:rsidRPr="00091FC2" w:rsidRDefault="00E16562" w:rsidP="00A8297E">
      <w:r w:rsidRPr="00091FC2">
        <w:t xml:space="preserve">In the present Application, the Court notes that the Applicant is not only incarcerated but </w:t>
      </w:r>
      <w:r w:rsidR="00C31078" w:rsidRPr="00091FC2">
        <w:t xml:space="preserve"> </w:t>
      </w:r>
      <w:r w:rsidRPr="00091FC2">
        <w:t xml:space="preserve">has been on death row since his conviction </w:t>
      </w:r>
      <w:r w:rsidR="00A84D44" w:rsidRPr="00091FC2">
        <w:t xml:space="preserve">and sentencing </w:t>
      </w:r>
      <w:r w:rsidRPr="00091FC2">
        <w:t>in 2005</w:t>
      </w:r>
      <w:r w:rsidR="005F6E19" w:rsidRPr="00091FC2">
        <w:t xml:space="preserve"> with the result</w:t>
      </w:r>
      <w:r w:rsidR="00B80C74" w:rsidRPr="00091FC2">
        <w:t>ant</w:t>
      </w:r>
      <w:r w:rsidR="005F6E19" w:rsidRPr="00091FC2">
        <w:t xml:space="preserve"> limitation in movement and flow of information, which</w:t>
      </w:r>
      <w:r w:rsidR="00B80C74" w:rsidRPr="00091FC2">
        <w:t>,</w:t>
      </w:r>
      <w:r w:rsidR="005F6E19" w:rsidRPr="00091FC2">
        <w:t xml:space="preserve"> this Court has held in previous similar instances</w:t>
      </w:r>
      <w:r w:rsidR="00B80C74" w:rsidRPr="00091FC2">
        <w:t>,</w:t>
      </w:r>
      <w:r w:rsidR="005F6E19" w:rsidRPr="00091FC2">
        <w:t xml:space="preserve"> could cause delays in filing applications.</w:t>
      </w:r>
      <w:r w:rsidR="005F6E19" w:rsidRPr="00091FC2">
        <w:rPr>
          <w:rStyle w:val="FootnoteReference"/>
          <w:rFonts w:ascii="Arial" w:hAnsi="Arial" w:cs="Arial"/>
        </w:rPr>
        <w:footnoteReference w:id="23"/>
      </w:r>
      <w:r w:rsidR="005F6E19" w:rsidRPr="00091FC2">
        <w:t xml:space="preserve"> </w:t>
      </w:r>
      <w:r w:rsidR="002C4346" w:rsidRPr="00091FC2">
        <w:t>The Court finds that this situation negates the fourth ground of the Respondent State</w:t>
      </w:r>
      <w:r w:rsidR="00093C4B" w:rsidRPr="00091FC2">
        <w:t>’</w:t>
      </w:r>
      <w:r w:rsidR="002C4346" w:rsidRPr="00091FC2">
        <w:t>s objection</w:t>
      </w:r>
      <w:r w:rsidR="00B80C74" w:rsidRPr="00091FC2">
        <w:t>, namely,</w:t>
      </w:r>
      <w:r w:rsidR="002C4346" w:rsidRPr="00091FC2">
        <w:t xml:space="preserve"> that the Applicant cannot claim that he was impeded in accessing the Court, as the issue is the timeliness thereof. </w:t>
      </w:r>
      <w:r w:rsidR="00AE660D" w:rsidRPr="00091FC2">
        <w:t>The Court also notes that the Applicant is self-represented before this Court.</w:t>
      </w:r>
    </w:p>
    <w:p w14:paraId="2C8EEF3B" w14:textId="77777777" w:rsidR="002C4346" w:rsidRPr="00091FC2" w:rsidRDefault="002C4346" w:rsidP="00A8297E"/>
    <w:p w14:paraId="77A49214" w14:textId="5FCD8903" w:rsidR="005F6E19" w:rsidRPr="00091FC2" w:rsidRDefault="002C4346" w:rsidP="00A8297E">
      <w:r w:rsidRPr="00091FC2">
        <w:t>In view of these circumstances, the Court finds that the period of three (3) years that it took the Applicant to file the present Application is reasonable within the meaning of Article 56(6) of the Charter and Rule 50(2)(f) of the Rules.</w:t>
      </w:r>
    </w:p>
    <w:p w14:paraId="7CCCB215" w14:textId="77777777" w:rsidR="00E16562" w:rsidRPr="00091FC2" w:rsidRDefault="00E16562" w:rsidP="00A8297E"/>
    <w:p w14:paraId="5B31D680" w14:textId="5D08A87E" w:rsidR="003414E7" w:rsidRPr="00091FC2" w:rsidRDefault="00B80C74" w:rsidP="00A8297E">
      <w:r w:rsidRPr="00091FC2">
        <w:t>Accordingly, t</w:t>
      </w:r>
      <w:r w:rsidR="005C22F3" w:rsidRPr="00091FC2">
        <w:t>he Court</w:t>
      </w:r>
      <w:r w:rsidRPr="00091FC2">
        <w:t xml:space="preserve"> </w:t>
      </w:r>
      <w:r w:rsidR="005C22F3" w:rsidRPr="00091FC2">
        <w:t>dismisses the Respondent State</w:t>
      </w:r>
      <w:r w:rsidR="00093C4B" w:rsidRPr="00091FC2">
        <w:t>’</w:t>
      </w:r>
      <w:r w:rsidR="005C22F3" w:rsidRPr="00091FC2">
        <w:t>s objection to the admissibility of the Application based on failure to file the Application within reasonable time.</w:t>
      </w:r>
      <w:r w:rsidR="00C208FA" w:rsidRPr="00091FC2">
        <w:t xml:space="preserve"> </w:t>
      </w:r>
    </w:p>
    <w:p w14:paraId="0CDC3F5E" w14:textId="77777777" w:rsidR="00250B8F" w:rsidRPr="00091FC2" w:rsidRDefault="00250B8F" w:rsidP="00A8297E"/>
    <w:p w14:paraId="3721F39D" w14:textId="6112ACBB" w:rsidR="00B14B75" w:rsidRPr="00091FC2" w:rsidRDefault="00B14B75" w:rsidP="00A8297E">
      <w:bookmarkStart w:id="23" w:name="_Toc136592903"/>
      <w:r w:rsidRPr="00091FC2">
        <w:lastRenderedPageBreak/>
        <w:t xml:space="preserve">Other admissibility </w:t>
      </w:r>
      <w:r w:rsidR="00B80C74" w:rsidRPr="00091FC2">
        <w:t>requirements</w:t>
      </w:r>
      <w:bookmarkEnd w:id="23"/>
    </w:p>
    <w:p w14:paraId="2C8BA10F" w14:textId="77777777" w:rsidR="00B14B75" w:rsidRPr="00091FC2" w:rsidRDefault="00B14B75" w:rsidP="00A8297E"/>
    <w:p w14:paraId="109EB204" w14:textId="2C059B4A" w:rsidR="00EA1502" w:rsidRPr="00091FC2" w:rsidRDefault="00B14B75" w:rsidP="00A8297E">
      <w:r w:rsidRPr="00091FC2">
        <w:t xml:space="preserve">The Court notes that there is no contention regarding compliance with the </w:t>
      </w:r>
      <w:r w:rsidR="00B80C74" w:rsidRPr="00091FC2">
        <w:t xml:space="preserve">requirements </w:t>
      </w:r>
      <w:r w:rsidRPr="00091FC2">
        <w:t>set out in Rule 50(2)</w:t>
      </w:r>
      <w:r w:rsidR="00B159F2" w:rsidRPr="00091FC2">
        <w:t xml:space="preserve"> </w:t>
      </w:r>
      <w:r w:rsidRPr="00091FC2">
        <w:t xml:space="preserve">(a), (b), (c), (d) and (g) of the Rules. </w:t>
      </w:r>
      <w:r w:rsidR="00B80C74" w:rsidRPr="00091FC2">
        <w:t>This notwithstanding, it</w:t>
      </w:r>
      <w:r w:rsidR="00C8567D" w:rsidRPr="00091FC2">
        <w:t xml:space="preserve"> must satisfy itself that the Application fulfils these requirements.</w:t>
      </w:r>
    </w:p>
    <w:p w14:paraId="3BB1B217" w14:textId="77777777" w:rsidR="00EA1502" w:rsidRPr="00091FC2" w:rsidRDefault="00EA1502" w:rsidP="00A8297E"/>
    <w:p w14:paraId="53A4AD1D" w14:textId="6E232771" w:rsidR="00D11EE2" w:rsidRPr="00091FC2" w:rsidRDefault="00D11EE2" w:rsidP="00A8297E">
      <w:r w:rsidRPr="00091FC2">
        <w:t>From the record</w:t>
      </w:r>
      <w:r w:rsidR="00B80C74" w:rsidRPr="00091FC2">
        <w:t>s</w:t>
      </w:r>
      <w:r w:rsidRPr="00091FC2">
        <w:t>, the Court notes that the Applicant has been clearly identified by n</w:t>
      </w:r>
      <w:r w:rsidR="00C60B40" w:rsidRPr="00091FC2">
        <w:t>ame in fulfilment of Rule 50(2)</w:t>
      </w:r>
      <w:r w:rsidRPr="00091FC2">
        <w:t xml:space="preserve">(a) of the Rules. </w:t>
      </w:r>
    </w:p>
    <w:p w14:paraId="6F921842" w14:textId="77777777" w:rsidR="00D11EE2" w:rsidRPr="00091FC2" w:rsidRDefault="00D11EE2" w:rsidP="00A8297E"/>
    <w:p w14:paraId="52B99D4D" w14:textId="6EDAF34E" w:rsidR="00D11EE2" w:rsidRPr="00091FC2" w:rsidRDefault="00D11EE2" w:rsidP="00A8297E">
      <w:r w:rsidRPr="00091FC2">
        <w:t xml:space="preserve">The Court also notes that the </w:t>
      </w:r>
      <w:r w:rsidR="00B159F2" w:rsidRPr="00091FC2">
        <w:t>Applicant</w:t>
      </w:r>
      <w:r w:rsidR="00093C4B" w:rsidRPr="00091FC2">
        <w:t>’</w:t>
      </w:r>
      <w:r w:rsidR="00B159F2" w:rsidRPr="00091FC2">
        <w:t xml:space="preserve">s </w:t>
      </w:r>
      <w:r w:rsidRPr="00091FC2">
        <w:t xml:space="preserve">claims </w:t>
      </w:r>
      <w:r w:rsidR="00B159F2" w:rsidRPr="00091FC2">
        <w:t>seek to protect his</w:t>
      </w:r>
      <w:r w:rsidRPr="00091FC2">
        <w:t xml:space="preserve"> rights guaranteed under the Charter. </w:t>
      </w:r>
      <w:r w:rsidR="00621DAC" w:rsidRPr="00091FC2">
        <w:t>It also notes that one of the objectives of the Constitutive Act of the African Union as stipulated under Article 3(h), is to promote and protect human and peoples</w:t>
      </w:r>
      <w:r w:rsidR="00093C4B" w:rsidRPr="00091FC2">
        <w:t>’</w:t>
      </w:r>
      <w:r w:rsidR="00621DAC" w:rsidRPr="00091FC2">
        <w:t xml:space="preserve"> rights. The Court, therefore, holds that the Application is compatible with the Constitutive Act of the African Union and the Charter and thus meets the requirements of Rule 50(2)(b) of the Rules.</w:t>
      </w:r>
    </w:p>
    <w:p w14:paraId="469EE55E" w14:textId="77777777" w:rsidR="00621DAC" w:rsidRPr="00091FC2" w:rsidRDefault="00621DAC" w:rsidP="00A8297E"/>
    <w:p w14:paraId="34561718" w14:textId="05D929D2" w:rsidR="00D11EE2" w:rsidRPr="00091FC2" w:rsidRDefault="00D11EE2" w:rsidP="00A8297E">
      <w:r w:rsidRPr="00091FC2">
        <w:t xml:space="preserve">The Court further notes that the Application does not contain any disparaging or insulting language </w:t>
      </w:r>
      <w:r w:rsidR="00621DAC" w:rsidRPr="00091FC2">
        <w:t>regarding</w:t>
      </w:r>
      <w:r w:rsidRPr="00091FC2">
        <w:t xml:space="preserve"> the Respondent State</w:t>
      </w:r>
      <w:r w:rsidR="005939EE" w:rsidRPr="00091FC2">
        <w:t>, its institutions</w:t>
      </w:r>
      <w:r w:rsidR="00372B14" w:rsidRPr="00091FC2">
        <w:t>,</w:t>
      </w:r>
      <w:r w:rsidR="005939EE" w:rsidRPr="00091FC2">
        <w:t xml:space="preserve"> or the African Union</w:t>
      </w:r>
      <w:r w:rsidRPr="00091FC2">
        <w:t xml:space="preserve">, in compliance with the Rule 50(2)(c) of the Rules. </w:t>
      </w:r>
    </w:p>
    <w:p w14:paraId="2BCE39C1" w14:textId="77777777" w:rsidR="00D11EE2" w:rsidRPr="00091FC2" w:rsidRDefault="00D11EE2" w:rsidP="00A8297E"/>
    <w:p w14:paraId="2973DC4E" w14:textId="6C7625B3" w:rsidR="00D11EE2" w:rsidRPr="00091FC2" w:rsidRDefault="00D11EE2" w:rsidP="00A8297E">
      <w:r w:rsidRPr="00091FC2">
        <w:t>The</w:t>
      </w:r>
      <w:r w:rsidR="005939EE" w:rsidRPr="00091FC2">
        <w:t xml:space="preserve"> Court also finds that the</w:t>
      </w:r>
      <w:r w:rsidRPr="00091FC2">
        <w:t xml:space="preserve"> Application is also not based exclusively on news d</w:t>
      </w:r>
      <w:r w:rsidR="00F35485" w:rsidRPr="00091FC2">
        <w:t>isseminated through mass media</w:t>
      </w:r>
      <w:r w:rsidR="00B80C74" w:rsidRPr="00091FC2">
        <w:t>.</w:t>
      </w:r>
      <w:r w:rsidR="00F35485" w:rsidRPr="00091FC2">
        <w:t xml:space="preserve"> </w:t>
      </w:r>
      <w:r w:rsidR="00B80C74" w:rsidRPr="00091FC2">
        <w:t>R</w:t>
      </w:r>
      <w:r w:rsidRPr="00091FC2">
        <w:t>ather</w:t>
      </w:r>
      <w:r w:rsidR="003E7037" w:rsidRPr="00091FC2">
        <w:t>,</w:t>
      </w:r>
      <w:r w:rsidRPr="00091FC2">
        <w:t xml:space="preserve"> it is based on documents from the municipal courts of the Respondent State</w:t>
      </w:r>
      <w:r w:rsidR="00F35485" w:rsidRPr="00091FC2">
        <w:t>. T</w:t>
      </w:r>
      <w:r w:rsidRPr="00091FC2">
        <w:t>hus</w:t>
      </w:r>
      <w:r w:rsidR="00F35485" w:rsidRPr="00091FC2">
        <w:t>,</w:t>
      </w:r>
      <w:r w:rsidRPr="00091FC2">
        <w:t xml:space="preserve"> the Ap</w:t>
      </w:r>
      <w:r w:rsidR="00F35485" w:rsidRPr="00091FC2">
        <w:t>plication complies with Rule 50</w:t>
      </w:r>
      <w:r w:rsidRPr="00091FC2">
        <w:t>(2</w:t>
      </w:r>
      <w:r w:rsidR="00F35485" w:rsidRPr="00091FC2">
        <w:t>)</w:t>
      </w:r>
      <w:r w:rsidRPr="00091FC2">
        <w:t>(d) of the Rules.</w:t>
      </w:r>
    </w:p>
    <w:p w14:paraId="16DE620F" w14:textId="77777777" w:rsidR="00D11EE2" w:rsidRPr="00091FC2" w:rsidRDefault="00D11EE2" w:rsidP="00A8297E"/>
    <w:p w14:paraId="549C8C53" w14:textId="77777777" w:rsidR="0072528D" w:rsidRPr="00091FC2" w:rsidRDefault="0072528D" w:rsidP="00A8297E"/>
    <w:p w14:paraId="48BC3573" w14:textId="785B26E4" w:rsidR="00D11EE2" w:rsidRPr="00091FC2" w:rsidRDefault="00D11EE2" w:rsidP="00A8297E">
      <w:r w:rsidRPr="00091FC2">
        <w:t xml:space="preserve">The Court also holds that the Application does not raise any matter or issues previously settled by the </w:t>
      </w:r>
      <w:r w:rsidR="003E7037" w:rsidRPr="00091FC2">
        <w:t>Respondent State</w:t>
      </w:r>
      <w:r w:rsidRPr="00091FC2">
        <w:t xml:space="preserve"> in accordance with the principles of the</w:t>
      </w:r>
      <w:r w:rsidR="003E7037" w:rsidRPr="00091FC2">
        <w:t xml:space="preserve"> Charter of the United Nations or </w:t>
      </w:r>
      <w:r w:rsidRPr="00091FC2">
        <w:t>the Constit</w:t>
      </w:r>
      <w:r w:rsidR="003E7037" w:rsidRPr="00091FC2">
        <w:t xml:space="preserve">utive Act of the AU </w:t>
      </w:r>
      <w:r w:rsidRPr="00091FC2">
        <w:t>as requir</w:t>
      </w:r>
      <w:r w:rsidR="00F35485" w:rsidRPr="00091FC2">
        <w:t>ed under Rule 50(2)</w:t>
      </w:r>
      <w:r w:rsidRPr="00091FC2">
        <w:t>(g) of the Rules.</w:t>
      </w:r>
    </w:p>
    <w:p w14:paraId="775B4707" w14:textId="77777777" w:rsidR="00D11EE2" w:rsidRPr="00091FC2" w:rsidRDefault="00D11EE2" w:rsidP="00A8297E"/>
    <w:p w14:paraId="5A31DFFC" w14:textId="7F59E1DB" w:rsidR="00D11EE2" w:rsidRPr="00091FC2" w:rsidRDefault="00A55A8C" w:rsidP="00A8297E">
      <w:pPr>
        <w:rPr>
          <w:bCs/>
          <w:lang w:bidi="fr-FR"/>
        </w:rPr>
      </w:pPr>
      <w:r w:rsidRPr="00091FC2">
        <w:rPr>
          <w:bCs/>
        </w:rPr>
        <w:t>Therefore</w:t>
      </w:r>
      <w:r w:rsidR="00D11EE2" w:rsidRPr="00091FC2">
        <w:t>, the Court finds that the Application fulfils all the requirements set out under Article 56 of the Charter as restated in Rule 50(2) of the Rules and accordingly declares the Application admissible.</w:t>
      </w:r>
    </w:p>
    <w:p w14:paraId="6B2ECB67" w14:textId="77777777" w:rsidR="00FB2214" w:rsidRPr="00091FC2" w:rsidRDefault="00FB2214" w:rsidP="00A8297E">
      <w:pPr>
        <w:rPr>
          <w:bCs/>
          <w:lang w:bidi="fr-FR"/>
        </w:rPr>
      </w:pPr>
    </w:p>
    <w:p w14:paraId="578417B3" w14:textId="77777777" w:rsidR="00B14B75" w:rsidRPr="00091FC2" w:rsidRDefault="00B14B75" w:rsidP="00A8297E"/>
    <w:p w14:paraId="6459E3B3" w14:textId="1272B8FA" w:rsidR="00D11EE2" w:rsidRPr="00091FC2" w:rsidRDefault="00D11EE2" w:rsidP="00A8297E">
      <w:bookmarkStart w:id="24" w:name="_Toc136592904"/>
      <w:r w:rsidRPr="00091FC2">
        <w:t>MERITS</w:t>
      </w:r>
      <w:bookmarkEnd w:id="24"/>
      <w:r w:rsidRPr="00091FC2">
        <w:t xml:space="preserve"> </w:t>
      </w:r>
    </w:p>
    <w:p w14:paraId="71772731" w14:textId="77777777" w:rsidR="00A55A8C" w:rsidRPr="00091FC2" w:rsidRDefault="00A55A8C" w:rsidP="00A8297E"/>
    <w:p w14:paraId="53B43F2E" w14:textId="23729640" w:rsidR="00A55A8C" w:rsidRPr="00091FC2" w:rsidRDefault="00A55A8C" w:rsidP="00A8297E">
      <w:r w:rsidRPr="00091FC2">
        <w:t xml:space="preserve">The Applicant alleges </w:t>
      </w:r>
      <w:r w:rsidR="00BA5F47" w:rsidRPr="00091FC2">
        <w:t xml:space="preserve">the violation of his fair trial rights namely </w:t>
      </w:r>
      <w:r w:rsidR="00160E21" w:rsidRPr="00091FC2">
        <w:t>(</w:t>
      </w:r>
      <w:r w:rsidR="00D05F91" w:rsidRPr="00091FC2">
        <w:t>A</w:t>
      </w:r>
      <w:r w:rsidR="00160E21" w:rsidRPr="00091FC2">
        <w:t xml:space="preserve">) </w:t>
      </w:r>
      <w:r w:rsidR="00BA5F47" w:rsidRPr="00091FC2">
        <w:t xml:space="preserve">the </w:t>
      </w:r>
      <w:r w:rsidR="00D20BDF" w:rsidRPr="00091FC2">
        <w:t>right</w:t>
      </w:r>
      <w:r w:rsidR="00160E21" w:rsidRPr="00091FC2">
        <w:t xml:space="preserve"> to be heard, (</w:t>
      </w:r>
      <w:r w:rsidR="00D05F91" w:rsidRPr="00091FC2">
        <w:t>B</w:t>
      </w:r>
      <w:r w:rsidR="00160E21" w:rsidRPr="00091FC2">
        <w:t xml:space="preserve">) </w:t>
      </w:r>
      <w:r w:rsidR="00BA5F47" w:rsidRPr="00091FC2">
        <w:t>the</w:t>
      </w:r>
      <w:r w:rsidR="00160E21" w:rsidRPr="00091FC2">
        <w:t xml:space="preserve"> right</w:t>
      </w:r>
      <w:r w:rsidR="00BA5F47" w:rsidRPr="00091FC2">
        <w:t xml:space="preserve"> to be tried within a reasonable time</w:t>
      </w:r>
      <w:r w:rsidR="00160E21" w:rsidRPr="00091FC2">
        <w:t xml:space="preserve"> and (</w:t>
      </w:r>
      <w:r w:rsidR="00D05F91" w:rsidRPr="00091FC2">
        <w:t>C</w:t>
      </w:r>
      <w:r w:rsidR="00160E21" w:rsidRPr="00091FC2">
        <w:t xml:space="preserve">) </w:t>
      </w:r>
      <w:r w:rsidR="00BA5F47" w:rsidRPr="00091FC2">
        <w:t xml:space="preserve">the </w:t>
      </w:r>
      <w:r w:rsidR="00160E21" w:rsidRPr="00091FC2">
        <w:t xml:space="preserve">right </w:t>
      </w:r>
      <w:r w:rsidR="006200DB" w:rsidRPr="00091FC2">
        <w:t xml:space="preserve">to </w:t>
      </w:r>
      <w:r w:rsidR="00160E21" w:rsidRPr="00091FC2">
        <w:t xml:space="preserve">defence. </w:t>
      </w:r>
    </w:p>
    <w:p w14:paraId="62EE56FC" w14:textId="77777777" w:rsidR="0072553C" w:rsidRPr="00091FC2" w:rsidRDefault="0072553C" w:rsidP="00A8297E">
      <w:pPr>
        <w:rPr>
          <w:lang w:val="en-US"/>
        </w:rPr>
      </w:pPr>
    </w:p>
    <w:p w14:paraId="47EB1939" w14:textId="5C12A67B" w:rsidR="0022177A" w:rsidRPr="00091FC2" w:rsidRDefault="00FD5616" w:rsidP="00A8297E">
      <w:bookmarkStart w:id="25" w:name="_Toc136592905"/>
      <w:r w:rsidRPr="00091FC2">
        <w:t>Alleged violation o</w:t>
      </w:r>
      <w:r w:rsidR="000B092A" w:rsidRPr="00091FC2">
        <w:t>f</w:t>
      </w:r>
      <w:r w:rsidRPr="00091FC2">
        <w:t xml:space="preserve"> the right to be heard</w:t>
      </w:r>
      <w:bookmarkEnd w:id="25"/>
    </w:p>
    <w:p w14:paraId="38FA9B51" w14:textId="0775A943" w:rsidR="00FD5616" w:rsidRPr="00091FC2" w:rsidRDefault="00FD5616" w:rsidP="00A8297E">
      <w:r w:rsidRPr="00091FC2">
        <w:t xml:space="preserve"> </w:t>
      </w:r>
    </w:p>
    <w:p w14:paraId="3FC4BA64" w14:textId="19108050" w:rsidR="00881A9B" w:rsidRPr="00091FC2" w:rsidRDefault="00052F7C" w:rsidP="00A8297E">
      <w:pPr>
        <w:rPr>
          <w:bCs/>
        </w:rPr>
      </w:pPr>
      <w:r w:rsidRPr="00091FC2">
        <w:t>The Applicant makes two (2) claims</w:t>
      </w:r>
      <w:r w:rsidR="001D31FB" w:rsidRPr="00091FC2">
        <w:t xml:space="preserve"> </w:t>
      </w:r>
      <w:r w:rsidR="00ED33DF" w:rsidRPr="00091FC2">
        <w:t>regarding</w:t>
      </w:r>
      <w:r w:rsidR="00B10E75" w:rsidRPr="00091FC2">
        <w:t xml:space="preserve"> </w:t>
      </w:r>
      <w:r w:rsidR="00C97646" w:rsidRPr="00091FC2">
        <w:t>the right to have his cause heard</w:t>
      </w:r>
      <w:r w:rsidR="00ED33DF" w:rsidRPr="00091FC2">
        <w:t xml:space="preserve">, </w:t>
      </w:r>
      <w:r w:rsidR="00211B4A" w:rsidRPr="00091FC2">
        <w:t xml:space="preserve">namely, </w:t>
      </w:r>
      <w:r w:rsidR="00ED33DF" w:rsidRPr="00091FC2">
        <w:rPr>
          <w:bCs/>
        </w:rPr>
        <w:t>that (i) the High Court wrongfully admitted into evidence</w:t>
      </w:r>
      <w:r w:rsidR="00ED33DF" w:rsidRPr="00091FC2">
        <w:t xml:space="preserve"> </w:t>
      </w:r>
      <w:r w:rsidR="00ED33DF" w:rsidRPr="00091FC2">
        <w:rPr>
          <w:bCs/>
        </w:rPr>
        <w:t xml:space="preserve">the </w:t>
      </w:r>
      <w:r w:rsidR="008C71E7" w:rsidRPr="00091FC2">
        <w:rPr>
          <w:bCs/>
        </w:rPr>
        <w:t>Applicant</w:t>
      </w:r>
      <w:r w:rsidR="00093C4B" w:rsidRPr="00091FC2">
        <w:rPr>
          <w:bCs/>
        </w:rPr>
        <w:t>’</w:t>
      </w:r>
      <w:r w:rsidR="008C71E7" w:rsidRPr="00091FC2">
        <w:rPr>
          <w:bCs/>
        </w:rPr>
        <w:t xml:space="preserve">s </w:t>
      </w:r>
      <w:r w:rsidR="00ED33DF" w:rsidRPr="00091FC2">
        <w:rPr>
          <w:bCs/>
        </w:rPr>
        <w:t xml:space="preserve">self-incriminating statement, which he retracted and (ii) the Court of Appeal erred in law and fact by failing to consider his defence that the extrajudicial statement was made under </w:t>
      </w:r>
      <w:r w:rsidR="00211B4A" w:rsidRPr="00091FC2">
        <w:rPr>
          <w:bCs/>
        </w:rPr>
        <w:t>duress</w:t>
      </w:r>
      <w:r w:rsidR="00933B8E" w:rsidRPr="00091FC2">
        <w:rPr>
          <w:bCs/>
        </w:rPr>
        <w:t xml:space="preserve">. </w:t>
      </w:r>
    </w:p>
    <w:p w14:paraId="4C06BB07" w14:textId="5FF471F5" w:rsidR="00191D2F" w:rsidRPr="00091FC2" w:rsidRDefault="00B10E75" w:rsidP="00A8297E">
      <w:r w:rsidRPr="00091FC2">
        <w:t xml:space="preserve"> </w:t>
      </w:r>
    </w:p>
    <w:p w14:paraId="6A461A86" w14:textId="6C8BDA42" w:rsidR="005575C4" w:rsidRPr="00091FC2" w:rsidRDefault="00B10E75" w:rsidP="00A8297E">
      <w:r w:rsidRPr="00091FC2">
        <w:lastRenderedPageBreak/>
        <w:t>The Respondent S</w:t>
      </w:r>
      <w:r w:rsidR="00C07D1D" w:rsidRPr="00091FC2">
        <w:t>tate</w:t>
      </w:r>
      <w:r w:rsidR="00A04469" w:rsidRPr="00091FC2">
        <w:t xml:space="preserve"> disputes both </w:t>
      </w:r>
      <w:r w:rsidR="00ED33DF" w:rsidRPr="00091FC2">
        <w:t xml:space="preserve">claims, and asks </w:t>
      </w:r>
      <w:r w:rsidR="00A04469" w:rsidRPr="00091FC2">
        <w:t xml:space="preserve">the Court to </w:t>
      </w:r>
      <w:r w:rsidR="0022177A" w:rsidRPr="00091FC2">
        <w:t>subject</w:t>
      </w:r>
      <w:r w:rsidR="00A04469" w:rsidRPr="00091FC2">
        <w:t xml:space="preserve"> the</w:t>
      </w:r>
      <w:r w:rsidR="00ED33DF" w:rsidRPr="00091FC2">
        <w:t xml:space="preserve">m </w:t>
      </w:r>
      <w:r w:rsidR="00A04469" w:rsidRPr="00091FC2">
        <w:t xml:space="preserve">to strict proof. </w:t>
      </w:r>
      <w:r w:rsidRPr="00091FC2">
        <w:rPr>
          <w:bCs/>
        </w:rPr>
        <w:t xml:space="preserve">With regard to the first </w:t>
      </w:r>
      <w:r w:rsidR="001071A4" w:rsidRPr="00091FC2">
        <w:rPr>
          <w:bCs/>
        </w:rPr>
        <w:t>claim</w:t>
      </w:r>
      <w:r w:rsidR="00A04469" w:rsidRPr="00091FC2">
        <w:rPr>
          <w:bCs/>
        </w:rPr>
        <w:t>, the Respondent State argues that</w:t>
      </w:r>
      <w:r w:rsidR="008C71E7" w:rsidRPr="00091FC2">
        <w:rPr>
          <w:bCs/>
        </w:rPr>
        <w:t>, following the Applicant</w:t>
      </w:r>
      <w:r w:rsidR="00093C4B" w:rsidRPr="00091FC2">
        <w:rPr>
          <w:bCs/>
        </w:rPr>
        <w:t>’</w:t>
      </w:r>
      <w:r w:rsidR="008C71E7" w:rsidRPr="00091FC2">
        <w:rPr>
          <w:bCs/>
        </w:rPr>
        <w:t>s counsel</w:t>
      </w:r>
      <w:r w:rsidR="00093C4B" w:rsidRPr="00091FC2">
        <w:rPr>
          <w:bCs/>
        </w:rPr>
        <w:t>’</w:t>
      </w:r>
      <w:r w:rsidR="008C71E7" w:rsidRPr="00091FC2">
        <w:rPr>
          <w:bCs/>
        </w:rPr>
        <w:t>s objection to the admission of the self-incriminating statement as evidence</w:t>
      </w:r>
      <w:r w:rsidR="00A046E1" w:rsidRPr="00091FC2">
        <w:rPr>
          <w:bCs/>
        </w:rPr>
        <w:t>,</w:t>
      </w:r>
      <w:r w:rsidR="00A04469" w:rsidRPr="00091FC2">
        <w:rPr>
          <w:bCs/>
        </w:rPr>
        <w:t xml:space="preserve"> the </w:t>
      </w:r>
      <w:r w:rsidR="005575C4" w:rsidRPr="00091FC2">
        <w:rPr>
          <w:bCs/>
        </w:rPr>
        <w:t>High Court</w:t>
      </w:r>
      <w:r w:rsidR="00ED33DF" w:rsidRPr="00091FC2">
        <w:rPr>
          <w:bCs/>
        </w:rPr>
        <w:t xml:space="preserve"> conducted a trial within a trial and determined </w:t>
      </w:r>
      <w:r w:rsidR="005575C4" w:rsidRPr="00091FC2">
        <w:rPr>
          <w:bCs/>
        </w:rPr>
        <w:t xml:space="preserve">that the </w:t>
      </w:r>
      <w:r w:rsidR="00ED33DF" w:rsidRPr="00091FC2">
        <w:rPr>
          <w:bCs/>
        </w:rPr>
        <w:t xml:space="preserve">Applicant made the </w:t>
      </w:r>
      <w:r w:rsidR="005575C4" w:rsidRPr="00091FC2">
        <w:rPr>
          <w:bCs/>
        </w:rPr>
        <w:t>statement voluntarily</w:t>
      </w:r>
      <w:r w:rsidR="00ED33DF" w:rsidRPr="00091FC2">
        <w:rPr>
          <w:bCs/>
        </w:rPr>
        <w:t xml:space="preserve">. </w:t>
      </w:r>
      <w:r w:rsidR="008C71E7" w:rsidRPr="00091FC2">
        <w:rPr>
          <w:bCs/>
        </w:rPr>
        <w:t xml:space="preserve">Following this finding, the High Court admitted the statement into evidence. </w:t>
      </w:r>
      <w:r w:rsidR="00ED33DF" w:rsidRPr="00091FC2">
        <w:rPr>
          <w:bCs/>
        </w:rPr>
        <w:t xml:space="preserve">This </w:t>
      </w:r>
      <w:r w:rsidR="008C71E7" w:rsidRPr="00091FC2">
        <w:rPr>
          <w:bCs/>
        </w:rPr>
        <w:t>finding was affirmed by the Court of Appeal.</w:t>
      </w:r>
    </w:p>
    <w:p w14:paraId="7858B051" w14:textId="77777777" w:rsidR="0072553C" w:rsidRPr="00091FC2" w:rsidRDefault="0072553C" w:rsidP="00A8297E"/>
    <w:p w14:paraId="14C01DE7" w14:textId="77777777" w:rsidR="0072528D" w:rsidRPr="00091FC2" w:rsidRDefault="0072528D" w:rsidP="00A8297E"/>
    <w:p w14:paraId="2947E0EA" w14:textId="77777777" w:rsidR="0072528D" w:rsidRPr="00091FC2" w:rsidRDefault="0072528D" w:rsidP="00A8297E"/>
    <w:p w14:paraId="4A525B41" w14:textId="0304222E" w:rsidR="00B6616A" w:rsidRPr="00091FC2" w:rsidRDefault="005575C4" w:rsidP="00A8297E">
      <w:r w:rsidRPr="00091FC2">
        <w:t xml:space="preserve">In relation to the second </w:t>
      </w:r>
      <w:r w:rsidR="001071A4" w:rsidRPr="00091FC2">
        <w:t>claim</w:t>
      </w:r>
      <w:r w:rsidRPr="00091FC2">
        <w:t xml:space="preserve">, the Respondent State </w:t>
      </w:r>
      <w:r w:rsidR="008C71E7" w:rsidRPr="00091FC2">
        <w:rPr>
          <w:bCs/>
        </w:rPr>
        <w:t>reiterates</w:t>
      </w:r>
      <w:r w:rsidRPr="00091FC2">
        <w:t xml:space="preserve"> that the Applicant made the </w:t>
      </w:r>
      <w:r w:rsidR="008C71E7" w:rsidRPr="00091FC2">
        <w:rPr>
          <w:bCs/>
        </w:rPr>
        <w:t>self-incriminating</w:t>
      </w:r>
      <w:r w:rsidR="008C71E7" w:rsidRPr="00091FC2">
        <w:t xml:space="preserve"> </w:t>
      </w:r>
      <w:r w:rsidRPr="00091FC2">
        <w:t>statement voluntarily as confirmed by the High Court</w:t>
      </w:r>
      <w:r w:rsidR="008B4F44" w:rsidRPr="00091FC2">
        <w:t xml:space="preserve"> and the Court of Appeal. Further, the Applicant did not report </w:t>
      </w:r>
      <w:r w:rsidR="008C71E7" w:rsidRPr="00091FC2">
        <w:rPr>
          <w:bCs/>
        </w:rPr>
        <w:t>any</w:t>
      </w:r>
      <w:r w:rsidR="008C71E7" w:rsidRPr="00091FC2">
        <w:t xml:space="preserve"> </w:t>
      </w:r>
      <w:r w:rsidR="001071A4" w:rsidRPr="00091FC2">
        <w:t>incident</w:t>
      </w:r>
      <w:r w:rsidR="008B4F44" w:rsidRPr="00091FC2">
        <w:t xml:space="preserve"> of torture to the justice of peace, who recorded his statement.</w:t>
      </w:r>
    </w:p>
    <w:p w14:paraId="15B09F68" w14:textId="77777777" w:rsidR="006F5C73" w:rsidRPr="00091FC2" w:rsidRDefault="006F5C73" w:rsidP="00A8297E"/>
    <w:p w14:paraId="3D189612" w14:textId="4C5C34E2" w:rsidR="00B6616A" w:rsidRPr="00091FC2" w:rsidRDefault="00B6616A" w:rsidP="00A8297E">
      <w:r w:rsidRPr="00091FC2">
        <w:t>***</w:t>
      </w:r>
    </w:p>
    <w:p w14:paraId="4DBA1573" w14:textId="77777777" w:rsidR="003C6B0E" w:rsidRPr="00091FC2" w:rsidRDefault="003C6B0E" w:rsidP="00A8297E"/>
    <w:p w14:paraId="7DAF1DD6" w14:textId="70A6E55D" w:rsidR="0022177A" w:rsidRPr="00091FC2" w:rsidRDefault="0022177A" w:rsidP="00A8297E">
      <w:r w:rsidRPr="00091FC2">
        <w:t xml:space="preserve">Article 7(1) </w:t>
      </w:r>
      <w:r w:rsidR="00B6616A" w:rsidRPr="00091FC2">
        <w:t xml:space="preserve">of the Charter stipulates that “Every individual shall have the right to have his cause heard.” </w:t>
      </w:r>
    </w:p>
    <w:p w14:paraId="38A202C4" w14:textId="26A22EAC" w:rsidR="00B6616A" w:rsidRPr="00091FC2" w:rsidRDefault="00B6616A" w:rsidP="00A8297E"/>
    <w:p w14:paraId="187BAD54" w14:textId="2A570E57" w:rsidR="00933B8E" w:rsidRPr="00091FC2" w:rsidRDefault="002052D4" w:rsidP="00A8297E">
      <w:r w:rsidRPr="00091FC2">
        <w:t xml:space="preserve">The Court recalls </w:t>
      </w:r>
      <w:r w:rsidR="008B55AC" w:rsidRPr="00091FC2">
        <w:t xml:space="preserve">its case-law </w:t>
      </w:r>
      <w:r w:rsidRPr="00091FC2">
        <w:t>that</w:t>
      </w:r>
      <w:r w:rsidR="005B20E7" w:rsidRPr="00091FC2">
        <w:t xml:space="preserve"> </w:t>
      </w:r>
      <w:r w:rsidR="009D5B4C" w:rsidRPr="00091FC2">
        <w:rPr>
          <w:bCs/>
        </w:rPr>
        <w:t>since it is not an appellate court “as a matter of principle, it is up to national courts to decide on the probative value of a particular piece of evidence.”</w:t>
      </w:r>
      <w:r w:rsidR="009D5B4C" w:rsidRPr="00091FC2">
        <w:rPr>
          <w:rStyle w:val="FootnoteReference"/>
          <w:rFonts w:ascii="Arial" w:hAnsi="Arial" w:cs="Arial"/>
          <w:bCs/>
        </w:rPr>
        <w:footnoteReference w:id="24"/>
      </w:r>
      <w:r w:rsidRPr="00091FC2">
        <w:rPr>
          <w:bCs/>
        </w:rPr>
        <w:t xml:space="preserve"> </w:t>
      </w:r>
      <w:r w:rsidR="00B359B5" w:rsidRPr="00091FC2">
        <w:t xml:space="preserve">It </w:t>
      </w:r>
      <w:r w:rsidR="008B55AC" w:rsidRPr="00091FC2">
        <w:t xml:space="preserve">is empowered to </w:t>
      </w:r>
      <w:r w:rsidR="001B7C61" w:rsidRPr="00091FC2">
        <w:rPr>
          <w:bCs/>
        </w:rPr>
        <w:t>assess</w:t>
      </w:r>
      <w:r w:rsidR="001B7C61" w:rsidRPr="00091FC2">
        <w:t xml:space="preserve"> </w:t>
      </w:r>
      <w:r w:rsidR="00211B4A" w:rsidRPr="00091FC2">
        <w:t xml:space="preserve">how national court evaluated such evidence </w:t>
      </w:r>
      <w:r w:rsidR="00DB5A0C" w:rsidRPr="00091FC2">
        <w:t>as</w:t>
      </w:r>
      <w:r w:rsidR="008B55AC" w:rsidRPr="00091FC2">
        <w:t xml:space="preserve"> against international human rights instruments.</w:t>
      </w:r>
      <w:r w:rsidR="008B55AC" w:rsidRPr="00091FC2">
        <w:rPr>
          <w:rStyle w:val="FootnoteReference"/>
          <w:rFonts w:ascii="Arial" w:hAnsi="Arial" w:cs="Arial"/>
        </w:rPr>
        <w:footnoteReference w:id="25"/>
      </w:r>
      <w:r w:rsidRPr="00091FC2">
        <w:t xml:space="preserve"> </w:t>
      </w:r>
      <w:r w:rsidR="009D5B4C" w:rsidRPr="00091FC2">
        <w:rPr>
          <w:bCs/>
        </w:rPr>
        <w:t>Notably,</w:t>
      </w:r>
      <w:r w:rsidR="009D5B4C" w:rsidRPr="00091FC2">
        <w:t xml:space="preserve"> </w:t>
      </w:r>
      <w:r w:rsidR="00F37977" w:rsidRPr="00091FC2">
        <w:t>among the guarantees of the right to a fair trial is that a harsh prison sentence following a conviction of a certain criminal offence should be based on strong and credible evidence.</w:t>
      </w:r>
      <w:r w:rsidR="00F37977" w:rsidRPr="00091FC2">
        <w:rPr>
          <w:rStyle w:val="FootnoteReference"/>
          <w:rFonts w:ascii="Arial" w:hAnsi="Arial" w:cs="Arial"/>
        </w:rPr>
        <w:footnoteReference w:id="26"/>
      </w:r>
      <w:r w:rsidR="00C208FA" w:rsidRPr="00091FC2">
        <w:t xml:space="preserve"> </w:t>
      </w:r>
      <w:r w:rsidR="00933B8E" w:rsidRPr="00091FC2">
        <w:t>The Court will consider, in turn, the two grounds related to the issue of evidence that the Applicant raise</w:t>
      </w:r>
      <w:r w:rsidR="0070689E" w:rsidRPr="00091FC2">
        <w:t>s</w:t>
      </w:r>
      <w:r w:rsidR="00933B8E" w:rsidRPr="00091FC2">
        <w:t xml:space="preserve">. </w:t>
      </w:r>
    </w:p>
    <w:p w14:paraId="33A99EAE" w14:textId="4CF415B2" w:rsidR="00F37977" w:rsidRPr="00091FC2" w:rsidRDefault="00F37977" w:rsidP="00A8297E"/>
    <w:p w14:paraId="564C014D" w14:textId="073E26C4" w:rsidR="005D1F30" w:rsidRPr="00091FC2" w:rsidRDefault="00D748FF" w:rsidP="00A8297E">
      <w:pPr>
        <w:rPr>
          <w:bCs/>
        </w:rPr>
      </w:pPr>
      <w:bookmarkStart w:id="26" w:name="_Toc136592906"/>
      <w:r w:rsidRPr="00091FC2">
        <w:t>On</w:t>
      </w:r>
      <w:r w:rsidRPr="00091FC2">
        <w:rPr>
          <w:bCs/>
        </w:rPr>
        <w:t xml:space="preserve"> the </w:t>
      </w:r>
      <w:r w:rsidR="00B85BAA" w:rsidRPr="00091FC2">
        <w:rPr>
          <w:bCs/>
        </w:rPr>
        <w:t>High Court</w:t>
      </w:r>
      <w:r w:rsidR="00093C4B" w:rsidRPr="00091FC2">
        <w:rPr>
          <w:bCs/>
        </w:rPr>
        <w:t>’</w:t>
      </w:r>
      <w:r w:rsidR="00B85BAA" w:rsidRPr="00091FC2">
        <w:rPr>
          <w:bCs/>
        </w:rPr>
        <w:t xml:space="preserve">s </w:t>
      </w:r>
      <w:r w:rsidRPr="00091FC2">
        <w:rPr>
          <w:bCs/>
        </w:rPr>
        <w:t xml:space="preserve">admission </w:t>
      </w:r>
      <w:r w:rsidR="0070689E" w:rsidRPr="00091FC2">
        <w:rPr>
          <w:bCs/>
        </w:rPr>
        <w:t>of the self-incriminating statement</w:t>
      </w:r>
      <w:r w:rsidR="00370411" w:rsidRPr="00091FC2">
        <w:rPr>
          <w:bCs/>
        </w:rPr>
        <w:t xml:space="preserve"> </w:t>
      </w:r>
      <w:r w:rsidRPr="00091FC2">
        <w:rPr>
          <w:bCs/>
        </w:rPr>
        <w:t>into evidence</w:t>
      </w:r>
      <w:bookmarkEnd w:id="26"/>
      <w:r w:rsidRPr="00091FC2">
        <w:rPr>
          <w:bCs/>
        </w:rPr>
        <w:t xml:space="preserve"> </w:t>
      </w:r>
    </w:p>
    <w:p w14:paraId="2A2A390B" w14:textId="77777777" w:rsidR="00370411" w:rsidRPr="00091FC2" w:rsidRDefault="00370411" w:rsidP="00A8297E">
      <w:pPr>
        <w:rPr>
          <w:bCs/>
        </w:rPr>
      </w:pPr>
    </w:p>
    <w:p w14:paraId="74B79BBD" w14:textId="3E19543A" w:rsidR="002052D4" w:rsidRPr="00091FC2" w:rsidRDefault="002052D4" w:rsidP="00A8297E">
      <w:pPr>
        <w:rPr>
          <w:bCs/>
        </w:rPr>
      </w:pPr>
      <w:r w:rsidRPr="00091FC2">
        <w:rPr>
          <w:bCs/>
        </w:rPr>
        <w:t xml:space="preserve">The Court </w:t>
      </w:r>
      <w:r w:rsidR="00F31B27" w:rsidRPr="00091FC2">
        <w:rPr>
          <w:bCs/>
        </w:rPr>
        <w:t xml:space="preserve">observes </w:t>
      </w:r>
      <w:r w:rsidR="00A54839" w:rsidRPr="00091FC2">
        <w:rPr>
          <w:bCs/>
        </w:rPr>
        <w:t>from the record</w:t>
      </w:r>
      <w:r w:rsidR="0070689E" w:rsidRPr="00091FC2">
        <w:rPr>
          <w:bCs/>
        </w:rPr>
        <w:t>s</w:t>
      </w:r>
      <w:r w:rsidR="00F31B27" w:rsidRPr="00091FC2">
        <w:rPr>
          <w:bCs/>
        </w:rPr>
        <w:t xml:space="preserve"> that</w:t>
      </w:r>
      <w:r w:rsidR="00A54839" w:rsidRPr="00091FC2">
        <w:rPr>
          <w:bCs/>
        </w:rPr>
        <w:t xml:space="preserve"> the </w:t>
      </w:r>
      <w:r w:rsidR="009D5B4C" w:rsidRPr="00091FC2">
        <w:rPr>
          <w:bCs/>
        </w:rPr>
        <w:t xml:space="preserve">crux </w:t>
      </w:r>
      <w:r w:rsidR="00A54839" w:rsidRPr="00091FC2">
        <w:rPr>
          <w:bCs/>
        </w:rPr>
        <w:t>of the Applicant</w:t>
      </w:r>
      <w:r w:rsidR="00093C4B" w:rsidRPr="00091FC2">
        <w:rPr>
          <w:bCs/>
        </w:rPr>
        <w:t>’</w:t>
      </w:r>
      <w:r w:rsidR="00A54839" w:rsidRPr="00091FC2">
        <w:rPr>
          <w:bCs/>
        </w:rPr>
        <w:t>s defe</w:t>
      </w:r>
      <w:r w:rsidR="00F31B27" w:rsidRPr="00091FC2">
        <w:rPr>
          <w:bCs/>
        </w:rPr>
        <w:t xml:space="preserve">nce at the </w:t>
      </w:r>
      <w:r w:rsidR="009D5B4C" w:rsidRPr="00091FC2">
        <w:rPr>
          <w:bCs/>
        </w:rPr>
        <w:t xml:space="preserve">High Court </w:t>
      </w:r>
      <w:r w:rsidR="00F31B27" w:rsidRPr="00091FC2">
        <w:rPr>
          <w:bCs/>
        </w:rPr>
        <w:t xml:space="preserve">and the </w:t>
      </w:r>
      <w:r w:rsidR="009D5B4C" w:rsidRPr="00091FC2">
        <w:rPr>
          <w:bCs/>
        </w:rPr>
        <w:t xml:space="preserve">only ground of appeal before the </w:t>
      </w:r>
      <w:r w:rsidR="00F31B27" w:rsidRPr="00091FC2">
        <w:rPr>
          <w:bCs/>
        </w:rPr>
        <w:t>Court of A</w:t>
      </w:r>
      <w:r w:rsidR="00A54839" w:rsidRPr="00091FC2">
        <w:rPr>
          <w:bCs/>
        </w:rPr>
        <w:t xml:space="preserve">ppeal </w:t>
      </w:r>
      <w:r w:rsidR="009D5B4C" w:rsidRPr="00091FC2">
        <w:rPr>
          <w:bCs/>
        </w:rPr>
        <w:t xml:space="preserve">was </w:t>
      </w:r>
      <w:r w:rsidR="00A54839" w:rsidRPr="00091FC2">
        <w:rPr>
          <w:bCs/>
        </w:rPr>
        <w:t xml:space="preserve">the admission of the extra-judicial statement </w:t>
      </w:r>
      <w:r w:rsidR="009D5B4C" w:rsidRPr="00091FC2">
        <w:rPr>
          <w:bCs/>
        </w:rPr>
        <w:t xml:space="preserve">into </w:t>
      </w:r>
      <w:r w:rsidR="00A54839" w:rsidRPr="00091FC2">
        <w:rPr>
          <w:bCs/>
        </w:rPr>
        <w:t xml:space="preserve">evidence. </w:t>
      </w:r>
      <w:r w:rsidR="009D5B4C" w:rsidRPr="00091FC2">
        <w:rPr>
          <w:bCs/>
        </w:rPr>
        <w:t>T</w:t>
      </w:r>
      <w:r w:rsidR="00A54839" w:rsidRPr="00091FC2">
        <w:rPr>
          <w:bCs/>
        </w:rPr>
        <w:t xml:space="preserve">his Court </w:t>
      </w:r>
      <w:r w:rsidR="009D5B4C" w:rsidRPr="00091FC2">
        <w:rPr>
          <w:bCs/>
        </w:rPr>
        <w:t xml:space="preserve">therefore has to assess </w:t>
      </w:r>
      <w:r w:rsidR="00A54839" w:rsidRPr="00091FC2">
        <w:rPr>
          <w:bCs/>
        </w:rPr>
        <w:t xml:space="preserve">whether the </w:t>
      </w:r>
      <w:r w:rsidR="00F37977" w:rsidRPr="00091FC2">
        <w:rPr>
          <w:bCs/>
        </w:rPr>
        <w:t>national courts</w:t>
      </w:r>
      <w:r w:rsidR="00093C4B" w:rsidRPr="00091FC2">
        <w:rPr>
          <w:bCs/>
        </w:rPr>
        <w:t>’</w:t>
      </w:r>
      <w:r w:rsidR="00F37977" w:rsidRPr="00091FC2">
        <w:rPr>
          <w:bCs/>
        </w:rPr>
        <w:t xml:space="preserve"> </w:t>
      </w:r>
      <w:r w:rsidR="00A54839" w:rsidRPr="00091FC2">
        <w:rPr>
          <w:bCs/>
        </w:rPr>
        <w:t xml:space="preserve">admission of this evidence </w:t>
      </w:r>
      <w:r w:rsidR="009D5B4C" w:rsidRPr="00091FC2">
        <w:rPr>
          <w:bCs/>
        </w:rPr>
        <w:t xml:space="preserve">was in compliance </w:t>
      </w:r>
      <w:r w:rsidR="00F37977" w:rsidRPr="00091FC2">
        <w:rPr>
          <w:bCs/>
        </w:rPr>
        <w:t>with</w:t>
      </w:r>
      <w:r w:rsidR="00A54839" w:rsidRPr="00091FC2">
        <w:rPr>
          <w:bCs/>
        </w:rPr>
        <w:t xml:space="preserve"> </w:t>
      </w:r>
      <w:r w:rsidR="009D5B4C" w:rsidRPr="00091FC2">
        <w:rPr>
          <w:bCs/>
        </w:rPr>
        <w:t>the Applicant</w:t>
      </w:r>
      <w:r w:rsidR="00093C4B" w:rsidRPr="00091FC2">
        <w:rPr>
          <w:bCs/>
        </w:rPr>
        <w:t>’</w:t>
      </w:r>
      <w:r w:rsidR="009D5B4C" w:rsidRPr="00091FC2">
        <w:rPr>
          <w:bCs/>
        </w:rPr>
        <w:t xml:space="preserve">s </w:t>
      </w:r>
      <w:r w:rsidR="00A54839" w:rsidRPr="00091FC2">
        <w:rPr>
          <w:bCs/>
        </w:rPr>
        <w:t xml:space="preserve">right to be heard under Article 7(1) of the Charter. </w:t>
      </w:r>
      <w:r w:rsidR="00621F3D" w:rsidRPr="00091FC2">
        <w:rPr>
          <w:bCs/>
        </w:rPr>
        <w:t xml:space="preserve"> </w:t>
      </w:r>
    </w:p>
    <w:p w14:paraId="45844C3D" w14:textId="77777777" w:rsidR="00AE26B4" w:rsidRPr="00091FC2" w:rsidRDefault="00AE26B4" w:rsidP="00A8297E"/>
    <w:p w14:paraId="13D6547C" w14:textId="2A847D3D" w:rsidR="00A10B21" w:rsidRPr="00091FC2" w:rsidRDefault="0096533B" w:rsidP="00A8297E">
      <w:pPr>
        <w:rPr>
          <w:bCs/>
        </w:rPr>
      </w:pPr>
      <w:r w:rsidRPr="00091FC2">
        <w:rPr>
          <w:bCs/>
        </w:rPr>
        <w:t xml:space="preserve">The Court notes that </w:t>
      </w:r>
      <w:r w:rsidR="00DB5A0C" w:rsidRPr="00091FC2">
        <w:rPr>
          <w:bCs/>
        </w:rPr>
        <w:t xml:space="preserve">the record </w:t>
      </w:r>
      <w:r w:rsidR="009D5B4C" w:rsidRPr="00091FC2">
        <w:rPr>
          <w:bCs/>
        </w:rPr>
        <w:t xml:space="preserve">of the trial proceedings </w:t>
      </w:r>
      <w:r w:rsidR="00DB5A0C" w:rsidRPr="00091FC2">
        <w:rPr>
          <w:bCs/>
        </w:rPr>
        <w:t>shows that from th</w:t>
      </w:r>
      <w:r w:rsidRPr="00091FC2">
        <w:rPr>
          <w:bCs/>
        </w:rPr>
        <w:t xml:space="preserve">e onset of the trial on 13 June 2000, the Applicant objected to the extra-judicial </w:t>
      </w:r>
      <w:r w:rsidRPr="00091FC2">
        <w:t>state</w:t>
      </w:r>
      <w:r w:rsidR="00F31B27" w:rsidRPr="00091FC2">
        <w:t>ment</w:t>
      </w:r>
      <w:r w:rsidR="00F31B27" w:rsidRPr="00091FC2">
        <w:rPr>
          <w:bCs/>
        </w:rPr>
        <w:t xml:space="preserve"> being tendered as evidence.</w:t>
      </w:r>
      <w:r w:rsidRPr="00091FC2">
        <w:rPr>
          <w:bCs/>
        </w:rPr>
        <w:t xml:space="preserve"> </w:t>
      </w:r>
      <w:r w:rsidR="009D5B4C" w:rsidRPr="00091FC2">
        <w:rPr>
          <w:bCs/>
        </w:rPr>
        <w:t xml:space="preserve">This prompted the High Court to conduct </w:t>
      </w:r>
      <w:r w:rsidR="00D748FF" w:rsidRPr="00091FC2">
        <w:rPr>
          <w:bCs/>
        </w:rPr>
        <w:t>a trial</w:t>
      </w:r>
      <w:r w:rsidR="009D5B4C" w:rsidRPr="00091FC2">
        <w:rPr>
          <w:bCs/>
        </w:rPr>
        <w:t xml:space="preserve"> within a trial.</w:t>
      </w:r>
    </w:p>
    <w:p w14:paraId="2073CD6D" w14:textId="77777777" w:rsidR="00A10B21" w:rsidRPr="00091FC2" w:rsidRDefault="00A10B21" w:rsidP="00A8297E"/>
    <w:p w14:paraId="40E58B3A" w14:textId="2720537E" w:rsidR="00B14948" w:rsidRPr="00091FC2" w:rsidRDefault="009D5B4C" w:rsidP="00A8297E">
      <w:r w:rsidRPr="00091FC2">
        <w:rPr>
          <w:bCs/>
        </w:rPr>
        <w:t>D</w:t>
      </w:r>
      <w:r w:rsidR="00F31B27" w:rsidRPr="00091FC2">
        <w:rPr>
          <w:bCs/>
        </w:rPr>
        <w:t xml:space="preserve">uring </w:t>
      </w:r>
      <w:r w:rsidR="00A46387" w:rsidRPr="00091FC2">
        <w:rPr>
          <w:bCs/>
        </w:rPr>
        <w:t xml:space="preserve">the trial within a trial, </w:t>
      </w:r>
      <w:r w:rsidR="00F31B27" w:rsidRPr="00091FC2">
        <w:rPr>
          <w:bCs/>
        </w:rPr>
        <w:t xml:space="preserve">the Applicant testified that </w:t>
      </w:r>
      <w:r w:rsidR="00F32A9C" w:rsidRPr="00091FC2">
        <w:rPr>
          <w:bCs/>
        </w:rPr>
        <w:t>he was arrested on 20 March 1995</w:t>
      </w:r>
      <w:r w:rsidRPr="00091FC2">
        <w:rPr>
          <w:bCs/>
        </w:rPr>
        <w:t xml:space="preserve"> and that after that, he was beaten by </w:t>
      </w:r>
      <w:r w:rsidR="00093C4B" w:rsidRPr="00091FC2">
        <w:rPr>
          <w:bCs/>
        </w:rPr>
        <w:t>‘</w:t>
      </w:r>
      <w:r w:rsidRPr="00091FC2">
        <w:rPr>
          <w:bCs/>
          <w:i/>
        </w:rPr>
        <w:t>sungusungu</w:t>
      </w:r>
      <w:r w:rsidR="00093C4B" w:rsidRPr="00091FC2">
        <w:rPr>
          <w:bCs/>
          <w:i/>
        </w:rPr>
        <w:t>’</w:t>
      </w:r>
      <w:r w:rsidRPr="00091FC2">
        <w:rPr>
          <w:rStyle w:val="FootnoteReference"/>
          <w:rFonts w:ascii="Arial" w:hAnsi="Arial" w:cs="Arial"/>
          <w:bCs/>
        </w:rPr>
        <w:footnoteReference w:id="27"/>
      </w:r>
      <w:r w:rsidRPr="00091FC2">
        <w:rPr>
          <w:bCs/>
        </w:rPr>
        <w:t xml:space="preserve"> He was then taken to </w:t>
      </w:r>
      <w:r w:rsidR="00B14948" w:rsidRPr="00091FC2">
        <w:rPr>
          <w:bCs/>
        </w:rPr>
        <w:t>the District Court on 23 March 1995 which ordered</w:t>
      </w:r>
      <w:r w:rsidR="00782DFE" w:rsidRPr="00091FC2">
        <w:rPr>
          <w:bCs/>
        </w:rPr>
        <w:t xml:space="preserve"> that</w:t>
      </w:r>
      <w:r w:rsidR="00B14948" w:rsidRPr="00091FC2">
        <w:rPr>
          <w:bCs/>
        </w:rPr>
        <w:t xml:space="preserve"> he be held </w:t>
      </w:r>
      <w:r w:rsidR="00782DFE" w:rsidRPr="00091FC2">
        <w:rPr>
          <w:bCs/>
        </w:rPr>
        <w:t>o</w:t>
      </w:r>
      <w:r w:rsidR="00B14948" w:rsidRPr="00091FC2">
        <w:rPr>
          <w:bCs/>
        </w:rPr>
        <w:t>n remand</w:t>
      </w:r>
      <w:r w:rsidRPr="00091FC2">
        <w:rPr>
          <w:bCs/>
        </w:rPr>
        <w:t xml:space="preserve">. The Applicant further testified that </w:t>
      </w:r>
      <w:r w:rsidR="00B44541" w:rsidRPr="00091FC2">
        <w:rPr>
          <w:bCs/>
        </w:rPr>
        <w:t>instead of being remanded in prison as per the District Court</w:t>
      </w:r>
      <w:r w:rsidR="00093C4B" w:rsidRPr="00091FC2">
        <w:rPr>
          <w:bCs/>
        </w:rPr>
        <w:t>’</w:t>
      </w:r>
      <w:r w:rsidR="00B44541" w:rsidRPr="00091FC2">
        <w:rPr>
          <w:bCs/>
        </w:rPr>
        <w:t xml:space="preserve">s orders, he was taken to a </w:t>
      </w:r>
      <w:r w:rsidR="00B44541" w:rsidRPr="00091FC2">
        <w:rPr>
          <w:bCs/>
        </w:rPr>
        <w:lastRenderedPageBreak/>
        <w:t>police station where the police officers beat him and coerced him to confess</w:t>
      </w:r>
      <w:r w:rsidR="0049717E" w:rsidRPr="00091FC2">
        <w:rPr>
          <w:bCs/>
        </w:rPr>
        <w:t xml:space="preserve">. </w:t>
      </w:r>
      <w:r w:rsidR="00A46387" w:rsidRPr="00091FC2">
        <w:rPr>
          <w:bCs/>
        </w:rPr>
        <w:t xml:space="preserve">The police officers then took him to the justice of the peace on 24 March 1995 where he confessed to having committed the crime. </w:t>
      </w:r>
      <w:r w:rsidR="0049717E" w:rsidRPr="00091FC2">
        <w:t>The Applicant stated that he agreed to confess because he was under the impression that, by doing so he would be moved from police custody and be remanded in prison</w:t>
      </w:r>
      <w:r w:rsidR="00B44541" w:rsidRPr="00091FC2">
        <w:t>.</w:t>
      </w:r>
      <w:r w:rsidR="00C208FA" w:rsidRPr="00091FC2">
        <w:t xml:space="preserve"> </w:t>
      </w:r>
    </w:p>
    <w:p w14:paraId="7EF74872" w14:textId="62931DA7" w:rsidR="00F32A9C" w:rsidRPr="00091FC2" w:rsidRDefault="00F32A9C" w:rsidP="00A8297E">
      <w:r w:rsidRPr="00091FC2">
        <w:t xml:space="preserve"> </w:t>
      </w:r>
    </w:p>
    <w:p w14:paraId="551B1D72" w14:textId="45011DE5" w:rsidR="00F31B27" w:rsidRPr="00091FC2" w:rsidRDefault="00A46387" w:rsidP="00A8297E">
      <w:r w:rsidRPr="00091FC2">
        <w:t xml:space="preserve">The </w:t>
      </w:r>
      <w:r w:rsidR="00F31B27" w:rsidRPr="00091FC2">
        <w:t>justice of peace (PW1)</w:t>
      </w:r>
      <w:r w:rsidR="006C78AB" w:rsidRPr="00091FC2">
        <w:t>,</w:t>
      </w:r>
      <w:r w:rsidRPr="00091FC2">
        <w:t xml:space="preserve"> also testified </w:t>
      </w:r>
      <w:r w:rsidR="0027518C" w:rsidRPr="00091FC2">
        <w:t>during the trial within a trial</w:t>
      </w:r>
      <w:r w:rsidRPr="00091FC2">
        <w:t xml:space="preserve"> that, </w:t>
      </w:r>
      <w:r w:rsidR="00F31B27" w:rsidRPr="00091FC2">
        <w:t xml:space="preserve">before recording the statement </w:t>
      </w:r>
      <w:r w:rsidRPr="00091FC2">
        <w:t xml:space="preserve">it was </w:t>
      </w:r>
      <w:r w:rsidR="00F31B27" w:rsidRPr="00091FC2">
        <w:t xml:space="preserve">ensured that the Applicant was confessing to the crime voluntarily </w:t>
      </w:r>
      <w:r w:rsidR="00DB5A0C" w:rsidRPr="00091FC2">
        <w:t xml:space="preserve">and </w:t>
      </w:r>
      <w:r w:rsidR="00F31B27" w:rsidRPr="00091FC2">
        <w:t>complemented by the following actions:</w:t>
      </w:r>
      <w:r w:rsidR="00E606DA" w:rsidRPr="00091FC2">
        <w:t xml:space="preserve"> a physical examination of the Applicant for any fresh wounds or bruises; cautioning the Applicant that his statement could be used against him in court</w:t>
      </w:r>
      <w:r w:rsidR="00DB5A0C" w:rsidRPr="00091FC2">
        <w:t xml:space="preserve"> and</w:t>
      </w:r>
      <w:r w:rsidR="00E606DA" w:rsidRPr="00091FC2">
        <w:t xml:space="preserve"> communicating</w:t>
      </w:r>
      <w:r w:rsidR="001210D8" w:rsidRPr="00091FC2">
        <w:t xml:space="preserve"> </w:t>
      </w:r>
      <w:r w:rsidR="00532961" w:rsidRPr="00091FC2">
        <w:t xml:space="preserve">the </w:t>
      </w:r>
      <w:r w:rsidR="001210D8" w:rsidRPr="00091FC2">
        <w:t>same</w:t>
      </w:r>
      <w:r w:rsidR="00E606DA" w:rsidRPr="00091FC2">
        <w:t xml:space="preserve"> in Kiswahili, which the Applicant understands. Hence, the extra-judicial statement was entered as evidence</w:t>
      </w:r>
      <w:r w:rsidR="00DB5A0C" w:rsidRPr="00091FC2">
        <w:t xml:space="preserve"> at the trial before the High Court</w:t>
      </w:r>
      <w:r w:rsidR="00E606DA" w:rsidRPr="00091FC2">
        <w:t>.</w:t>
      </w:r>
    </w:p>
    <w:p w14:paraId="1BE6C35B" w14:textId="77777777" w:rsidR="00EE0A5E" w:rsidRPr="00091FC2" w:rsidRDefault="00EE0A5E" w:rsidP="00A8297E"/>
    <w:p w14:paraId="5DF11BDC" w14:textId="6A7474BB" w:rsidR="00A46387" w:rsidRPr="00091FC2" w:rsidRDefault="00E606DA" w:rsidP="00A8297E">
      <w:pPr>
        <w:rPr>
          <w:bCs/>
        </w:rPr>
      </w:pPr>
      <w:r w:rsidRPr="00091FC2">
        <w:t xml:space="preserve">The Court observes that the </w:t>
      </w:r>
      <w:r w:rsidR="00A46387" w:rsidRPr="00091FC2">
        <w:t>High C</w:t>
      </w:r>
      <w:r w:rsidRPr="00091FC2">
        <w:t>ourt</w:t>
      </w:r>
      <w:r w:rsidR="0027518C" w:rsidRPr="00091FC2">
        <w:t xml:space="preserve"> also addressed the contention </w:t>
      </w:r>
      <w:r w:rsidR="00FA29CE" w:rsidRPr="00091FC2">
        <w:t xml:space="preserve">as to </w:t>
      </w:r>
      <w:r w:rsidRPr="00091FC2">
        <w:t>whether the Applicant signed the confession.</w:t>
      </w:r>
      <w:r w:rsidR="00270C1E" w:rsidRPr="00091FC2">
        <w:t xml:space="preserve"> Again, the </w:t>
      </w:r>
      <w:r w:rsidR="00896902" w:rsidRPr="00091FC2">
        <w:t xml:space="preserve">High Court </w:t>
      </w:r>
      <w:r w:rsidR="00270C1E" w:rsidRPr="00091FC2">
        <w:t xml:space="preserve">was satisfied with the testimony of PW1 that </w:t>
      </w:r>
      <w:r w:rsidR="00F32A9C" w:rsidRPr="00091FC2">
        <w:t xml:space="preserve">the </w:t>
      </w:r>
      <w:r w:rsidR="00270C1E" w:rsidRPr="00091FC2">
        <w:t>Applicant signed the statement in her presence after she read it out to him.</w:t>
      </w:r>
      <w:r w:rsidR="00A46387" w:rsidRPr="00091FC2">
        <w:t xml:space="preserve"> </w:t>
      </w:r>
      <w:r w:rsidR="00D748FF" w:rsidRPr="00091FC2">
        <w:rPr>
          <w:bCs/>
        </w:rPr>
        <w:t>Moreover, in addressing the anomaly of keeping the Applicant in police custody instead of taking him to prison, the Court notes that after the trial within a trial, the High Court ruled that: “</w:t>
      </w:r>
      <w:r w:rsidR="00D748FF" w:rsidRPr="00091FC2">
        <w:rPr>
          <w:bCs/>
          <w:i/>
        </w:rPr>
        <w:t>Other discrepancies i.e., non-sending the accused to prison does not go to the issue of voluntariness. That is too remote</w:t>
      </w:r>
      <w:r w:rsidR="00D748FF" w:rsidRPr="00091FC2">
        <w:rPr>
          <w:bCs/>
        </w:rPr>
        <w:t xml:space="preserve">.” </w:t>
      </w:r>
      <w:r w:rsidR="00A46387" w:rsidRPr="00091FC2">
        <w:rPr>
          <w:bCs/>
        </w:rPr>
        <w:t xml:space="preserve">Hence, the </w:t>
      </w:r>
      <w:r w:rsidR="00D748FF" w:rsidRPr="00091FC2">
        <w:rPr>
          <w:bCs/>
        </w:rPr>
        <w:t xml:space="preserve">self-incriminating </w:t>
      </w:r>
      <w:r w:rsidR="00A46387" w:rsidRPr="00091FC2">
        <w:rPr>
          <w:bCs/>
        </w:rPr>
        <w:t>statement was entered as evidence at the trial before the High Court.</w:t>
      </w:r>
    </w:p>
    <w:p w14:paraId="63C4831D" w14:textId="77777777" w:rsidR="00A46387" w:rsidRPr="00091FC2" w:rsidRDefault="00A46387" w:rsidP="00A8297E"/>
    <w:p w14:paraId="7D94C5A5" w14:textId="3EFC1D97" w:rsidR="00E972E9" w:rsidRPr="00091FC2" w:rsidRDefault="00D748FF" w:rsidP="00A8297E">
      <w:r w:rsidRPr="00091FC2">
        <w:rPr>
          <w:bCs/>
        </w:rPr>
        <w:t>Following the admission into evidence of the self-incriminating statement, the High Court resumed the main trial.</w:t>
      </w:r>
      <w:r w:rsidRPr="00091FC2">
        <w:t xml:space="preserve"> T</w:t>
      </w:r>
      <w:r w:rsidR="00270C1E" w:rsidRPr="00091FC2">
        <w:t xml:space="preserve">he Court notes that the </w:t>
      </w:r>
      <w:r w:rsidR="00A46387" w:rsidRPr="00091FC2">
        <w:t>High C</w:t>
      </w:r>
      <w:r w:rsidR="00270C1E" w:rsidRPr="00091FC2">
        <w:t>ourt dismissed the oral evidence of two prosecution wit</w:t>
      </w:r>
      <w:r w:rsidR="0027518C" w:rsidRPr="00091FC2">
        <w:t>nesses (PW2 and PW3) due to the</w:t>
      </w:r>
      <w:r w:rsidR="00270C1E" w:rsidRPr="00091FC2">
        <w:t xml:space="preserve"> inconsistencies in their testimonies. </w:t>
      </w:r>
      <w:r w:rsidR="00270C1E" w:rsidRPr="00091FC2">
        <w:rPr>
          <w:bCs/>
        </w:rPr>
        <w:t>Therefore, of the three (3) prosecution witnesses</w:t>
      </w:r>
      <w:r w:rsidR="00093C4B" w:rsidRPr="00091FC2">
        <w:rPr>
          <w:bCs/>
        </w:rPr>
        <w:t>’</w:t>
      </w:r>
      <w:r w:rsidRPr="00091FC2">
        <w:rPr>
          <w:bCs/>
        </w:rPr>
        <w:t xml:space="preserve"> testimony</w:t>
      </w:r>
      <w:r w:rsidR="00270C1E" w:rsidRPr="00091FC2">
        <w:rPr>
          <w:bCs/>
        </w:rPr>
        <w:t xml:space="preserve">, the </w:t>
      </w:r>
      <w:r w:rsidRPr="00091FC2">
        <w:rPr>
          <w:bCs/>
        </w:rPr>
        <w:t xml:space="preserve">High Court </w:t>
      </w:r>
      <w:r w:rsidR="00270C1E" w:rsidRPr="00091FC2">
        <w:rPr>
          <w:bCs/>
        </w:rPr>
        <w:t xml:space="preserve">only relied on </w:t>
      </w:r>
      <w:r w:rsidRPr="00091FC2">
        <w:rPr>
          <w:bCs/>
        </w:rPr>
        <w:t xml:space="preserve">that of </w:t>
      </w:r>
      <w:r w:rsidR="00DB5A0C" w:rsidRPr="00091FC2">
        <w:rPr>
          <w:bCs/>
        </w:rPr>
        <w:t xml:space="preserve">(PW1), </w:t>
      </w:r>
      <w:r w:rsidR="00270C1E" w:rsidRPr="00091FC2">
        <w:rPr>
          <w:bCs/>
        </w:rPr>
        <w:t xml:space="preserve">the justice of peace, who corroborated the </w:t>
      </w:r>
      <w:r w:rsidR="00F32A9C" w:rsidRPr="00091FC2">
        <w:rPr>
          <w:bCs/>
        </w:rPr>
        <w:t xml:space="preserve">voluntariness of the </w:t>
      </w:r>
      <w:r w:rsidR="00270C1E" w:rsidRPr="00091FC2">
        <w:rPr>
          <w:bCs/>
        </w:rPr>
        <w:t>Applicant</w:t>
      </w:r>
      <w:r w:rsidR="00093C4B" w:rsidRPr="00091FC2">
        <w:rPr>
          <w:bCs/>
        </w:rPr>
        <w:t>’</w:t>
      </w:r>
      <w:r w:rsidR="00270C1E" w:rsidRPr="00091FC2">
        <w:rPr>
          <w:bCs/>
        </w:rPr>
        <w:t xml:space="preserve">s extra-judicial statement. </w:t>
      </w:r>
    </w:p>
    <w:p w14:paraId="7CF6632B" w14:textId="77777777" w:rsidR="00A046E1" w:rsidRPr="00091FC2" w:rsidRDefault="00A046E1" w:rsidP="00A8297E"/>
    <w:p w14:paraId="6D2A6D05" w14:textId="70B6EC8A" w:rsidR="00731DF8" w:rsidRPr="00091FC2" w:rsidRDefault="00270C1E" w:rsidP="00A8297E">
      <w:r w:rsidRPr="00091FC2">
        <w:rPr>
          <w:bCs/>
        </w:rPr>
        <w:t xml:space="preserve">In addition, the </w:t>
      </w:r>
      <w:r w:rsidR="00D748FF" w:rsidRPr="00091FC2">
        <w:rPr>
          <w:bCs/>
        </w:rPr>
        <w:t>High Court</w:t>
      </w:r>
      <w:r w:rsidR="00F1222E" w:rsidRPr="00091FC2">
        <w:rPr>
          <w:bCs/>
        </w:rPr>
        <w:t xml:space="preserve"> relied on </w:t>
      </w:r>
      <w:r w:rsidR="003F5A49" w:rsidRPr="00091FC2">
        <w:rPr>
          <w:bCs/>
        </w:rPr>
        <w:t xml:space="preserve">documentary evidence, </w:t>
      </w:r>
      <w:r w:rsidR="00D748FF" w:rsidRPr="00091FC2">
        <w:rPr>
          <w:bCs/>
        </w:rPr>
        <w:t>being the post-mortem report of the two (2) victims of the murder incident and the Applicant</w:t>
      </w:r>
      <w:r w:rsidR="00093C4B" w:rsidRPr="00091FC2">
        <w:rPr>
          <w:bCs/>
        </w:rPr>
        <w:t>’</w:t>
      </w:r>
      <w:r w:rsidR="00D748FF" w:rsidRPr="00091FC2">
        <w:rPr>
          <w:bCs/>
        </w:rPr>
        <w:t xml:space="preserve">s medical examination report of 22 March 1995, showing he was not bruised. This evidence </w:t>
      </w:r>
      <w:r w:rsidR="003F5A49" w:rsidRPr="00091FC2">
        <w:rPr>
          <w:bCs/>
        </w:rPr>
        <w:t xml:space="preserve">was adduced </w:t>
      </w:r>
      <w:r w:rsidRPr="00091FC2">
        <w:rPr>
          <w:bCs/>
        </w:rPr>
        <w:t xml:space="preserve">without objections </w:t>
      </w:r>
      <w:r w:rsidR="0027518C" w:rsidRPr="00091FC2">
        <w:rPr>
          <w:bCs/>
        </w:rPr>
        <w:t>either</w:t>
      </w:r>
      <w:r w:rsidR="00D748FF" w:rsidRPr="00091FC2">
        <w:rPr>
          <w:bCs/>
        </w:rPr>
        <w:t xml:space="preserve"> </w:t>
      </w:r>
      <w:r w:rsidR="00FA29CE" w:rsidRPr="00091FC2">
        <w:rPr>
          <w:bCs/>
        </w:rPr>
        <w:t xml:space="preserve">by </w:t>
      </w:r>
      <w:r w:rsidR="00D748FF" w:rsidRPr="00091FC2">
        <w:rPr>
          <w:bCs/>
        </w:rPr>
        <w:t xml:space="preserve">the </w:t>
      </w:r>
      <w:r w:rsidRPr="00091FC2">
        <w:rPr>
          <w:bCs/>
        </w:rPr>
        <w:t>prosecution or the Applicant</w:t>
      </w:r>
      <w:r w:rsidRPr="00091FC2">
        <w:t>.</w:t>
      </w:r>
      <w:r w:rsidR="00C208FA" w:rsidRPr="00091FC2">
        <w:t xml:space="preserve"> </w:t>
      </w:r>
    </w:p>
    <w:p w14:paraId="628ACBC7" w14:textId="77777777" w:rsidR="00E972E9" w:rsidRPr="00091FC2" w:rsidRDefault="00E972E9" w:rsidP="00A8297E"/>
    <w:p w14:paraId="3D266A83" w14:textId="272BB544" w:rsidR="00E972E9" w:rsidRPr="00091FC2" w:rsidRDefault="00E972E9" w:rsidP="00A8297E">
      <w:pPr>
        <w:rPr>
          <w:bCs/>
        </w:rPr>
      </w:pPr>
      <w:r w:rsidRPr="00091FC2">
        <w:rPr>
          <w:bCs/>
        </w:rPr>
        <w:t>The Court therefore finds that there is nothing on record to sustain the Applicant</w:t>
      </w:r>
      <w:r w:rsidR="00093C4B" w:rsidRPr="00091FC2">
        <w:rPr>
          <w:bCs/>
        </w:rPr>
        <w:t>’</w:t>
      </w:r>
      <w:r w:rsidRPr="00091FC2">
        <w:rPr>
          <w:bCs/>
        </w:rPr>
        <w:t>s claim that the High Court</w:t>
      </w:r>
      <w:r w:rsidR="00093C4B" w:rsidRPr="00091FC2">
        <w:rPr>
          <w:bCs/>
        </w:rPr>
        <w:t>’</w:t>
      </w:r>
      <w:r w:rsidRPr="00091FC2">
        <w:rPr>
          <w:bCs/>
        </w:rPr>
        <w:t xml:space="preserve">s admission into evidence of his self-incriminating statement was </w:t>
      </w:r>
      <w:r w:rsidR="00FA29CE" w:rsidRPr="00091FC2">
        <w:rPr>
          <w:bCs/>
        </w:rPr>
        <w:t>inconsistent with</w:t>
      </w:r>
      <w:r w:rsidRPr="00091FC2">
        <w:rPr>
          <w:bCs/>
        </w:rPr>
        <w:t xml:space="preserve"> his right to have his cause heard.</w:t>
      </w:r>
    </w:p>
    <w:p w14:paraId="7E9D17B5" w14:textId="77777777" w:rsidR="00703036" w:rsidRPr="00091FC2" w:rsidRDefault="00703036" w:rsidP="00A8297E">
      <w:r w:rsidRPr="00091FC2">
        <w:t xml:space="preserve"> </w:t>
      </w:r>
    </w:p>
    <w:p w14:paraId="79D661DC" w14:textId="781B74E4" w:rsidR="002B71B0" w:rsidRPr="00091FC2" w:rsidRDefault="00703036" w:rsidP="00A8297E">
      <w:bookmarkStart w:id="27" w:name="_Toc136592907"/>
      <w:r w:rsidRPr="00091FC2">
        <w:t>On the alleged error of law and fact by the Court of Appeal</w:t>
      </w:r>
      <w:bookmarkEnd w:id="27"/>
    </w:p>
    <w:p w14:paraId="4BB8D109" w14:textId="7006297B" w:rsidR="005D1F30" w:rsidRPr="00091FC2" w:rsidRDefault="005D1F30" w:rsidP="00A8297E"/>
    <w:p w14:paraId="05CE5357" w14:textId="6A007DF1" w:rsidR="00703036" w:rsidRPr="00091FC2" w:rsidRDefault="00703036" w:rsidP="00A8297E">
      <w:r w:rsidRPr="00091FC2">
        <w:t>On the A</w:t>
      </w:r>
      <w:r w:rsidR="000256AE" w:rsidRPr="00091FC2">
        <w:t>pplicant</w:t>
      </w:r>
      <w:r w:rsidR="00093C4B" w:rsidRPr="00091FC2">
        <w:t>’</w:t>
      </w:r>
      <w:r w:rsidR="000256AE" w:rsidRPr="00091FC2">
        <w:t>s second claim</w:t>
      </w:r>
      <w:r w:rsidR="00FA29CE" w:rsidRPr="00091FC2">
        <w:t>,</w:t>
      </w:r>
      <w:r w:rsidR="00B85BAA" w:rsidRPr="00091FC2">
        <w:t xml:space="preserve"> </w:t>
      </w:r>
      <w:r w:rsidR="000256AE" w:rsidRPr="00091FC2">
        <w:t>t</w:t>
      </w:r>
      <w:r w:rsidR="009416AA" w:rsidRPr="00091FC2">
        <w:t xml:space="preserve">he Court </w:t>
      </w:r>
      <w:r w:rsidR="000256AE" w:rsidRPr="00091FC2">
        <w:t>observes</w:t>
      </w:r>
      <w:r w:rsidR="009416AA" w:rsidRPr="00091FC2">
        <w:t xml:space="preserve"> </w:t>
      </w:r>
      <w:r w:rsidR="00FA29CE" w:rsidRPr="00091FC2">
        <w:t xml:space="preserve">that </w:t>
      </w:r>
      <w:r w:rsidR="009416AA" w:rsidRPr="00091FC2">
        <w:t xml:space="preserve">the Applicant </w:t>
      </w:r>
      <w:r w:rsidR="00110E75" w:rsidRPr="00091FC2">
        <w:t>proffered</w:t>
      </w:r>
      <w:r w:rsidR="009416AA" w:rsidRPr="00091FC2">
        <w:t xml:space="preserve"> one ground of appeal</w:t>
      </w:r>
      <w:r w:rsidRPr="00091FC2">
        <w:t xml:space="preserve">, that is, </w:t>
      </w:r>
      <w:r w:rsidR="009416AA" w:rsidRPr="00091FC2">
        <w:t xml:space="preserve">the failure of the </w:t>
      </w:r>
      <w:r w:rsidRPr="00091FC2">
        <w:t xml:space="preserve">High Court </w:t>
      </w:r>
      <w:r w:rsidR="009416AA" w:rsidRPr="00091FC2">
        <w:t xml:space="preserve">to observe that </w:t>
      </w:r>
      <w:r w:rsidRPr="00091FC2">
        <w:t xml:space="preserve">his </w:t>
      </w:r>
      <w:r w:rsidR="009416AA" w:rsidRPr="00091FC2">
        <w:t>conviction was based on a repudiated confession</w:t>
      </w:r>
      <w:r w:rsidR="005242AF" w:rsidRPr="00091FC2">
        <w:t>,</w:t>
      </w:r>
      <w:r w:rsidR="009416AA" w:rsidRPr="00091FC2">
        <w:t xml:space="preserve"> without ascertaining whether or not the same was made voluntarily. </w:t>
      </w:r>
    </w:p>
    <w:p w14:paraId="17781E89" w14:textId="77777777" w:rsidR="00703036" w:rsidRPr="00091FC2" w:rsidRDefault="00703036" w:rsidP="00A8297E"/>
    <w:p w14:paraId="3D7CEE51" w14:textId="0AE0BCC4" w:rsidR="009D1882" w:rsidRPr="00091FC2" w:rsidRDefault="00703036" w:rsidP="00A8297E">
      <w:r w:rsidRPr="00091FC2">
        <w:rPr>
          <w:bCs/>
        </w:rPr>
        <w:t>The Court notes that</w:t>
      </w:r>
      <w:r w:rsidR="00B55F2D" w:rsidRPr="00091FC2">
        <w:rPr>
          <w:bCs/>
        </w:rPr>
        <w:t>, the Court of Appeal</w:t>
      </w:r>
      <w:r w:rsidR="009D1882" w:rsidRPr="00091FC2">
        <w:rPr>
          <w:bCs/>
        </w:rPr>
        <w:t xml:space="preserve"> </w:t>
      </w:r>
      <w:r w:rsidRPr="00091FC2">
        <w:rPr>
          <w:bCs/>
        </w:rPr>
        <w:t xml:space="preserve">affirmed </w:t>
      </w:r>
      <w:r w:rsidR="009D1882" w:rsidRPr="00091FC2">
        <w:rPr>
          <w:bCs/>
        </w:rPr>
        <w:t xml:space="preserve">that the statement </w:t>
      </w:r>
      <w:r w:rsidRPr="00091FC2">
        <w:rPr>
          <w:bCs/>
        </w:rPr>
        <w:t xml:space="preserve">admitted into evidence by the High Court </w:t>
      </w:r>
      <w:r w:rsidR="009D1882" w:rsidRPr="00091FC2">
        <w:rPr>
          <w:bCs/>
        </w:rPr>
        <w:t>was a lawful</w:t>
      </w:r>
      <w:r w:rsidR="005242AF" w:rsidRPr="00091FC2">
        <w:rPr>
          <w:bCs/>
        </w:rPr>
        <w:t>ly obtained</w:t>
      </w:r>
      <w:r w:rsidR="009D1882" w:rsidRPr="00091FC2">
        <w:rPr>
          <w:bCs/>
        </w:rPr>
        <w:t xml:space="preserve"> confession</w:t>
      </w:r>
      <w:r w:rsidRPr="00091FC2">
        <w:rPr>
          <w:bCs/>
        </w:rPr>
        <w:t>.</w:t>
      </w:r>
      <w:r w:rsidRPr="00091FC2">
        <w:t xml:space="preserve"> This is </w:t>
      </w:r>
      <w:r w:rsidR="009D1882" w:rsidRPr="00091FC2">
        <w:t xml:space="preserve">because it revealed </w:t>
      </w:r>
      <w:r w:rsidR="009D1882" w:rsidRPr="00091FC2">
        <w:lastRenderedPageBreak/>
        <w:t>material aspects of the murder</w:t>
      </w:r>
      <w:r w:rsidRPr="00091FC2">
        <w:t>s</w:t>
      </w:r>
      <w:r w:rsidR="009D1882" w:rsidRPr="00091FC2">
        <w:t xml:space="preserve"> such as the weapons used in the killings, which were confirmed by the </w:t>
      </w:r>
      <w:r w:rsidR="00FF30AB" w:rsidRPr="00091FC2">
        <w:t>victims</w:t>
      </w:r>
      <w:r w:rsidR="00093C4B" w:rsidRPr="00091FC2">
        <w:t>’</w:t>
      </w:r>
      <w:r w:rsidR="00FF30AB" w:rsidRPr="00091FC2">
        <w:t xml:space="preserve"> </w:t>
      </w:r>
      <w:r w:rsidR="009D1882" w:rsidRPr="00091FC2">
        <w:t xml:space="preserve">post-mortem reports </w:t>
      </w:r>
      <w:r w:rsidRPr="00091FC2">
        <w:rPr>
          <w:bCs/>
        </w:rPr>
        <w:t xml:space="preserve">that were </w:t>
      </w:r>
      <w:r w:rsidR="00FF30AB" w:rsidRPr="00091FC2">
        <w:rPr>
          <w:bCs/>
        </w:rPr>
        <w:t xml:space="preserve">tendered </w:t>
      </w:r>
      <w:r w:rsidRPr="00091FC2">
        <w:rPr>
          <w:bCs/>
        </w:rPr>
        <w:t xml:space="preserve">at </w:t>
      </w:r>
      <w:r w:rsidR="009D1882" w:rsidRPr="00091FC2">
        <w:rPr>
          <w:bCs/>
        </w:rPr>
        <w:t xml:space="preserve">the </w:t>
      </w:r>
      <w:r w:rsidRPr="00091FC2">
        <w:rPr>
          <w:bCs/>
        </w:rPr>
        <w:t>High Court. There were also</w:t>
      </w:r>
      <w:r w:rsidR="009D1882" w:rsidRPr="00091FC2">
        <w:t xml:space="preserve"> the uncontested facts</w:t>
      </w:r>
      <w:r w:rsidRPr="00091FC2">
        <w:t>,</w:t>
      </w:r>
      <w:r w:rsidR="009D1882" w:rsidRPr="00091FC2">
        <w:t xml:space="preserve"> </w:t>
      </w:r>
      <w:r w:rsidR="00FF30AB" w:rsidRPr="00091FC2">
        <w:t xml:space="preserve">including the fact </w:t>
      </w:r>
      <w:r w:rsidR="009D1882" w:rsidRPr="00091FC2">
        <w:t xml:space="preserve">that the </w:t>
      </w:r>
      <w:r w:rsidR="00B55F2D" w:rsidRPr="00091FC2">
        <w:t xml:space="preserve">Applicant knew that his </w:t>
      </w:r>
      <w:r w:rsidR="009D1882" w:rsidRPr="00091FC2">
        <w:t>arrest was in connection</w:t>
      </w:r>
      <w:r w:rsidRPr="00091FC2">
        <w:t xml:space="preserve"> </w:t>
      </w:r>
      <w:r w:rsidRPr="00091FC2">
        <w:rPr>
          <w:bCs/>
        </w:rPr>
        <w:t xml:space="preserve">with </w:t>
      </w:r>
      <w:r w:rsidR="009D1882" w:rsidRPr="00091FC2">
        <w:rPr>
          <w:bCs/>
        </w:rPr>
        <w:t xml:space="preserve">the murder of the </w:t>
      </w:r>
      <w:r w:rsidRPr="00091FC2">
        <w:rPr>
          <w:bCs/>
        </w:rPr>
        <w:t xml:space="preserve">two (2) </w:t>
      </w:r>
      <w:r w:rsidR="009D1882" w:rsidRPr="00091FC2">
        <w:rPr>
          <w:bCs/>
        </w:rPr>
        <w:t>victims</w:t>
      </w:r>
      <w:r w:rsidR="00587E66" w:rsidRPr="00091FC2">
        <w:rPr>
          <w:bCs/>
        </w:rPr>
        <w:t>,</w:t>
      </w:r>
      <w:r w:rsidR="009D1882" w:rsidRPr="00091FC2">
        <w:rPr>
          <w:bCs/>
        </w:rPr>
        <w:t xml:space="preserve"> and that the Applicant</w:t>
      </w:r>
      <w:r w:rsidRPr="00091FC2">
        <w:rPr>
          <w:bCs/>
        </w:rPr>
        <w:t xml:space="preserve"> and his</w:t>
      </w:r>
      <w:r w:rsidRPr="00091FC2">
        <w:t xml:space="preserve"> </w:t>
      </w:r>
      <w:r w:rsidR="009D1882" w:rsidRPr="00091FC2">
        <w:t>co-accused</w:t>
      </w:r>
      <w:r w:rsidR="00093C4B" w:rsidRPr="00091FC2">
        <w:t>’</w:t>
      </w:r>
      <w:r w:rsidRPr="00091FC2">
        <w:t>s</w:t>
      </w:r>
      <w:r w:rsidR="009D1882" w:rsidRPr="00091FC2">
        <w:t xml:space="preserve"> escape from the </w:t>
      </w:r>
      <w:r w:rsidR="00FF30AB" w:rsidRPr="00091FC2">
        <w:t xml:space="preserve">crime </w:t>
      </w:r>
      <w:r w:rsidR="009D1882" w:rsidRPr="00091FC2">
        <w:t xml:space="preserve">scene </w:t>
      </w:r>
      <w:r w:rsidR="006C78AB" w:rsidRPr="00091FC2">
        <w:t>connoted an intention to kill.</w:t>
      </w:r>
      <w:r w:rsidR="009D1882" w:rsidRPr="00091FC2">
        <w:t xml:space="preserve"> </w:t>
      </w:r>
    </w:p>
    <w:p w14:paraId="2B411136" w14:textId="77777777" w:rsidR="00387CBE" w:rsidRPr="00091FC2" w:rsidRDefault="00387CBE" w:rsidP="00A8297E"/>
    <w:p w14:paraId="15B72C14" w14:textId="6DAA9AD7" w:rsidR="000256AE" w:rsidRPr="00091FC2" w:rsidRDefault="00703036" w:rsidP="00A8297E">
      <w:r w:rsidRPr="00091FC2">
        <w:t>T</w:t>
      </w:r>
      <w:r w:rsidR="009416AA" w:rsidRPr="00091FC2">
        <w:t xml:space="preserve">he Court of Appeal also </w:t>
      </w:r>
      <w:r w:rsidR="009D1882" w:rsidRPr="00091FC2">
        <w:t xml:space="preserve">assessed whether the </w:t>
      </w:r>
      <w:r w:rsidR="006A1E76" w:rsidRPr="00091FC2">
        <w:t>Applicant</w:t>
      </w:r>
      <w:r w:rsidR="00093C4B" w:rsidRPr="00091FC2">
        <w:t>’</w:t>
      </w:r>
      <w:r w:rsidR="006A1E76" w:rsidRPr="00091FC2">
        <w:t xml:space="preserve">s </w:t>
      </w:r>
      <w:r w:rsidR="008B4EE2" w:rsidRPr="00091FC2">
        <w:t xml:space="preserve">confession was made voluntarily. On the claim of torture especially, the Court of Appeal was of the view that </w:t>
      </w:r>
      <w:r w:rsidR="00B55F2D" w:rsidRPr="00091FC2">
        <w:t xml:space="preserve">the </w:t>
      </w:r>
      <w:r w:rsidR="008B4EE2" w:rsidRPr="00091FC2">
        <w:t>Applicant di</w:t>
      </w:r>
      <w:r w:rsidR="00652FD8" w:rsidRPr="00091FC2">
        <w:t xml:space="preserve">d not inform the justice of </w:t>
      </w:r>
      <w:r w:rsidR="008B4EE2" w:rsidRPr="00091FC2">
        <w:t>peace that he was tortured while in pol</w:t>
      </w:r>
      <w:r w:rsidR="00652FD8" w:rsidRPr="00091FC2">
        <w:t xml:space="preserve">ice custody, </w:t>
      </w:r>
      <w:r w:rsidR="00FF30AB" w:rsidRPr="00091FC2">
        <w:t xml:space="preserve">and neither did </w:t>
      </w:r>
      <w:r w:rsidR="00652FD8" w:rsidRPr="00091FC2">
        <w:t xml:space="preserve">the justice of </w:t>
      </w:r>
      <w:r w:rsidR="008B4EE2" w:rsidRPr="00091FC2">
        <w:t xml:space="preserve">peace find any </w:t>
      </w:r>
      <w:r w:rsidR="00DB5A0C" w:rsidRPr="00091FC2">
        <w:t xml:space="preserve">bruises </w:t>
      </w:r>
      <w:r w:rsidR="008B4EE2" w:rsidRPr="00091FC2">
        <w:t xml:space="preserve">on his body during the </w:t>
      </w:r>
      <w:r w:rsidR="00B55F2D" w:rsidRPr="00091FC2">
        <w:t xml:space="preserve">physical </w:t>
      </w:r>
      <w:r w:rsidR="00652FD8" w:rsidRPr="00091FC2">
        <w:t xml:space="preserve">examination. </w:t>
      </w:r>
      <w:r w:rsidR="009416AA" w:rsidRPr="00091FC2">
        <w:t>The Court of Appeal concluded that the statement was not procured through torture and the same was truthful as corroborated by the justice of peace</w:t>
      </w:r>
      <w:r w:rsidR="00093C4B" w:rsidRPr="00091FC2">
        <w:t>’</w:t>
      </w:r>
      <w:r w:rsidR="00EA1502" w:rsidRPr="00091FC2">
        <w:t>s testimony</w:t>
      </w:r>
      <w:r w:rsidRPr="00091FC2">
        <w:t xml:space="preserve"> </w:t>
      </w:r>
      <w:r w:rsidRPr="00091FC2">
        <w:rPr>
          <w:bCs/>
        </w:rPr>
        <w:t>before the High Court</w:t>
      </w:r>
      <w:r w:rsidR="009416AA" w:rsidRPr="00091FC2">
        <w:t>.</w:t>
      </w:r>
    </w:p>
    <w:p w14:paraId="24D9F01E" w14:textId="20F6721A" w:rsidR="009416AA" w:rsidRPr="00091FC2" w:rsidRDefault="00C208FA" w:rsidP="00A8297E">
      <w:r w:rsidRPr="00091FC2">
        <w:t xml:space="preserve"> </w:t>
      </w:r>
    </w:p>
    <w:p w14:paraId="3A028E85" w14:textId="0F8A270E" w:rsidR="005A644C" w:rsidRPr="00091FC2" w:rsidRDefault="00940589" w:rsidP="00A8297E">
      <w:pPr>
        <w:rPr>
          <w:bCs/>
        </w:rPr>
      </w:pPr>
      <w:r w:rsidRPr="00091FC2">
        <w:t>The Court notes</w:t>
      </w:r>
      <w:r w:rsidR="000256AE" w:rsidRPr="00091FC2">
        <w:t xml:space="preserve"> further </w:t>
      </w:r>
      <w:r w:rsidRPr="00091FC2">
        <w:t>that</w:t>
      </w:r>
      <w:r w:rsidR="0027518C" w:rsidRPr="00091FC2">
        <w:t xml:space="preserve"> the Court of Appeal</w:t>
      </w:r>
      <w:r w:rsidR="00703036" w:rsidRPr="00091FC2">
        <w:t xml:space="preserve"> </w:t>
      </w:r>
      <w:r w:rsidR="00703036" w:rsidRPr="00091FC2">
        <w:rPr>
          <w:bCs/>
        </w:rPr>
        <w:t>referred</w:t>
      </w:r>
      <w:r w:rsidR="00703036" w:rsidRPr="00091FC2">
        <w:t xml:space="preserve"> </w:t>
      </w:r>
      <w:r w:rsidR="000256AE" w:rsidRPr="00091FC2">
        <w:t xml:space="preserve">to </w:t>
      </w:r>
      <w:r w:rsidR="00E972E9" w:rsidRPr="00091FC2">
        <w:rPr>
          <w:bCs/>
        </w:rPr>
        <w:t>its</w:t>
      </w:r>
      <w:r w:rsidR="00DB0E4E" w:rsidRPr="00091FC2">
        <w:t xml:space="preserve"> </w:t>
      </w:r>
      <w:r w:rsidRPr="00091FC2">
        <w:t>jurisprudence</w:t>
      </w:r>
      <w:r w:rsidR="00587E66" w:rsidRPr="00091FC2">
        <w:t>,</w:t>
      </w:r>
      <w:r w:rsidRPr="00091FC2">
        <w:t xml:space="preserve"> </w:t>
      </w:r>
      <w:r w:rsidR="00241EBB" w:rsidRPr="00091FC2">
        <w:t>which dictate</w:t>
      </w:r>
      <w:r w:rsidR="00703036" w:rsidRPr="00091FC2">
        <w:t xml:space="preserve">s </w:t>
      </w:r>
      <w:r w:rsidR="00241EBB" w:rsidRPr="00091FC2">
        <w:t xml:space="preserve">that </w:t>
      </w:r>
      <w:r w:rsidRPr="00091FC2">
        <w:t xml:space="preserve">reliance on a confession </w:t>
      </w:r>
      <w:r w:rsidR="00703036" w:rsidRPr="00091FC2">
        <w:rPr>
          <w:bCs/>
        </w:rPr>
        <w:t>where there is no</w:t>
      </w:r>
      <w:r w:rsidR="00703036" w:rsidRPr="00091FC2">
        <w:t xml:space="preserve"> </w:t>
      </w:r>
      <w:r w:rsidRPr="00091FC2">
        <w:t xml:space="preserve">corroboration is subject to </w:t>
      </w:r>
      <w:r w:rsidR="00731DF8" w:rsidRPr="00091FC2">
        <w:t xml:space="preserve">strict </w:t>
      </w:r>
      <w:r w:rsidR="00FF30AB" w:rsidRPr="00091FC2">
        <w:t>requirements</w:t>
      </w:r>
      <w:r w:rsidR="00703036" w:rsidRPr="00091FC2">
        <w:t xml:space="preserve">. </w:t>
      </w:r>
      <w:r w:rsidR="00703036" w:rsidRPr="00091FC2">
        <w:rPr>
          <w:bCs/>
        </w:rPr>
        <w:t>These are</w:t>
      </w:r>
      <w:r w:rsidR="00E972E9" w:rsidRPr="00091FC2">
        <w:rPr>
          <w:bCs/>
        </w:rPr>
        <w:t>,</w:t>
      </w:r>
      <w:r w:rsidR="00703036" w:rsidRPr="00091FC2">
        <w:rPr>
          <w:bCs/>
        </w:rPr>
        <w:t xml:space="preserve"> ascertaining</w:t>
      </w:r>
      <w:r w:rsidR="00703036" w:rsidRPr="00091FC2">
        <w:t xml:space="preserve"> </w:t>
      </w:r>
      <w:r w:rsidR="000256AE" w:rsidRPr="00091FC2">
        <w:t xml:space="preserve">whether the statement was </w:t>
      </w:r>
      <w:r w:rsidRPr="00091FC2">
        <w:t>voluntarily made</w:t>
      </w:r>
      <w:r w:rsidR="00FF30AB" w:rsidRPr="00091FC2">
        <w:t>,</w:t>
      </w:r>
      <w:r w:rsidRPr="00091FC2">
        <w:t xml:space="preserve"> whether it was truthfully made</w:t>
      </w:r>
      <w:r w:rsidR="00731DF8" w:rsidRPr="00091FC2">
        <w:t xml:space="preserve"> </w:t>
      </w:r>
      <w:r w:rsidR="00B55F2D" w:rsidRPr="00091FC2">
        <w:t xml:space="preserve">and </w:t>
      </w:r>
      <w:r w:rsidR="00731DF8" w:rsidRPr="00091FC2">
        <w:t xml:space="preserve">whether </w:t>
      </w:r>
      <w:r w:rsidR="00B55F2D" w:rsidRPr="00091FC2">
        <w:t>corroboration was unavailable.</w:t>
      </w:r>
      <w:r w:rsidR="005A644C" w:rsidRPr="00091FC2">
        <w:rPr>
          <w:rStyle w:val="FootnoteReference"/>
          <w:rFonts w:ascii="Arial" w:hAnsi="Arial" w:cs="Arial"/>
        </w:rPr>
        <w:footnoteReference w:id="28"/>
      </w:r>
      <w:r w:rsidR="00C208FA" w:rsidRPr="00091FC2">
        <w:t xml:space="preserve"> </w:t>
      </w:r>
      <w:r w:rsidR="00E972E9" w:rsidRPr="00091FC2">
        <w:rPr>
          <w:bCs/>
        </w:rPr>
        <w:t xml:space="preserve">The Court of Appeal applied these criteria </w:t>
      </w:r>
      <w:r w:rsidR="006A1E76" w:rsidRPr="00091FC2">
        <w:rPr>
          <w:bCs/>
        </w:rPr>
        <w:t xml:space="preserve">to the facts of the case involving the Applicant </w:t>
      </w:r>
      <w:r w:rsidR="00E972E9" w:rsidRPr="00091FC2">
        <w:rPr>
          <w:bCs/>
        </w:rPr>
        <w:t xml:space="preserve">and satisfied itself </w:t>
      </w:r>
      <w:r w:rsidR="00FF30AB" w:rsidRPr="00091FC2">
        <w:rPr>
          <w:bCs/>
        </w:rPr>
        <w:t xml:space="preserve">that </w:t>
      </w:r>
      <w:r w:rsidR="00E972E9" w:rsidRPr="00091FC2">
        <w:rPr>
          <w:bCs/>
        </w:rPr>
        <w:t xml:space="preserve">the Applicant was properly convicted on the basis of </w:t>
      </w:r>
      <w:r w:rsidR="00FF30AB" w:rsidRPr="00091FC2">
        <w:rPr>
          <w:bCs/>
        </w:rPr>
        <w:t xml:space="preserve">a confession he made </w:t>
      </w:r>
      <w:r w:rsidR="005B14B5" w:rsidRPr="00091FC2">
        <w:rPr>
          <w:bCs/>
        </w:rPr>
        <w:t>voluntarily.</w:t>
      </w:r>
      <w:r w:rsidR="00E972E9" w:rsidRPr="00091FC2">
        <w:rPr>
          <w:bCs/>
        </w:rPr>
        <w:t xml:space="preserve"> </w:t>
      </w:r>
    </w:p>
    <w:p w14:paraId="7E81946D" w14:textId="79E569AD" w:rsidR="008A1B2A" w:rsidRPr="00091FC2" w:rsidRDefault="008A1B2A" w:rsidP="00A8297E">
      <w:r w:rsidRPr="00091FC2">
        <w:t xml:space="preserve"> </w:t>
      </w:r>
    </w:p>
    <w:p w14:paraId="17BD4369" w14:textId="703DEC7E" w:rsidR="006A1E76" w:rsidRPr="00091FC2" w:rsidRDefault="0083048A" w:rsidP="00A8297E">
      <w:r w:rsidRPr="00091FC2">
        <w:t>The Court</w:t>
      </w:r>
      <w:r w:rsidR="00B55F2D" w:rsidRPr="00091FC2">
        <w:t>,</w:t>
      </w:r>
      <w:r w:rsidRPr="00091FC2">
        <w:t xml:space="preserve"> therefore</w:t>
      </w:r>
      <w:r w:rsidR="00B55F2D" w:rsidRPr="00091FC2">
        <w:t>,</w:t>
      </w:r>
      <w:r w:rsidRPr="00091FC2">
        <w:t xml:space="preserve"> holds that </w:t>
      </w:r>
      <w:r w:rsidR="006A1E76" w:rsidRPr="00091FC2">
        <w:rPr>
          <w:bCs/>
        </w:rPr>
        <w:t>there is nothing on record to show that the</w:t>
      </w:r>
      <w:r w:rsidR="00896568" w:rsidRPr="00091FC2">
        <w:rPr>
          <w:bCs/>
        </w:rPr>
        <w:t xml:space="preserve"> </w:t>
      </w:r>
      <w:r w:rsidR="00241EBB" w:rsidRPr="00091FC2">
        <w:rPr>
          <w:bCs/>
        </w:rPr>
        <w:t>Court of Appeal</w:t>
      </w:r>
      <w:r w:rsidRPr="00091FC2">
        <w:rPr>
          <w:bCs/>
        </w:rPr>
        <w:t xml:space="preserve"> </w:t>
      </w:r>
      <w:r w:rsidR="006A1E76" w:rsidRPr="00091FC2">
        <w:rPr>
          <w:bCs/>
        </w:rPr>
        <w:t xml:space="preserve">of </w:t>
      </w:r>
      <w:r w:rsidRPr="00091FC2">
        <w:rPr>
          <w:bCs/>
        </w:rPr>
        <w:t xml:space="preserve">the Respondent State </w:t>
      </w:r>
      <w:r w:rsidR="006A1E76" w:rsidRPr="00091FC2">
        <w:rPr>
          <w:bCs/>
        </w:rPr>
        <w:t>denied the Applicant the opportunity to challenge his conviction and sentence</w:t>
      </w:r>
      <w:r w:rsidR="00FF30AB" w:rsidRPr="00091FC2">
        <w:rPr>
          <w:bCs/>
        </w:rPr>
        <w:t>.</w:t>
      </w:r>
      <w:r w:rsidR="005B20E7" w:rsidRPr="00091FC2">
        <w:rPr>
          <w:bCs/>
        </w:rPr>
        <w:t xml:space="preserve"> </w:t>
      </w:r>
    </w:p>
    <w:p w14:paraId="77A2CFC5" w14:textId="77777777" w:rsidR="006A1E76" w:rsidRPr="00091FC2" w:rsidRDefault="006A1E76" w:rsidP="00A8297E"/>
    <w:p w14:paraId="52A0ACBA" w14:textId="3222BAD4" w:rsidR="00241EBB" w:rsidRPr="00091FC2" w:rsidRDefault="006A1E76" w:rsidP="00A8297E">
      <w:r w:rsidRPr="00091FC2">
        <w:rPr>
          <w:bCs/>
        </w:rPr>
        <w:t>Therefore, regarding the proceedings before the High Court and the Court of Ap</w:t>
      </w:r>
      <w:r w:rsidR="008E32F7" w:rsidRPr="00091FC2">
        <w:rPr>
          <w:bCs/>
        </w:rPr>
        <w:t>p</w:t>
      </w:r>
      <w:r w:rsidRPr="00091FC2">
        <w:rPr>
          <w:bCs/>
        </w:rPr>
        <w:t>eal</w:t>
      </w:r>
      <w:r w:rsidR="00FF30AB" w:rsidRPr="00091FC2">
        <w:rPr>
          <w:bCs/>
        </w:rPr>
        <w:t>,</w:t>
      </w:r>
      <w:r w:rsidR="008E32F7" w:rsidRPr="00091FC2">
        <w:rPr>
          <w:bCs/>
        </w:rPr>
        <w:t xml:space="preserve"> </w:t>
      </w:r>
      <w:r w:rsidR="0083048A" w:rsidRPr="00091FC2">
        <w:rPr>
          <w:bCs/>
        </w:rPr>
        <w:t xml:space="preserve">the Court </w:t>
      </w:r>
      <w:r w:rsidR="00DB5A0C" w:rsidRPr="00091FC2">
        <w:rPr>
          <w:bCs/>
        </w:rPr>
        <w:t>find</w:t>
      </w:r>
      <w:r w:rsidR="00587E66" w:rsidRPr="00091FC2">
        <w:rPr>
          <w:bCs/>
        </w:rPr>
        <w:t>s</w:t>
      </w:r>
      <w:r w:rsidR="00DB5A0C" w:rsidRPr="00091FC2">
        <w:rPr>
          <w:bCs/>
        </w:rPr>
        <w:t xml:space="preserve"> that </w:t>
      </w:r>
      <w:r w:rsidRPr="00091FC2">
        <w:rPr>
          <w:bCs/>
        </w:rPr>
        <w:t xml:space="preserve">domestic </w:t>
      </w:r>
      <w:r w:rsidR="00DB5A0C" w:rsidRPr="00091FC2">
        <w:t>courts</w:t>
      </w:r>
      <w:r w:rsidR="00093C4B" w:rsidRPr="00091FC2">
        <w:t>’</w:t>
      </w:r>
      <w:r w:rsidR="00DB5A0C" w:rsidRPr="00091FC2">
        <w:t xml:space="preserve"> treatment of the extra-judicial statement and claim of torture do not reveal non-compliance with the standards set out in the Charter</w:t>
      </w:r>
      <w:r w:rsidR="0083048A" w:rsidRPr="00091FC2">
        <w:t>.</w:t>
      </w:r>
    </w:p>
    <w:p w14:paraId="5E611A3D" w14:textId="20C45462" w:rsidR="00A54839" w:rsidRPr="00091FC2" w:rsidRDefault="00FF30AB" w:rsidP="00A8297E">
      <w:r w:rsidRPr="00091FC2">
        <w:t>Consequently</w:t>
      </w:r>
      <w:r w:rsidR="0083048A" w:rsidRPr="00091FC2">
        <w:t xml:space="preserve">, the Court finds that the Respondent State did not violate </w:t>
      </w:r>
      <w:r w:rsidR="006A1E76" w:rsidRPr="00091FC2">
        <w:t xml:space="preserve">the </w:t>
      </w:r>
      <w:r w:rsidR="006A1E76" w:rsidRPr="00091FC2">
        <w:rPr>
          <w:bCs/>
        </w:rPr>
        <w:t>Applicant</w:t>
      </w:r>
      <w:r w:rsidR="00093C4B" w:rsidRPr="00091FC2">
        <w:rPr>
          <w:bCs/>
        </w:rPr>
        <w:t>’</w:t>
      </w:r>
      <w:r w:rsidR="006A1E76" w:rsidRPr="00091FC2">
        <w:rPr>
          <w:bCs/>
        </w:rPr>
        <w:t>s right under</w:t>
      </w:r>
      <w:r w:rsidR="006A1E76" w:rsidRPr="00091FC2">
        <w:t xml:space="preserve"> </w:t>
      </w:r>
      <w:r w:rsidR="0083048A" w:rsidRPr="00091FC2">
        <w:t xml:space="preserve">Article 7(1) of the Charter. </w:t>
      </w:r>
    </w:p>
    <w:p w14:paraId="28FEE8FD" w14:textId="77777777" w:rsidR="00EB509D" w:rsidRPr="00091FC2" w:rsidRDefault="00EB509D" w:rsidP="00A8297E"/>
    <w:p w14:paraId="1FDDD48F" w14:textId="6473DF74" w:rsidR="0047076F" w:rsidRPr="00091FC2" w:rsidRDefault="0047076F" w:rsidP="00A8297E">
      <w:bookmarkStart w:id="28" w:name="_Toc136592908"/>
      <w:r w:rsidRPr="00091FC2">
        <w:t xml:space="preserve">Alleged violation </w:t>
      </w:r>
      <w:r w:rsidR="00340359" w:rsidRPr="00091FC2">
        <w:t>of the right to be tried within a reasonable time</w:t>
      </w:r>
      <w:bookmarkEnd w:id="28"/>
      <w:r w:rsidR="00340359" w:rsidRPr="00091FC2">
        <w:t xml:space="preserve"> </w:t>
      </w:r>
    </w:p>
    <w:p w14:paraId="137B2175" w14:textId="77777777" w:rsidR="00EB509D" w:rsidRPr="00091FC2" w:rsidRDefault="00EB509D" w:rsidP="00A8297E"/>
    <w:p w14:paraId="144B934D" w14:textId="5EDB850C" w:rsidR="00CD27A4" w:rsidRPr="00091FC2" w:rsidRDefault="005218A9" w:rsidP="00A8297E">
      <w:r w:rsidRPr="00091FC2">
        <w:t>The Applicant alleges that by neither listing for det</w:t>
      </w:r>
      <w:r w:rsidR="00A14BFE" w:rsidRPr="00091FC2">
        <w:t>ermination nor determining the application of r</w:t>
      </w:r>
      <w:r w:rsidRPr="00091FC2">
        <w:t>eview</w:t>
      </w:r>
      <w:r w:rsidR="00A14BFE" w:rsidRPr="00091FC2">
        <w:t xml:space="preserve"> of the Court of Appeal</w:t>
      </w:r>
      <w:r w:rsidR="00093C4B" w:rsidRPr="00091FC2">
        <w:t>’</w:t>
      </w:r>
      <w:r w:rsidR="00A14BFE" w:rsidRPr="00091FC2">
        <w:t>s judgment</w:t>
      </w:r>
      <w:r w:rsidRPr="00091FC2">
        <w:t xml:space="preserve">, the Court of Appeal </w:t>
      </w:r>
      <w:r w:rsidR="002C4346" w:rsidRPr="00091FC2">
        <w:t xml:space="preserve">sitting at </w:t>
      </w:r>
      <w:r w:rsidRPr="00091FC2">
        <w:t>Bukoba violated his right to appe</w:t>
      </w:r>
      <w:r w:rsidR="00587E66" w:rsidRPr="00091FC2">
        <w:t>al protected under Article 7(1)</w:t>
      </w:r>
      <w:r w:rsidRPr="00091FC2">
        <w:t>(a) of the Charter</w:t>
      </w:r>
      <w:r w:rsidR="00933B8E" w:rsidRPr="00091FC2">
        <w:t xml:space="preserve"> corresponding “to Article </w:t>
      </w:r>
      <w:r w:rsidR="00933B8E" w:rsidRPr="00091FC2">
        <w:rPr>
          <w:bCs/>
        </w:rPr>
        <w:t>136(a) and 107(a) 2(b) of the Constitution of Tanzania, 1977”</w:t>
      </w:r>
      <w:r w:rsidRPr="00091FC2">
        <w:t xml:space="preserve">. </w:t>
      </w:r>
      <w:r w:rsidR="00CD27A4" w:rsidRPr="00091FC2">
        <w:t xml:space="preserve">The Applicant alleges </w:t>
      </w:r>
      <w:r w:rsidR="006877B6" w:rsidRPr="00091FC2">
        <w:t xml:space="preserve">his application for review at the Court of Appeal, which he filed on </w:t>
      </w:r>
      <w:r w:rsidR="006877B6" w:rsidRPr="00091FC2">
        <w:rPr>
          <w:bCs/>
        </w:rPr>
        <w:t xml:space="preserve">10 </w:t>
      </w:r>
      <w:r w:rsidR="006877B6" w:rsidRPr="00091FC2">
        <w:t xml:space="preserve">March 2014, was still pending when he filed the Application before this Court </w:t>
      </w:r>
      <w:r w:rsidR="006877B6" w:rsidRPr="00091FC2">
        <w:rPr>
          <w:bCs/>
        </w:rPr>
        <w:t>on 8</w:t>
      </w:r>
      <w:r w:rsidR="006877B6" w:rsidRPr="00091FC2">
        <w:t xml:space="preserve"> June 2016, </w:t>
      </w:r>
      <w:r w:rsidR="00CD27A4" w:rsidRPr="00091FC2">
        <w:t>that</w:t>
      </w:r>
      <w:r w:rsidR="006877B6" w:rsidRPr="00091FC2">
        <w:t xml:space="preserve"> is,</w:t>
      </w:r>
      <w:r w:rsidR="00CD27A4" w:rsidRPr="00091FC2">
        <w:t xml:space="preserve"> a </w:t>
      </w:r>
      <w:r w:rsidR="006877B6" w:rsidRPr="00091FC2">
        <w:t xml:space="preserve">delay </w:t>
      </w:r>
      <w:r w:rsidR="00CD27A4" w:rsidRPr="00091FC2">
        <w:t>of more than two (2) years.</w:t>
      </w:r>
    </w:p>
    <w:p w14:paraId="4FEB87B4" w14:textId="77777777" w:rsidR="009E7BD7" w:rsidRPr="00091FC2" w:rsidRDefault="009E7BD7" w:rsidP="00A8297E"/>
    <w:p w14:paraId="77F00B55" w14:textId="6271D2E1" w:rsidR="00CD27A4" w:rsidRPr="00091FC2" w:rsidRDefault="00CD27A4" w:rsidP="00A8297E">
      <w:r w:rsidRPr="00091FC2">
        <w:t xml:space="preserve">The Respondent State submits that the allegation </w:t>
      </w:r>
      <w:r w:rsidR="00DB0E4E" w:rsidRPr="00091FC2">
        <w:t>lacks merit</w:t>
      </w:r>
      <w:r w:rsidR="006877B6" w:rsidRPr="00091FC2">
        <w:t xml:space="preserve"> for</w:t>
      </w:r>
      <w:r w:rsidRPr="00091FC2">
        <w:t xml:space="preserve"> three (3) </w:t>
      </w:r>
      <w:r w:rsidR="006877B6" w:rsidRPr="00091FC2">
        <w:t>reasons</w:t>
      </w:r>
      <w:r w:rsidRPr="00091FC2">
        <w:t>. Firstly, the notice of motion for review of the Court of Appeal</w:t>
      </w:r>
      <w:r w:rsidR="00093C4B" w:rsidRPr="00091FC2">
        <w:t>’</w:t>
      </w:r>
      <w:r w:rsidRPr="00091FC2">
        <w:t>s decision was filed out of time</w:t>
      </w:r>
      <w:r w:rsidR="006877B6" w:rsidRPr="00091FC2">
        <w:t>,</w:t>
      </w:r>
      <w:r w:rsidRPr="00091FC2">
        <w:t xml:space="preserve"> contrary to Rule 66(3) of the Rules of the Court of Appeal in Tanzania. Secondly, the </w:t>
      </w:r>
      <w:r w:rsidRPr="00091FC2">
        <w:lastRenderedPageBreak/>
        <w:t xml:space="preserve">Applicant </w:t>
      </w:r>
      <w:r w:rsidR="006877B6" w:rsidRPr="00091FC2">
        <w:t xml:space="preserve">does </w:t>
      </w:r>
      <w:r w:rsidRPr="00091FC2">
        <w:t>not prove that the Respondent State was served with the application for review. Lastly, the determination of applications for review depends on the court calendar and budget.</w:t>
      </w:r>
    </w:p>
    <w:p w14:paraId="52779386" w14:textId="246A409C" w:rsidR="0047076F" w:rsidRPr="00091FC2" w:rsidRDefault="00017175" w:rsidP="00A8297E">
      <w:r w:rsidRPr="00091FC2">
        <w:t>***</w:t>
      </w:r>
    </w:p>
    <w:p w14:paraId="26E6B303" w14:textId="77777777" w:rsidR="0041677F" w:rsidRPr="00091FC2" w:rsidRDefault="0041677F" w:rsidP="00A8297E"/>
    <w:p w14:paraId="242D7607" w14:textId="6047DCE3" w:rsidR="00CD27A4" w:rsidRPr="00091FC2" w:rsidRDefault="00CD27A4" w:rsidP="00A8297E">
      <w:r w:rsidRPr="00091FC2">
        <w:t>Article 7(1)(d) of the Charter provides for “the right to be tried within a reasonable time by an impartial court or tribunal.”</w:t>
      </w:r>
    </w:p>
    <w:p w14:paraId="5349C70A" w14:textId="77777777" w:rsidR="006F3070" w:rsidRPr="00091FC2" w:rsidRDefault="006F3070" w:rsidP="00A8297E"/>
    <w:p w14:paraId="0B3977A2" w14:textId="69F0F3BF" w:rsidR="00220A05" w:rsidRPr="00091FC2" w:rsidRDefault="00220A05" w:rsidP="00A8297E">
      <w:r w:rsidRPr="00091FC2">
        <w:t xml:space="preserve">The Court </w:t>
      </w:r>
      <w:r w:rsidR="00D74843" w:rsidRPr="00091FC2">
        <w:t>refers</w:t>
      </w:r>
      <w:r w:rsidRPr="00091FC2">
        <w:t xml:space="preserve"> to its decision in </w:t>
      </w:r>
      <w:r w:rsidR="00113003" w:rsidRPr="00091FC2">
        <w:rPr>
          <w:i/>
        </w:rPr>
        <w:t xml:space="preserve">Wilfred Onyango </w:t>
      </w:r>
      <w:bookmarkStart w:id="29" w:name="_Hlk135739501"/>
      <w:r w:rsidR="00BA5F47" w:rsidRPr="00091FC2">
        <w:rPr>
          <w:i/>
        </w:rPr>
        <w:t xml:space="preserve">Nganyi </w:t>
      </w:r>
      <w:bookmarkEnd w:id="29"/>
      <w:r w:rsidR="00113003" w:rsidRPr="00091FC2">
        <w:rPr>
          <w:i/>
        </w:rPr>
        <w:t xml:space="preserve">and </w:t>
      </w:r>
      <w:r w:rsidR="00ED4806" w:rsidRPr="00091FC2">
        <w:rPr>
          <w:i/>
        </w:rPr>
        <w:t>O</w:t>
      </w:r>
      <w:r w:rsidRPr="00091FC2">
        <w:rPr>
          <w:i/>
        </w:rPr>
        <w:t>thers v</w:t>
      </w:r>
      <w:r w:rsidR="00113003" w:rsidRPr="00091FC2">
        <w:rPr>
          <w:i/>
        </w:rPr>
        <w:t>.</w:t>
      </w:r>
      <w:r w:rsidRPr="00091FC2">
        <w:rPr>
          <w:i/>
        </w:rPr>
        <w:t xml:space="preserve"> Tanzania</w:t>
      </w:r>
      <w:r w:rsidRPr="00091FC2">
        <w:t>, where it held that “…</w:t>
      </w:r>
      <w:r w:rsidR="00BA5F47" w:rsidRPr="00091FC2">
        <w:t xml:space="preserve"> </w:t>
      </w:r>
      <w:r w:rsidRPr="00091FC2">
        <w:t>there is no standard period that is considered reasonable for a court to dispose of a matter. In determining whether time is reasonable or not, each case must be treated on its own merits.”</w:t>
      </w:r>
      <w:r w:rsidRPr="00091FC2">
        <w:rPr>
          <w:vertAlign w:val="superscript"/>
        </w:rPr>
        <w:footnoteReference w:id="29"/>
      </w:r>
      <w:r w:rsidRPr="00091FC2">
        <w:t xml:space="preserve"> </w:t>
      </w:r>
    </w:p>
    <w:p w14:paraId="36AF31F5" w14:textId="77777777" w:rsidR="00220A05" w:rsidRPr="00091FC2" w:rsidRDefault="00220A05" w:rsidP="00A8297E"/>
    <w:p w14:paraId="7A1C4F01" w14:textId="5448A4B0" w:rsidR="00220A05" w:rsidRPr="00091FC2" w:rsidRDefault="00B715F3" w:rsidP="00A8297E">
      <w:pPr>
        <w:rPr>
          <w:rFonts w:eastAsia="Calibri"/>
        </w:rPr>
      </w:pPr>
      <w:r w:rsidRPr="00091FC2">
        <w:t>In assessing the reasonableness of the length of domestic proceedings</w:t>
      </w:r>
      <w:r w:rsidR="00191617" w:rsidRPr="00091FC2">
        <w:t>,</w:t>
      </w:r>
      <w:r w:rsidRPr="00091FC2">
        <w:t xml:space="preserve"> t</w:t>
      </w:r>
      <w:r w:rsidR="00220A05" w:rsidRPr="00091FC2">
        <w:t>he Court</w:t>
      </w:r>
      <w:r w:rsidR="00220A05" w:rsidRPr="00091FC2">
        <w:rPr>
          <w:rFonts w:eastAsia="Calibri"/>
        </w:rPr>
        <w:t xml:space="preserve"> takes into account the</w:t>
      </w:r>
      <w:r w:rsidR="005B20E7" w:rsidRPr="00091FC2">
        <w:rPr>
          <w:rFonts w:eastAsia="Calibri"/>
        </w:rPr>
        <w:t xml:space="preserve"> </w:t>
      </w:r>
      <w:r w:rsidR="00220A05" w:rsidRPr="00091FC2">
        <w:rPr>
          <w:rFonts w:eastAsia="Calibri"/>
        </w:rPr>
        <w:t xml:space="preserve">conduct of the Applicant </w:t>
      </w:r>
      <w:r w:rsidR="000E2916" w:rsidRPr="00091FC2">
        <w:rPr>
          <w:rFonts w:eastAsia="Calibri"/>
          <w:bCs/>
        </w:rPr>
        <w:t>and</w:t>
      </w:r>
      <w:r w:rsidR="000E2916" w:rsidRPr="00091FC2">
        <w:rPr>
          <w:rFonts w:eastAsia="Calibri"/>
        </w:rPr>
        <w:t xml:space="preserve"> </w:t>
      </w:r>
      <w:r w:rsidR="00220A05" w:rsidRPr="00091FC2">
        <w:rPr>
          <w:rFonts w:eastAsia="Calibri"/>
        </w:rPr>
        <w:t>the due diligence of the Respondent State in disposing</w:t>
      </w:r>
      <w:r w:rsidR="006877B6" w:rsidRPr="00091FC2">
        <w:rPr>
          <w:rFonts w:eastAsia="Calibri"/>
        </w:rPr>
        <w:t xml:space="preserve"> of</w:t>
      </w:r>
      <w:r w:rsidR="00220A05" w:rsidRPr="00091FC2">
        <w:rPr>
          <w:rFonts w:eastAsia="Calibri"/>
        </w:rPr>
        <w:t xml:space="preserve"> the proceedings.</w:t>
      </w:r>
      <w:r w:rsidR="00220A05" w:rsidRPr="00091FC2">
        <w:rPr>
          <w:rStyle w:val="FootnoteReference"/>
          <w:rFonts w:ascii="Arial" w:eastAsia="Calibri" w:hAnsi="Arial" w:cs="Arial"/>
        </w:rPr>
        <w:footnoteReference w:id="30"/>
      </w:r>
      <w:r w:rsidR="00220A05" w:rsidRPr="00091FC2">
        <w:rPr>
          <w:rFonts w:eastAsia="Calibri"/>
        </w:rPr>
        <w:t xml:space="preserve"> The Court has emphasised that “there rests a special duty upon authorities of domestic courts to ensure that all those who pl</w:t>
      </w:r>
      <w:r w:rsidR="00113003" w:rsidRPr="00091FC2">
        <w:rPr>
          <w:rFonts w:eastAsia="Calibri"/>
        </w:rPr>
        <w:t xml:space="preserve">ay a role in the proceedings </w:t>
      </w:r>
      <w:r w:rsidR="00220A05" w:rsidRPr="00091FC2">
        <w:rPr>
          <w:rFonts w:eastAsia="Calibri"/>
        </w:rPr>
        <w:t>do their utmost to avoid any unnecessary delay.”</w:t>
      </w:r>
      <w:r w:rsidR="00220A05" w:rsidRPr="00091FC2">
        <w:rPr>
          <w:rStyle w:val="FootnoteReference"/>
          <w:rFonts w:ascii="Arial" w:eastAsia="Calibri" w:hAnsi="Arial" w:cs="Arial"/>
        </w:rPr>
        <w:footnoteReference w:id="31"/>
      </w:r>
    </w:p>
    <w:p w14:paraId="65B67673" w14:textId="77777777" w:rsidR="000E2916" w:rsidRPr="00091FC2" w:rsidRDefault="000E2916" w:rsidP="00A8297E">
      <w:pPr>
        <w:rPr>
          <w:rFonts w:eastAsia="Calibri"/>
          <w:bCs/>
        </w:rPr>
      </w:pPr>
    </w:p>
    <w:p w14:paraId="15A5750D" w14:textId="6831D4F5" w:rsidR="00AA2BBE" w:rsidRPr="00091FC2" w:rsidRDefault="00AA2BBE" w:rsidP="00A8297E">
      <w:pPr>
        <w:rPr>
          <w:rFonts w:eastAsia="Calibri"/>
          <w:bCs/>
        </w:rPr>
      </w:pPr>
      <w:r w:rsidRPr="00091FC2">
        <w:rPr>
          <w:bCs/>
        </w:rPr>
        <w:t>The Respondent State contest</w:t>
      </w:r>
      <w:r w:rsidR="006877B6" w:rsidRPr="00091FC2">
        <w:rPr>
          <w:bCs/>
        </w:rPr>
        <w:t>s</w:t>
      </w:r>
      <w:r w:rsidRPr="00091FC2">
        <w:rPr>
          <w:bCs/>
        </w:rPr>
        <w:t xml:space="preserve"> the Applicant</w:t>
      </w:r>
      <w:r w:rsidR="00093C4B" w:rsidRPr="00091FC2">
        <w:rPr>
          <w:bCs/>
        </w:rPr>
        <w:t>’</w:t>
      </w:r>
      <w:r w:rsidRPr="00091FC2">
        <w:rPr>
          <w:bCs/>
        </w:rPr>
        <w:t xml:space="preserve">s claim that he filed the application for review within time in the Registry of the Court of Appeal and served the said application on the Respondent State. </w:t>
      </w:r>
    </w:p>
    <w:p w14:paraId="1FDF6B42" w14:textId="77777777" w:rsidR="00AA2BBE" w:rsidRPr="00091FC2" w:rsidRDefault="00AA2BBE" w:rsidP="00A8297E">
      <w:pPr>
        <w:rPr>
          <w:rFonts w:eastAsia="Calibri"/>
          <w:bCs/>
        </w:rPr>
      </w:pPr>
    </w:p>
    <w:p w14:paraId="121AA98C" w14:textId="6A14820F" w:rsidR="000E2916" w:rsidRPr="00091FC2" w:rsidRDefault="000E2916" w:rsidP="00A8297E">
      <w:pPr>
        <w:rPr>
          <w:rFonts w:eastAsia="Calibri"/>
          <w:bCs/>
        </w:rPr>
      </w:pPr>
      <w:r w:rsidRPr="00091FC2">
        <w:rPr>
          <w:bCs/>
        </w:rPr>
        <w:t>As noted in paragraph</w:t>
      </w:r>
      <w:r w:rsidR="00F55BD4" w:rsidRPr="00091FC2">
        <w:rPr>
          <w:bCs/>
        </w:rPr>
        <w:t xml:space="preserve"> </w:t>
      </w:r>
      <w:r w:rsidR="00F55BD4" w:rsidRPr="00091FC2">
        <w:t xml:space="preserve">9 </w:t>
      </w:r>
      <w:r w:rsidRPr="00091FC2">
        <w:rPr>
          <w:bCs/>
        </w:rPr>
        <w:t xml:space="preserve">of this </w:t>
      </w:r>
      <w:r w:rsidR="00523F53" w:rsidRPr="00091FC2">
        <w:rPr>
          <w:bCs/>
        </w:rPr>
        <w:t>Judgment</w:t>
      </w:r>
      <w:r w:rsidRPr="00091FC2">
        <w:rPr>
          <w:bCs/>
        </w:rPr>
        <w:t>, the Applicant failed to provide evidence that the Court of Appeal granted him leave to file the application for review out of time</w:t>
      </w:r>
      <w:r w:rsidR="00AA2BBE" w:rsidRPr="00091FC2">
        <w:rPr>
          <w:bCs/>
        </w:rPr>
        <w:t>. He also failed to provide evidence</w:t>
      </w:r>
      <w:r w:rsidR="005B20E7" w:rsidRPr="00091FC2">
        <w:rPr>
          <w:bCs/>
        </w:rPr>
        <w:t xml:space="preserve"> </w:t>
      </w:r>
      <w:r w:rsidR="00AA2BBE" w:rsidRPr="00091FC2">
        <w:rPr>
          <w:bCs/>
        </w:rPr>
        <w:t>t</w:t>
      </w:r>
      <w:r w:rsidRPr="00091FC2">
        <w:rPr>
          <w:bCs/>
        </w:rPr>
        <w:t>hat</w:t>
      </w:r>
      <w:r w:rsidR="00600ECB" w:rsidRPr="00091FC2">
        <w:rPr>
          <w:bCs/>
        </w:rPr>
        <w:t>,</w:t>
      </w:r>
      <w:r w:rsidRPr="00091FC2">
        <w:rPr>
          <w:bCs/>
        </w:rPr>
        <w:t xml:space="preserve"> </w:t>
      </w:r>
      <w:r w:rsidR="00AA2BBE" w:rsidRPr="00091FC2">
        <w:rPr>
          <w:bCs/>
        </w:rPr>
        <w:t xml:space="preserve">after being granted such leave, he actually </w:t>
      </w:r>
      <w:r w:rsidRPr="00091FC2">
        <w:rPr>
          <w:bCs/>
        </w:rPr>
        <w:t xml:space="preserve">filed </w:t>
      </w:r>
      <w:r w:rsidR="00AA2BBE" w:rsidRPr="00091FC2">
        <w:rPr>
          <w:bCs/>
        </w:rPr>
        <w:t xml:space="preserve">the application for review </w:t>
      </w:r>
      <w:r w:rsidRPr="00091FC2">
        <w:rPr>
          <w:bCs/>
        </w:rPr>
        <w:t xml:space="preserve">before the Registry of the Court of Appeal and </w:t>
      </w:r>
      <w:r w:rsidR="00AA2BBE" w:rsidRPr="00091FC2">
        <w:rPr>
          <w:bCs/>
        </w:rPr>
        <w:t xml:space="preserve">duly </w:t>
      </w:r>
      <w:r w:rsidRPr="00091FC2">
        <w:rPr>
          <w:bCs/>
        </w:rPr>
        <w:t>served it on the Respondent State as required under the Court of Appeal Rules.</w:t>
      </w:r>
      <w:r w:rsidR="0082358C" w:rsidRPr="00091FC2">
        <w:rPr>
          <w:rStyle w:val="FootnoteReference"/>
          <w:rFonts w:ascii="Arial" w:hAnsi="Arial" w:cs="Arial"/>
          <w:bCs/>
        </w:rPr>
        <w:footnoteReference w:id="32"/>
      </w:r>
    </w:p>
    <w:p w14:paraId="23491BA3" w14:textId="77777777" w:rsidR="00AA2BBE" w:rsidRPr="00091FC2" w:rsidRDefault="00AA2BBE" w:rsidP="00A8297E">
      <w:pPr>
        <w:rPr>
          <w:rFonts w:eastAsia="Calibri"/>
          <w:bCs/>
        </w:rPr>
      </w:pPr>
    </w:p>
    <w:p w14:paraId="025F55A4" w14:textId="14B3A7E3" w:rsidR="009D30D3" w:rsidRPr="00091FC2" w:rsidRDefault="009D30D3" w:rsidP="00A8297E">
      <w:pPr>
        <w:rPr>
          <w:rFonts w:eastAsia="Calibri"/>
          <w:bCs/>
        </w:rPr>
      </w:pPr>
      <w:r w:rsidRPr="00091FC2">
        <w:rPr>
          <w:rFonts w:eastAsia="Calibri"/>
          <w:bCs/>
        </w:rPr>
        <w:t>The Court notes</w:t>
      </w:r>
      <w:r w:rsidR="000E2916" w:rsidRPr="00091FC2">
        <w:rPr>
          <w:rFonts w:eastAsia="Calibri"/>
          <w:bCs/>
        </w:rPr>
        <w:t xml:space="preserve"> t</w:t>
      </w:r>
      <w:r w:rsidR="000E2916" w:rsidRPr="00091FC2">
        <w:rPr>
          <w:rFonts w:eastAsia="Calibri"/>
        </w:rPr>
        <w:t>herefore</w:t>
      </w:r>
      <w:r w:rsidRPr="00091FC2">
        <w:rPr>
          <w:rFonts w:eastAsia="Calibri"/>
        </w:rPr>
        <w:t xml:space="preserve"> </w:t>
      </w:r>
      <w:r w:rsidRPr="00091FC2">
        <w:rPr>
          <w:rFonts w:eastAsia="Calibri"/>
          <w:bCs/>
        </w:rPr>
        <w:t>that</w:t>
      </w:r>
      <w:r w:rsidR="000E2916" w:rsidRPr="00091FC2">
        <w:rPr>
          <w:rFonts w:eastAsia="Calibri"/>
          <w:bCs/>
        </w:rPr>
        <w:t>,</w:t>
      </w:r>
      <w:r w:rsidRPr="00091FC2">
        <w:rPr>
          <w:rFonts w:eastAsia="Calibri"/>
          <w:bCs/>
        </w:rPr>
        <w:t xml:space="preserve"> the Applicant has not provided it with evidence or information that would enable it </w:t>
      </w:r>
      <w:r w:rsidR="00B274E4" w:rsidRPr="00091FC2">
        <w:rPr>
          <w:rFonts w:eastAsia="Calibri"/>
          <w:bCs/>
        </w:rPr>
        <w:t>to assess</w:t>
      </w:r>
      <w:r w:rsidRPr="00091FC2">
        <w:rPr>
          <w:rFonts w:eastAsia="Calibri"/>
          <w:bCs/>
        </w:rPr>
        <w:t xml:space="preserve"> whether the</w:t>
      </w:r>
      <w:r w:rsidR="0077408F" w:rsidRPr="00091FC2">
        <w:rPr>
          <w:rFonts w:eastAsia="Calibri"/>
          <w:bCs/>
        </w:rPr>
        <w:t xml:space="preserve">re was indeed a delay in the </w:t>
      </w:r>
      <w:r w:rsidR="000E2916" w:rsidRPr="00091FC2">
        <w:rPr>
          <w:rFonts w:eastAsia="Calibri"/>
        </w:rPr>
        <w:t>listing</w:t>
      </w:r>
      <w:r w:rsidR="000E2916" w:rsidRPr="00091FC2">
        <w:rPr>
          <w:rFonts w:eastAsia="Calibri"/>
          <w:bCs/>
        </w:rPr>
        <w:t xml:space="preserve"> </w:t>
      </w:r>
      <w:r w:rsidR="0077408F" w:rsidRPr="00091FC2">
        <w:rPr>
          <w:rFonts w:eastAsia="Calibri"/>
          <w:bCs/>
        </w:rPr>
        <w:t>and determination of his application for review.</w:t>
      </w:r>
      <w:r w:rsidR="005B20E7" w:rsidRPr="00091FC2">
        <w:rPr>
          <w:rFonts w:eastAsia="Calibri"/>
          <w:bCs/>
        </w:rPr>
        <w:t xml:space="preserve"> </w:t>
      </w:r>
    </w:p>
    <w:p w14:paraId="3CE1C1A8" w14:textId="77777777" w:rsidR="0077408F" w:rsidRPr="00091FC2" w:rsidRDefault="0077408F" w:rsidP="00A8297E">
      <w:pPr>
        <w:rPr>
          <w:rFonts w:eastAsia="Calibri"/>
          <w:bCs/>
        </w:rPr>
      </w:pPr>
    </w:p>
    <w:p w14:paraId="5A2447C2" w14:textId="20F1DD70" w:rsidR="0077408F" w:rsidRPr="00091FC2" w:rsidRDefault="0077408F" w:rsidP="00A8297E">
      <w:pPr>
        <w:rPr>
          <w:rFonts w:eastAsia="Calibri"/>
          <w:bCs/>
        </w:rPr>
      </w:pPr>
      <w:r w:rsidRPr="00091FC2">
        <w:rPr>
          <w:rFonts w:eastAsia="Calibri"/>
          <w:bCs/>
        </w:rPr>
        <w:t>In view of this</w:t>
      </w:r>
      <w:r w:rsidR="00943F38" w:rsidRPr="00091FC2">
        <w:rPr>
          <w:rFonts w:eastAsia="Calibri"/>
          <w:bCs/>
        </w:rPr>
        <w:t>,</w:t>
      </w:r>
      <w:r w:rsidRPr="00091FC2">
        <w:rPr>
          <w:rFonts w:eastAsia="Calibri"/>
          <w:bCs/>
        </w:rPr>
        <w:t xml:space="preserve"> the Court therefore dismisses the Applicant</w:t>
      </w:r>
      <w:r w:rsidR="00093C4B" w:rsidRPr="00091FC2">
        <w:rPr>
          <w:rFonts w:eastAsia="Calibri"/>
          <w:bCs/>
        </w:rPr>
        <w:t>’</w:t>
      </w:r>
      <w:r w:rsidRPr="00091FC2">
        <w:rPr>
          <w:rFonts w:eastAsia="Calibri"/>
          <w:bCs/>
        </w:rPr>
        <w:t>s claim that there was a delay in the scheduling and determination of his application for review</w:t>
      </w:r>
      <w:r w:rsidR="00A920FB" w:rsidRPr="00091FC2">
        <w:rPr>
          <w:rFonts w:eastAsia="Calibri"/>
          <w:bCs/>
        </w:rPr>
        <w:t xml:space="preserve">. The Court therefore </w:t>
      </w:r>
      <w:r w:rsidRPr="00091FC2">
        <w:rPr>
          <w:rFonts w:eastAsia="Calibri"/>
          <w:bCs/>
        </w:rPr>
        <w:t xml:space="preserve">finds no violation </w:t>
      </w:r>
      <w:r w:rsidR="00A920FB" w:rsidRPr="00091FC2">
        <w:rPr>
          <w:rFonts w:eastAsia="Calibri"/>
          <w:bCs/>
        </w:rPr>
        <w:t xml:space="preserve">of the Charter has been </w:t>
      </w:r>
      <w:r w:rsidRPr="00091FC2">
        <w:rPr>
          <w:rFonts w:eastAsia="Calibri"/>
          <w:bCs/>
        </w:rPr>
        <w:t>established in this regard.</w:t>
      </w:r>
      <w:r w:rsidR="005B20E7" w:rsidRPr="00091FC2">
        <w:rPr>
          <w:rFonts w:eastAsia="Calibri"/>
          <w:bCs/>
        </w:rPr>
        <w:t xml:space="preserve"> </w:t>
      </w:r>
    </w:p>
    <w:p w14:paraId="7C8FD928" w14:textId="77777777" w:rsidR="00A920FB" w:rsidRPr="00091FC2" w:rsidRDefault="00A920FB" w:rsidP="00A8297E">
      <w:pPr>
        <w:rPr>
          <w:rFonts w:eastAsia="Calibri"/>
          <w:bCs/>
        </w:rPr>
      </w:pPr>
    </w:p>
    <w:p w14:paraId="43356B27" w14:textId="018CE4CE" w:rsidR="00A920FB" w:rsidRPr="00091FC2" w:rsidRDefault="00A920FB" w:rsidP="00A8297E">
      <w:r w:rsidRPr="00091FC2">
        <w:t xml:space="preserve">The Court has previously held that it does not apply domestic law in determining whether the State </w:t>
      </w:r>
      <w:r w:rsidR="005B14B5" w:rsidRPr="00091FC2">
        <w:t xml:space="preserve">is in compliance </w:t>
      </w:r>
      <w:r w:rsidRPr="00091FC2">
        <w:t xml:space="preserve">with the Charter or any other human rights instrument it has </w:t>
      </w:r>
      <w:r w:rsidRPr="00091FC2">
        <w:lastRenderedPageBreak/>
        <w:t>ratified.</w:t>
      </w:r>
      <w:r w:rsidRPr="00091FC2">
        <w:rPr>
          <w:vertAlign w:val="superscript"/>
        </w:rPr>
        <w:t xml:space="preserve"> </w:t>
      </w:r>
      <w:r w:rsidRPr="00091FC2">
        <w:t xml:space="preserve">The </w:t>
      </w:r>
      <w:r w:rsidR="00093C4B" w:rsidRPr="00091FC2">
        <w:t>Court,</w:t>
      </w:r>
      <w:r w:rsidRPr="00091FC2">
        <w:t xml:space="preserve"> therefore, </w:t>
      </w:r>
      <w:r w:rsidR="00933B8E" w:rsidRPr="00091FC2">
        <w:t xml:space="preserve">finds it unnecessary to determine whether </w:t>
      </w:r>
      <w:r w:rsidR="005B14B5" w:rsidRPr="00091FC2">
        <w:t xml:space="preserve">the </w:t>
      </w:r>
      <w:r w:rsidR="00933B8E" w:rsidRPr="00091FC2">
        <w:t xml:space="preserve">provisions of </w:t>
      </w:r>
      <w:r w:rsidRPr="00091FC2">
        <w:t>the Respondent State</w:t>
      </w:r>
      <w:r w:rsidR="00093C4B" w:rsidRPr="00091FC2">
        <w:t>’</w:t>
      </w:r>
      <w:r w:rsidRPr="00091FC2">
        <w:t>s Constitution cited by the Applicant</w:t>
      </w:r>
      <w:r w:rsidR="00933B8E" w:rsidRPr="00091FC2">
        <w:t xml:space="preserve"> were violated</w:t>
      </w:r>
      <w:r w:rsidRPr="00091FC2">
        <w:t>.</w:t>
      </w:r>
    </w:p>
    <w:p w14:paraId="4D61377B" w14:textId="77777777" w:rsidR="009B7224" w:rsidRPr="00091FC2" w:rsidRDefault="009B7224" w:rsidP="00A8297E">
      <w:pPr>
        <w:rPr>
          <w:rFonts w:eastAsia="Calibri"/>
          <w:bCs/>
        </w:rPr>
      </w:pPr>
    </w:p>
    <w:p w14:paraId="0F75C67B" w14:textId="74ABBF20" w:rsidR="0047076F" w:rsidRPr="00091FC2" w:rsidRDefault="0047076F" w:rsidP="00A8297E">
      <w:pPr>
        <w:rPr>
          <w:color w:val="000000" w:themeColor="text1"/>
        </w:rPr>
      </w:pPr>
      <w:bookmarkStart w:id="31" w:name="_Toc136592909"/>
      <w:r w:rsidRPr="00091FC2">
        <w:rPr>
          <w:color w:val="000000" w:themeColor="text1"/>
        </w:rPr>
        <w:t>Alleged violation o</w:t>
      </w:r>
      <w:r w:rsidR="002B50CC" w:rsidRPr="00091FC2">
        <w:rPr>
          <w:color w:val="000000" w:themeColor="text1"/>
        </w:rPr>
        <w:t>f</w:t>
      </w:r>
      <w:r w:rsidRPr="00091FC2">
        <w:rPr>
          <w:color w:val="000000" w:themeColor="text1"/>
        </w:rPr>
        <w:t xml:space="preserve"> the right to defence</w:t>
      </w:r>
      <w:bookmarkEnd w:id="31"/>
      <w:r w:rsidRPr="00091FC2">
        <w:rPr>
          <w:color w:val="000000" w:themeColor="text1"/>
        </w:rPr>
        <w:t xml:space="preserve"> </w:t>
      </w:r>
    </w:p>
    <w:p w14:paraId="6A2EBE13" w14:textId="77777777" w:rsidR="006546E3" w:rsidRPr="00091FC2" w:rsidRDefault="006546E3" w:rsidP="00A8297E"/>
    <w:p w14:paraId="58DA72E9" w14:textId="41CD1166" w:rsidR="004C299D" w:rsidRPr="00091FC2" w:rsidRDefault="00017175" w:rsidP="00A8297E">
      <w:r w:rsidRPr="00091FC2">
        <w:t>The Applicant alleges that the Respondent State violated his right to counsel of his choice</w:t>
      </w:r>
      <w:r w:rsidR="006546E3" w:rsidRPr="00091FC2">
        <w:t xml:space="preserve"> protected under Article 7(1)(c)</w:t>
      </w:r>
      <w:r w:rsidR="005A6629" w:rsidRPr="00091FC2">
        <w:t xml:space="preserve"> of the Charter</w:t>
      </w:r>
      <w:r w:rsidR="006546E3" w:rsidRPr="00091FC2">
        <w:t>.</w:t>
      </w:r>
      <w:r w:rsidRPr="00091FC2">
        <w:t xml:space="preserve"> </w:t>
      </w:r>
    </w:p>
    <w:p w14:paraId="7EBD18D1" w14:textId="77777777" w:rsidR="006546E3" w:rsidRPr="00091FC2" w:rsidRDefault="006546E3" w:rsidP="00A8297E"/>
    <w:p w14:paraId="291C13BB" w14:textId="25C534FB" w:rsidR="004C299D" w:rsidRPr="00091FC2" w:rsidRDefault="000253EA" w:rsidP="00A8297E">
      <w:r w:rsidRPr="00091FC2">
        <w:t xml:space="preserve">The Respondent State did not make </w:t>
      </w:r>
      <w:r w:rsidR="00707932" w:rsidRPr="00091FC2">
        <w:t xml:space="preserve">any </w:t>
      </w:r>
      <w:r w:rsidRPr="00091FC2">
        <w:t xml:space="preserve">submissions </w:t>
      </w:r>
      <w:r w:rsidR="0077408F" w:rsidRPr="00091FC2">
        <w:t xml:space="preserve">regarding </w:t>
      </w:r>
      <w:r w:rsidRPr="00091FC2">
        <w:t xml:space="preserve">this allegation. </w:t>
      </w:r>
    </w:p>
    <w:p w14:paraId="3C4242D1" w14:textId="7B907008" w:rsidR="000253EA" w:rsidRPr="00091FC2" w:rsidRDefault="002431B5" w:rsidP="00A8297E">
      <w:r w:rsidRPr="00091FC2">
        <w:t>***</w:t>
      </w:r>
    </w:p>
    <w:p w14:paraId="066C4102" w14:textId="77777777" w:rsidR="00EE0A5E" w:rsidRPr="00091FC2" w:rsidRDefault="00EE0A5E" w:rsidP="00A8297E"/>
    <w:p w14:paraId="02BB62B0" w14:textId="25917FDD" w:rsidR="006546E3" w:rsidRPr="00091FC2" w:rsidRDefault="006546E3" w:rsidP="00A8297E">
      <w:pPr>
        <w:rPr>
          <w:rFonts w:eastAsia="Calibri"/>
          <w:u w:color="000000"/>
          <w:bdr w:val="nil"/>
          <w:lang w:eastAsia="en-GB"/>
        </w:rPr>
      </w:pPr>
      <w:r w:rsidRPr="00091FC2">
        <w:rPr>
          <w:rFonts w:eastAsia="Calibri"/>
          <w:u w:color="000000"/>
          <w:bdr w:val="nil"/>
          <w:lang w:eastAsia="en-GB"/>
        </w:rPr>
        <w:t>Th</w:t>
      </w:r>
      <w:r w:rsidR="002431B5" w:rsidRPr="00091FC2">
        <w:rPr>
          <w:rFonts w:eastAsia="Calibri"/>
          <w:u w:color="000000"/>
          <w:bdr w:val="nil"/>
          <w:lang w:eastAsia="en-GB"/>
        </w:rPr>
        <w:t>e Court notes that Article 7(1)</w:t>
      </w:r>
      <w:r w:rsidRPr="00091FC2">
        <w:rPr>
          <w:rFonts w:eastAsia="Calibri"/>
          <w:u w:color="000000"/>
          <w:bdr w:val="nil"/>
          <w:lang w:eastAsia="en-GB"/>
        </w:rPr>
        <w:t xml:space="preserve">(c) of the Charter provides that, “[e]very individual shall have the right to have </w:t>
      </w:r>
      <w:r w:rsidR="006613D6" w:rsidRPr="00091FC2">
        <w:rPr>
          <w:rFonts w:eastAsia="Calibri"/>
          <w:u w:color="000000"/>
          <w:bdr w:val="nil"/>
          <w:lang w:eastAsia="en-GB"/>
        </w:rPr>
        <w:t>his</w:t>
      </w:r>
      <w:r w:rsidRPr="00091FC2">
        <w:rPr>
          <w:rFonts w:eastAsia="Calibri"/>
          <w:u w:color="000000"/>
          <w:bdr w:val="nil"/>
          <w:lang w:eastAsia="en-GB"/>
        </w:rPr>
        <w:t xml:space="preserve"> cause heard. This comprises</w:t>
      </w:r>
      <w:r w:rsidR="00523F53" w:rsidRPr="00091FC2">
        <w:rPr>
          <w:rFonts w:eastAsia="Calibri"/>
          <w:u w:color="000000"/>
          <w:bdr w:val="nil"/>
          <w:lang w:eastAsia="en-GB"/>
        </w:rPr>
        <w:t xml:space="preserve"> </w:t>
      </w:r>
      <w:r w:rsidRPr="00091FC2">
        <w:rPr>
          <w:rFonts w:eastAsia="Calibri"/>
          <w:u w:color="000000"/>
          <w:bdr w:val="nil"/>
          <w:lang w:eastAsia="en-GB"/>
        </w:rPr>
        <w:t>…</w:t>
      </w:r>
      <w:r w:rsidR="00523F53" w:rsidRPr="00091FC2">
        <w:rPr>
          <w:rFonts w:eastAsia="Calibri"/>
          <w:u w:color="000000"/>
          <w:bdr w:val="nil"/>
          <w:lang w:eastAsia="en-GB"/>
        </w:rPr>
        <w:t xml:space="preserve"> </w:t>
      </w:r>
      <w:r w:rsidRPr="00091FC2">
        <w:rPr>
          <w:rFonts w:eastAsia="Calibri"/>
          <w:u w:color="000000"/>
          <w:bdr w:val="nil"/>
          <w:lang w:eastAsia="en-GB"/>
        </w:rPr>
        <w:t xml:space="preserve">the right to defence, including the right to be defended by counsel of </w:t>
      </w:r>
      <w:r w:rsidR="006613D6" w:rsidRPr="00091FC2">
        <w:rPr>
          <w:rFonts w:eastAsia="Calibri"/>
          <w:u w:color="000000"/>
          <w:bdr w:val="nil"/>
          <w:lang w:eastAsia="en-GB"/>
        </w:rPr>
        <w:t>his</w:t>
      </w:r>
      <w:r w:rsidRPr="00091FC2">
        <w:rPr>
          <w:rFonts w:eastAsia="Calibri"/>
          <w:u w:color="000000"/>
          <w:bdr w:val="nil"/>
          <w:lang w:eastAsia="en-GB"/>
        </w:rPr>
        <w:t xml:space="preserve"> choice</w:t>
      </w:r>
      <w:r w:rsidR="009D2738" w:rsidRPr="00091FC2">
        <w:rPr>
          <w:rFonts w:eastAsia="Calibri"/>
          <w:u w:color="000000"/>
          <w:bdr w:val="nil"/>
          <w:lang w:eastAsia="en-GB"/>
        </w:rPr>
        <w:t>”</w:t>
      </w:r>
      <w:r w:rsidRPr="00091FC2">
        <w:rPr>
          <w:rFonts w:eastAsia="Calibri"/>
          <w:u w:color="000000"/>
          <w:bdr w:val="nil"/>
          <w:lang w:eastAsia="en-GB"/>
        </w:rPr>
        <w:t xml:space="preserve">. </w:t>
      </w:r>
    </w:p>
    <w:p w14:paraId="69C59D87" w14:textId="77777777" w:rsidR="006546E3" w:rsidRPr="00091FC2" w:rsidRDefault="006546E3" w:rsidP="00A8297E">
      <w:pPr>
        <w:rPr>
          <w:rFonts w:eastAsia="Calibri"/>
          <w:u w:color="000000"/>
          <w:bdr w:val="nil"/>
          <w:lang w:eastAsia="en-GB"/>
        </w:rPr>
      </w:pPr>
    </w:p>
    <w:p w14:paraId="54C18921" w14:textId="31A3D7F7" w:rsidR="006613D6" w:rsidRPr="00091FC2" w:rsidRDefault="006546E3" w:rsidP="00A8297E">
      <w:pPr>
        <w:rPr>
          <w:rFonts w:eastAsia="Calibri"/>
          <w:u w:color="000000"/>
          <w:bdr w:val="nil"/>
          <w:lang w:eastAsia="en-GB"/>
        </w:rPr>
      </w:pPr>
      <w:r w:rsidRPr="00091FC2">
        <w:t>The Court recalls that it has held that Article 7(1)(c) of the Charter, as read together with Article 14(3)(d) of the ICCPR, guarantees any one charged with a serious criminal offence, the right to be automatically assigned counsel free of charge whenever the interests of justice so require.</w:t>
      </w:r>
      <w:r w:rsidRPr="00091FC2">
        <w:rPr>
          <w:rStyle w:val="FootnoteReference"/>
          <w:rFonts w:ascii="Arial" w:hAnsi="Arial" w:cs="Arial"/>
        </w:rPr>
        <w:footnoteReference w:id="33"/>
      </w:r>
      <w:r w:rsidR="002431B5" w:rsidRPr="00091FC2">
        <w:rPr>
          <w:rFonts w:eastAsia="Arial"/>
        </w:rPr>
        <w:t xml:space="preserve"> </w:t>
      </w:r>
      <w:r w:rsidR="006613D6" w:rsidRPr="00091FC2">
        <w:rPr>
          <w:rFonts w:eastAsia="Calibri"/>
          <w:u w:color="000000"/>
          <w:bdr w:val="nil"/>
          <w:lang w:eastAsia="en-GB"/>
        </w:rPr>
        <w:t>The Court has also previously held that, the obligation to provide free legal assistance to persons facing serious charges, which carry a heavy penalty</w:t>
      </w:r>
      <w:r w:rsidR="00707932" w:rsidRPr="00091FC2">
        <w:rPr>
          <w:rFonts w:eastAsia="Calibri"/>
          <w:u w:color="000000"/>
          <w:bdr w:val="nil"/>
          <w:lang w:eastAsia="en-GB"/>
        </w:rPr>
        <w:t>,</w:t>
      </w:r>
      <w:r w:rsidR="006613D6" w:rsidRPr="00091FC2">
        <w:rPr>
          <w:rFonts w:eastAsia="Calibri"/>
          <w:u w:color="000000"/>
          <w:bdr w:val="nil"/>
          <w:lang w:eastAsia="en-GB"/>
        </w:rPr>
        <w:t xml:space="preserve"> applies to both the trial and appellate stages.</w:t>
      </w:r>
      <w:r w:rsidR="006613D6" w:rsidRPr="00091FC2">
        <w:rPr>
          <w:rFonts w:eastAsia="Calibri"/>
          <w:u w:color="000000"/>
          <w:bdr w:val="nil"/>
          <w:vertAlign w:val="superscript"/>
          <w:lang w:eastAsia="en-GB"/>
        </w:rPr>
        <w:footnoteReference w:id="34"/>
      </w:r>
    </w:p>
    <w:p w14:paraId="7E17B8FE" w14:textId="77777777" w:rsidR="006613D6" w:rsidRPr="00091FC2" w:rsidRDefault="006613D6" w:rsidP="00A8297E">
      <w:pPr>
        <w:rPr>
          <w:rFonts w:eastAsia="Calibri"/>
          <w:u w:color="000000"/>
          <w:bdr w:val="nil"/>
          <w:lang w:eastAsia="en-GB"/>
        </w:rPr>
      </w:pPr>
    </w:p>
    <w:p w14:paraId="161B21F8" w14:textId="351D15CD" w:rsidR="00A673F4" w:rsidRPr="00091FC2" w:rsidRDefault="00A673F4" w:rsidP="00A8297E">
      <w:r w:rsidRPr="00091FC2">
        <w:t xml:space="preserve">While the Applicant has not </w:t>
      </w:r>
      <w:r w:rsidR="006A2484" w:rsidRPr="00091FC2">
        <w:t>substantiated this</w:t>
      </w:r>
      <w:r w:rsidRPr="00091FC2">
        <w:t xml:space="preserve"> claim, the</w:t>
      </w:r>
      <w:r w:rsidR="00327A59" w:rsidRPr="00091FC2">
        <w:t xml:space="preserve"> Court notes</w:t>
      </w:r>
      <w:r w:rsidR="00707932" w:rsidRPr="00091FC2">
        <w:t>, from the record</w:t>
      </w:r>
      <w:r w:rsidR="005B14B5" w:rsidRPr="00091FC2">
        <w:t>s</w:t>
      </w:r>
      <w:r w:rsidR="00707932" w:rsidRPr="00091FC2">
        <w:t>,</w:t>
      </w:r>
      <w:r w:rsidR="00327A59" w:rsidRPr="00091FC2">
        <w:t xml:space="preserve"> that the Applicant was represented by Mr. Katabalwa and Mr. Rweyemam</w:t>
      </w:r>
      <w:r w:rsidR="00803E72" w:rsidRPr="00091FC2">
        <w:t>u at the High Court</w:t>
      </w:r>
      <w:r w:rsidR="002431B5" w:rsidRPr="00091FC2">
        <w:t xml:space="preserve">, </w:t>
      </w:r>
      <w:r w:rsidR="00803E72" w:rsidRPr="00091FC2">
        <w:t>and by</w:t>
      </w:r>
      <w:r w:rsidR="00327A59" w:rsidRPr="00091FC2">
        <w:t xml:space="preserve"> Mr. S. Kahangwa</w:t>
      </w:r>
      <w:r w:rsidR="00FB5969" w:rsidRPr="00091FC2">
        <w:rPr>
          <w:rStyle w:val="FootnoteReference"/>
          <w:rFonts w:ascii="Arial" w:hAnsi="Arial" w:cs="Arial"/>
        </w:rPr>
        <w:footnoteReference w:id="35"/>
      </w:r>
      <w:r w:rsidR="00327A59" w:rsidRPr="00091FC2">
        <w:t xml:space="preserve"> at the Court of Appeal. </w:t>
      </w:r>
      <w:r w:rsidR="00B829E2" w:rsidRPr="00091FC2">
        <w:t>The Court also notes that a</w:t>
      </w:r>
      <w:r w:rsidR="006A2484" w:rsidRPr="00091FC2">
        <w:t>ll three (3) counsel were provided at the Respondent State</w:t>
      </w:r>
      <w:r w:rsidR="00093C4B" w:rsidRPr="00091FC2">
        <w:t>’</w:t>
      </w:r>
      <w:r w:rsidR="006A2484" w:rsidRPr="00091FC2">
        <w:t xml:space="preserve">s expense. </w:t>
      </w:r>
      <w:r w:rsidRPr="00091FC2">
        <w:t xml:space="preserve">Further, </w:t>
      </w:r>
      <w:r w:rsidR="00B829E2" w:rsidRPr="00091FC2">
        <w:t xml:space="preserve">the Court observes that </w:t>
      </w:r>
      <w:r w:rsidRPr="00091FC2">
        <w:t>nothing on record shows that there was any objection</w:t>
      </w:r>
      <w:r w:rsidR="006A2484" w:rsidRPr="00091FC2">
        <w:t xml:space="preserve"> raised</w:t>
      </w:r>
      <w:r w:rsidRPr="00091FC2">
        <w:t xml:space="preserve"> </w:t>
      </w:r>
      <w:r w:rsidR="00803E72" w:rsidRPr="00091FC2">
        <w:t xml:space="preserve">before </w:t>
      </w:r>
      <w:r w:rsidR="00B829E2" w:rsidRPr="00091FC2">
        <w:t xml:space="preserve">the national courts </w:t>
      </w:r>
      <w:r w:rsidR="00803E72" w:rsidRPr="00091FC2">
        <w:t xml:space="preserve">relating to whether these </w:t>
      </w:r>
      <w:r w:rsidR="00E87831" w:rsidRPr="00091FC2">
        <w:t xml:space="preserve">counsels </w:t>
      </w:r>
      <w:r w:rsidRPr="00091FC2">
        <w:t xml:space="preserve">carried out their </w:t>
      </w:r>
      <w:r w:rsidR="00B829E2" w:rsidRPr="00091FC2">
        <w:t>duties</w:t>
      </w:r>
      <w:r w:rsidR="006A2484" w:rsidRPr="00091FC2">
        <w:t xml:space="preserve"> to the detriment of the Applicant</w:t>
      </w:r>
      <w:r w:rsidR="00093C4B" w:rsidRPr="00091FC2">
        <w:t>’</w:t>
      </w:r>
      <w:r w:rsidR="006A2484" w:rsidRPr="00091FC2">
        <w:t>s right to defence</w:t>
      </w:r>
      <w:r w:rsidRPr="00091FC2">
        <w:t>.</w:t>
      </w:r>
      <w:r w:rsidR="00B829E2" w:rsidRPr="00091FC2">
        <w:rPr>
          <w:rStyle w:val="FootnoteReference"/>
          <w:rFonts w:ascii="Arial" w:hAnsi="Arial" w:cs="Arial"/>
        </w:rPr>
        <w:footnoteReference w:id="36"/>
      </w:r>
      <w:r w:rsidRPr="00091FC2">
        <w:t xml:space="preserve"> </w:t>
      </w:r>
    </w:p>
    <w:p w14:paraId="5BC8B3FE" w14:textId="072858A4" w:rsidR="004C299D" w:rsidRPr="00091FC2" w:rsidRDefault="004C299D" w:rsidP="00A8297E"/>
    <w:p w14:paraId="6BC2EAC5" w14:textId="0BEC60A4" w:rsidR="004C299D" w:rsidRPr="00091FC2" w:rsidRDefault="00A673F4" w:rsidP="00A8297E">
      <w:r w:rsidRPr="00091FC2">
        <w:t>The Court</w:t>
      </w:r>
      <w:r w:rsidR="002431B5" w:rsidRPr="00091FC2">
        <w:t>,</w:t>
      </w:r>
      <w:r w:rsidRPr="00091FC2">
        <w:t xml:space="preserve"> therefore</w:t>
      </w:r>
      <w:r w:rsidR="002431B5" w:rsidRPr="00091FC2">
        <w:t>,</w:t>
      </w:r>
      <w:r w:rsidRPr="00091FC2">
        <w:t xml:space="preserve"> finds that the Respondent State did not violate Article 7(1)(c) of the Charter. </w:t>
      </w:r>
    </w:p>
    <w:p w14:paraId="1BBE379B" w14:textId="77777777" w:rsidR="00600ECB" w:rsidRPr="00091FC2" w:rsidRDefault="00600ECB" w:rsidP="00A8297E"/>
    <w:p w14:paraId="3551BD8E" w14:textId="1998D985" w:rsidR="002431B5" w:rsidRPr="00091FC2" w:rsidRDefault="00317121" w:rsidP="00A8297E">
      <w:pPr>
        <w:rPr>
          <w:bCs/>
        </w:rPr>
      </w:pPr>
      <w:r w:rsidRPr="00091FC2">
        <w:rPr>
          <w:bCs/>
        </w:rPr>
        <w:t xml:space="preserve">Having held that the Respondent State did not violate the rights of the Applicant, the Court </w:t>
      </w:r>
      <w:r w:rsidR="00E00CAC" w:rsidRPr="00091FC2">
        <w:rPr>
          <w:bCs/>
        </w:rPr>
        <w:t xml:space="preserve">notes, from the record, that the Applicant was mandatorily sentenced to death. The Court, in the circumstances </w:t>
      </w:r>
      <w:r w:rsidRPr="00091FC2">
        <w:rPr>
          <w:bCs/>
        </w:rPr>
        <w:t>reiterates its finding in its previous cases</w:t>
      </w:r>
      <w:r w:rsidRPr="00091FC2">
        <w:rPr>
          <w:rStyle w:val="FootnoteReference"/>
          <w:rFonts w:ascii="Arial" w:hAnsi="Arial" w:cs="Arial"/>
          <w:bCs/>
        </w:rPr>
        <w:footnoteReference w:id="37"/>
      </w:r>
      <w:r w:rsidR="005B14B5" w:rsidRPr="00091FC2">
        <w:rPr>
          <w:bCs/>
        </w:rPr>
        <w:t xml:space="preserve"> </w:t>
      </w:r>
      <w:r w:rsidRPr="00091FC2">
        <w:rPr>
          <w:bCs/>
        </w:rPr>
        <w:t xml:space="preserve">that the mandatory death penalty is a violation of the right to life among other rights in the Charter and should thus be expunged from the laws of the Respondent State. </w:t>
      </w:r>
    </w:p>
    <w:p w14:paraId="77874E6B" w14:textId="77777777" w:rsidR="00EE0A5E" w:rsidRPr="00091FC2" w:rsidRDefault="00EE0A5E" w:rsidP="00A8297E"/>
    <w:p w14:paraId="2576B90C" w14:textId="77777777" w:rsidR="009B7224" w:rsidRPr="00091FC2" w:rsidRDefault="009B7224" w:rsidP="00A8297E"/>
    <w:p w14:paraId="3C6EF1DB" w14:textId="262109EA" w:rsidR="006A2484" w:rsidRPr="00091FC2" w:rsidRDefault="006A2484" w:rsidP="00A8297E">
      <w:bookmarkStart w:id="32" w:name="_Toc136592910"/>
      <w:r w:rsidRPr="00091FC2">
        <w:t>REPARATIONS</w:t>
      </w:r>
      <w:bookmarkEnd w:id="32"/>
      <w:r w:rsidRPr="00091FC2">
        <w:t xml:space="preserve"> </w:t>
      </w:r>
    </w:p>
    <w:p w14:paraId="23B3FFBF" w14:textId="423041D6" w:rsidR="006A2484" w:rsidRPr="00091FC2" w:rsidRDefault="006A2484" w:rsidP="00A8297E"/>
    <w:p w14:paraId="05B5B5E2" w14:textId="47DB6226" w:rsidR="0077408F" w:rsidRPr="00091FC2" w:rsidRDefault="0077408F" w:rsidP="00A8297E">
      <w:r w:rsidRPr="00091FC2">
        <w:t>The Court notes that Article 27(1) of the Protocol stipulates that “[</w:t>
      </w:r>
      <w:r w:rsidR="00716445" w:rsidRPr="00091FC2">
        <w:t>i</w:t>
      </w:r>
      <w:r w:rsidRPr="00091FC2">
        <w:t>]</w:t>
      </w:r>
      <w:r w:rsidR="00716445" w:rsidRPr="00091FC2">
        <w:t>f</w:t>
      </w:r>
      <w:r w:rsidRPr="00091FC2">
        <w:t xml:space="preserve"> the Court finds that there has been violation of a human or peoples</w:t>
      </w:r>
      <w:r w:rsidR="00093C4B" w:rsidRPr="00091FC2">
        <w:t>’</w:t>
      </w:r>
      <w:r w:rsidRPr="00091FC2">
        <w:t xml:space="preserve"> right, it shall make appropriate orders to remedy the violation, including the payment of fair compensation or reparation.”</w:t>
      </w:r>
    </w:p>
    <w:p w14:paraId="117E0DD6" w14:textId="77777777" w:rsidR="0077408F" w:rsidRPr="00091FC2" w:rsidRDefault="0077408F" w:rsidP="00A8297E"/>
    <w:p w14:paraId="4CD10DFA" w14:textId="33D8A8B3" w:rsidR="008A4538" w:rsidRPr="00091FC2" w:rsidRDefault="008A4538" w:rsidP="00A8297E">
      <w:r w:rsidRPr="00091FC2">
        <w:t xml:space="preserve">The Applicant prays </w:t>
      </w:r>
      <w:r w:rsidR="001D52A2" w:rsidRPr="00091FC2">
        <w:t>for</w:t>
      </w:r>
      <w:r w:rsidR="00532961" w:rsidRPr="00091FC2">
        <w:t xml:space="preserve"> an order that he be paid compensation for the period of his incarceration to be assessed on the basis of </w:t>
      </w:r>
      <w:r w:rsidR="00E87831" w:rsidRPr="00091FC2">
        <w:t>“</w:t>
      </w:r>
      <w:r w:rsidR="00532961" w:rsidRPr="00091FC2">
        <w:t>the national ratio of a citizen</w:t>
      </w:r>
      <w:r w:rsidR="00093C4B" w:rsidRPr="00091FC2">
        <w:t>’</w:t>
      </w:r>
      <w:r w:rsidR="00532961" w:rsidRPr="00091FC2">
        <w:t>s income per year</w:t>
      </w:r>
      <w:r w:rsidR="00E87831" w:rsidRPr="00091FC2">
        <w:t>”</w:t>
      </w:r>
      <w:r w:rsidR="00532961" w:rsidRPr="00091FC2">
        <w:t xml:space="preserve">. He also prays the Court to order his </w:t>
      </w:r>
      <w:r w:rsidR="005B14B5" w:rsidRPr="00091FC2">
        <w:t xml:space="preserve">release </w:t>
      </w:r>
      <w:r w:rsidR="00532961" w:rsidRPr="00091FC2">
        <w:t xml:space="preserve">to repair the prejudice he suffered due to the Respondent State not </w:t>
      </w:r>
      <w:r w:rsidR="005B14B5" w:rsidRPr="00091FC2">
        <w:t>affording</w:t>
      </w:r>
      <w:r w:rsidR="00532961" w:rsidRPr="00091FC2">
        <w:t xml:space="preserve"> him the counsel of his choice</w:t>
      </w:r>
      <w:r w:rsidR="00AC6AEF" w:rsidRPr="00091FC2">
        <w:t>.</w:t>
      </w:r>
    </w:p>
    <w:p w14:paraId="0F39E8DE" w14:textId="77777777" w:rsidR="0041677F" w:rsidRPr="00091FC2" w:rsidRDefault="0041677F" w:rsidP="00A8297E"/>
    <w:p w14:paraId="3B9B7905" w14:textId="17A49A07" w:rsidR="003B62D2" w:rsidRPr="00091FC2" w:rsidRDefault="003B62D2" w:rsidP="00A8297E">
      <w:r w:rsidRPr="00091FC2">
        <w:t>The Respondent State did not respond to the Applicant</w:t>
      </w:r>
      <w:r w:rsidR="00093C4B" w:rsidRPr="00091FC2">
        <w:t>’</w:t>
      </w:r>
      <w:r w:rsidRPr="00091FC2">
        <w:t>s submissions on reparations despite being served with the said submissions on 20 August 2018, with thirty (30) day extensions on 27 September 2018, 20 December 2018, and 15 February 2019</w:t>
      </w:r>
      <w:r w:rsidR="003C6B0E" w:rsidRPr="00091FC2">
        <w:t xml:space="preserve"> respectively</w:t>
      </w:r>
      <w:r w:rsidRPr="00091FC2">
        <w:t xml:space="preserve">. </w:t>
      </w:r>
    </w:p>
    <w:p w14:paraId="773307B3" w14:textId="77777777" w:rsidR="00A412B9" w:rsidRPr="00091FC2" w:rsidRDefault="00A412B9" w:rsidP="00A8297E"/>
    <w:p w14:paraId="13285C35" w14:textId="16CB3A5A" w:rsidR="0077408F" w:rsidRPr="00091FC2" w:rsidRDefault="0077408F" w:rsidP="00A8297E">
      <w:pPr>
        <w:rPr>
          <w:color w:val="000000" w:themeColor="text1"/>
        </w:rPr>
      </w:pPr>
      <w:r w:rsidRPr="00091FC2">
        <w:rPr>
          <w:color w:val="000000" w:themeColor="text1"/>
        </w:rPr>
        <w:t xml:space="preserve">In the instant case, </w:t>
      </w:r>
      <w:r w:rsidRPr="00091FC2">
        <w:t>the</w:t>
      </w:r>
      <w:r w:rsidRPr="00091FC2">
        <w:rPr>
          <w:color w:val="000000" w:themeColor="text1"/>
        </w:rPr>
        <w:t xml:space="preserve"> Court has established that the Respondent State did not violate any of the Applicant</w:t>
      </w:r>
      <w:r w:rsidR="00093C4B" w:rsidRPr="00091FC2">
        <w:rPr>
          <w:color w:val="000000" w:themeColor="text1"/>
        </w:rPr>
        <w:t>’</w:t>
      </w:r>
      <w:r w:rsidRPr="00091FC2">
        <w:rPr>
          <w:color w:val="000000" w:themeColor="text1"/>
        </w:rPr>
        <w:t xml:space="preserve">s rights as alleged. </w:t>
      </w:r>
    </w:p>
    <w:p w14:paraId="0E6619A6" w14:textId="77777777" w:rsidR="0077408F" w:rsidRPr="00091FC2" w:rsidRDefault="0077408F" w:rsidP="00A8297E">
      <w:pPr>
        <w:rPr>
          <w:color w:val="000000" w:themeColor="text1"/>
        </w:rPr>
      </w:pPr>
    </w:p>
    <w:p w14:paraId="7DF2B836" w14:textId="1024351A" w:rsidR="0077408F" w:rsidRPr="00091FC2" w:rsidRDefault="0077408F" w:rsidP="00A8297E">
      <w:pPr>
        <w:rPr>
          <w:color w:val="000000" w:themeColor="text1"/>
        </w:rPr>
      </w:pPr>
      <w:r w:rsidRPr="00091FC2">
        <w:rPr>
          <w:color w:val="000000" w:themeColor="text1"/>
        </w:rPr>
        <w:t xml:space="preserve">In </w:t>
      </w:r>
      <w:r w:rsidRPr="00091FC2">
        <w:t>view</w:t>
      </w:r>
      <w:r w:rsidRPr="00091FC2">
        <w:rPr>
          <w:color w:val="000000" w:themeColor="text1"/>
        </w:rPr>
        <w:t xml:space="preserve"> of the foregoing, the Applicant</w:t>
      </w:r>
      <w:r w:rsidR="00093C4B" w:rsidRPr="00091FC2">
        <w:rPr>
          <w:color w:val="000000" w:themeColor="text1"/>
        </w:rPr>
        <w:t>’</w:t>
      </w:r>
      <w:r w:rsidRPr="00091FC2">
        <w:rPr>
          <w:color w:val="000000" w:themeColor="text1"/>
        </w:rPr>
        <w:t xml:space="preserve">s prayers for reparations are </w:t>
      </w:r>
      <w:r w:rsidR="005B14B5" w:rsidRPr="00091FC2">
        <w:rPr>
          <w:color w:val="000000" w:themeColor="text1"/>
        </w:rPr>
        <w:t>dismissed</w:t>
      </w:r>
      <w:r w:rsidRPr="00091FC2">
        <w:rPr>
          <w:color w:val="000000" w:themeColor="text1"/>
        </w:rPr>
        <w:t xml:space="preserve">. </w:t>
      </w:r>
    </w:p>
    <w:p w14:paraId="39ECE834" w14:textId="1CD85DBA" w:rsidR="00A60425" w:rsidRPr="00091FC2" w:rsidRDefault="00A60425" w:rsidP="00A8297E"/>
    <w:p w14:paraId="33906FFA" w14:textId="77777777" w:rsidR="00EE0A5E" w:rsidRPr="00091FC2" w:rsidRDefault="00EE0A5E" w:rsidP="00A8297E"/>
    <w:p w14:paraId="15D38600" w14:textId="3880353C" w:rsidR="00943AB2" w:rsidRPr="00091FC2" w:rsidRDefault="00943AB2" w:rsidP="00A8297E">
      <w:bookmarkStart w:id="33" w:name="_Toc136592911"/>
      <w:r w:rsidRPr="00091FC2">
        <w:t>ON THE REQUEST FOR PROVISIONAL MEASURES</w:t>
      </w:r>
      <w:bookmarkEnd w:id="33"/>
      <w:r w:rsidRPr="00091FC2">
        <w:t xml:space="preserve"> </w:t>
      </w:r>
    </w:p>
    <w:p w14:paraId="29E4E959" w14:textId="77777777" w:rsidR="004F6E8C" w:rsidRPr="00091FC2" w:rsidRDefault="004F6E8C" w:rsidP="00A8297E"/>
    <w:p w14:paraId="161D8323" w14:textId="17DD7B4A" w:rsidR="00943AB2" w:rsidRPr="00091FC2" w:rsidRDefault="004F6E8C" w:rsidP="00A8297E">
      <w:r w:rsidRPr="00091FC2">
        <w:t xml:space="preserve">The Court recalls that </w:t>
      </w:r>
      <w:r w:rsidR="004948B1" w:rsidRPr="00091FC2">
        <w:t xml:space="preserve">the Applicant </w:t>
      </w:r>
      <w:r w:rsidR="00B138E6" w:rsidRPr="00091FC2">
        <w:t xml:space="preserve">prayed for </w:t>
      </w:r>
      <w:r w:rsidRPr="00091FC2">
        <w:t>provisional measures</w:t>
      </w:r>
      <w:r w:rsidR="005D1F30" w:rsidRPr="00091FC2">
        <w:t xml:space="preserve"> </w:t>
      </w:r>
      <w:r w:rsidR="00317121" w:rsidRPr="00091FC2">
        <w:t>“due to extreme gravity on account of his being on death row”</w:t>
      </w:r>
      <w:r w:rsidRPr="00091FC2">
        <w:t xml:space="preserve">. </w:t>
      </w:r>
      <w:r w:rsidR="00B138E6" w:rsidRPr="00091FC2">
        <w:t>The Res</w:t>
      </w:r>
      <w:r w:rsidR="002B50CC" w:rsidRPr="00091FC2">
        <w:t xml:space="preserve">pondent State did not respond </w:t>
      </w:r>
      <w:r w:rsidR="0011370F" w:rsidRPr="00091FC2">
        <w:t>to</w:t>
      </w:r>
      <w:r w:rsidR="002B50CC" w:rsidRPr="00091FC2">
        <w:t xml:space="preserve"> this prayer. </w:t>
      </w:r>
    </w:p>
    <w:p w14:paraId="2BB1B928" w14:textId="77777777" w:rsidR="00B138E6" w:rsidRPr="00091FC2" w:rsidRDefault="00B138E6" w:rsidP="00A8297E"/>
    <w:p w14:paraId="32F991A0" w14:textId="6B35CD21" w:rsidR="004F6E8C" w:rsidRPr="00091FC2" w:rsidRDefault="002B50CC" w:rsidP="00A8297E">
      <w:r w:rsidRPr="00091FC2">
        <w:t>T</w:t>
      </w:r>
      <w:r w:rsidR="004F6E8C" w:rsidRPr="00091FC2">
        <w:t xml:space="preserve">he Court holds that </w:t>
      </w:r>
      <w:r w:rsidRPr="00091FC2">
        <w:t xml:space="preserve">this </w:t>
      </w:r>
      <w:r w:rsidR="004F6E8C" w:rsidRPr="00091FC2">
        <w:t>decision on the merits renders the request for provisional measures moot. Consequently, it is no longer necessary to rule on the request for provisional measures.</w:t>
      </w:r>
    </w:p>
    <w:p w14:paraId="05272F4B" w14:textId="77777777" w:rsidR="004F6E8C" w:rsidRPr="00091FC2" w:rsidRDefault="004F6E8C" w:rsidP="00A8297E"/>
    <w:p w14:paraId="7403814D" w14:textId="77777777" w:rsidR="00EE0A5E" w:rsidRPr="00091FC2" w:rsidRDefault="00EE0A5E" w:rsidP="00A8297E"/>
    <w:p w14:paraId="2D240C3B" w14:textId="6B3ED985" w:rsidR="00B14B75" w:rsidRPr="00091FC2" w:rsidRDefault="00B14B75" w:rsidP="00A8297E">
      <w:bookmarkStart w:id="34" w:name="_Toc136592912"/>
      <w:r w:rsidRPr="00091FC2">
        <w:t>COSTS</w:t>
      </w:r>
      <w:bookmarkEnd w:id="34"/>
    </w:p>
    <w:p w14:paraId="5AF60135" w14:textId="77777777" w:rsidR="00B14B75" w:rsidRPr="00091FC2" w:rsidRDefault="00B14B75" w:rsidP="00A8297E"/>
    <w:p w14:paraId="631599A8" w14:textId="69F5E7C9" w:rsidR="00803E72" w:rsidRPr="00091FC2" w:rsidRDefault="00803E72" w:rsidP="00A8297E">
      <w:r w:rsidRPr="00091FC2">
        <w:t xml:space="preserve">The Applicant did not make specific prayers as to costs. </w:t>
      </w:r>
    </w:p>
    <w:p w14:paraId="19CA0C2C" w14:textId="77777777" w:rsidR="00803E72" w:rsidRPr="00091FC2" w:rsidRDefault="00803E72" w:rsidP="00A8297E"/>
    <w:p w14:paraId="7D0DBD52" w14:textId="0081F31C" w:rsidR="00B14B75" w:rsidRPr="00091FC2" w:rsidRDefault="000642C9" w:rsidP="00A8297E">
      <w:r w:rsidRPr="00091FC2">
        <w:t xml:space="preserve">The Respondent State prays that the Court orders the Applicant to bear the costs of the Application. </w:t>
      </w:r>
    </w:p>
    <w:p w14:paraId="1324DC71" w14:textId="6067E5D4" w:rsidR="00B14B75" w:rsidRPr="00091FC2" w:rsidRDefault="00B14B75" w:rsidP="00A8297E">
      <w:r w:rsidRPr="00091FC2">
        <w:t>***</w:t>
      </w:r>
    </w:p>
    <w:p w14:paraId="08299307" w14:textId="77777777" w:rsidR="00B14B75" w:rsidRPr="00091FC2" w:rsidRDefault="00B14B75" w:rsidP="00A8297E"/>
    <w:p w14:paraId="489F6A56" w14:textId="524B3EF3" w:rsidR="00FA2BF0" w:rsidRPr="00091FC2" w:rsidRDefault="00FA2BF0" w:rsidP="00A8297E">
      <w:r w:rsidRPr="00091FC2">
        <w:t>In terms of Rule 32(2) of the Rules, “</w:t>
      </w:r>
      <w:r w:rsidR="00803E72" w:rsidRPr="00091FC2">
        <w:t>[</w:t>
      </w:r>
      <w:r w:rsidR="009105CC" w:rsidRPr="00091FC2">
        <w:t>u</w:t>
      </w:r>
      <w:r w:rsidR="00803E72" w:rsidRPr="00091FC2">
        <w:t>]</w:t>
      </w:r>
      <w:r w:rsidRPr="00091FC2">
        <w:t xml:space="preserve">nless otherwise decided by the Court, each party shall bear its own costs, if any.” </w:t>
      </w:r>
    </w:p>
    <w:p w14:paraId="763DDC1C" w14:textId="77777777" w:rsidR="00FA2BF0" w:rsidRPr="00091FC2" w:rsidRDefault="00FA2BF0" w:rsidP="00A8297E"/>
    <w:p w14:paraId="3EE8F14F" w14:textId="0E2D0756" w:rsidR="00B14B75" w:rsidRPr="00091FC2" w:rsidRDefault="000642C9" w:rsidP="00A8297E">
      <w:r w:rsidRPr="00091FC2">
        <w:t>The Court orders</w:t>
      </w:r>
      <w:r w:rsidR="00B14B75" w:rsidRPr="00091FC2">
        <w:t xml:space="preserve"> that</w:t>
      </w:r>
      <w:r w:rsidR="00251425" w:rsidRPr="00091FC2">
        <w:t>,</w:t>
      </w:r>
      <w:r w:rsidR="00B14B75" w:rsidRPr="00091FC2">
        <w:t xml:space="preserve"> in the ci</w:t>
      </w:r>
      <w:r w:rsidRPr="00091FC2">
        <w:t>rcumstances of this case, each P</w:t>
      </w:r>
      <w:r w:rsidR="00B14B75" w:rsidRPr="00091FC2">
        <w:t>arty shall bear its own costs.</w:t>
      </w:r>
    </w:p>
    <w:p w14:paraId="0F39BA60" w14:textId="36084DF1" w:rsidR="00F95F7C" w:rsidRPr="00091FC2" w:rsidRDefault="00B14B75" w:rsidP="00A8297E">
      <w:bookmarkStart w:id="35" w:name="_Toc39148244"/>
      <w:bookmarkStart w:id="36" w:name="_Toc136592913"/>
      <w:r w:rsidRPr="00091FC2">
        <w:t xml:space="preserve">OPERATIVE </w:t>
      </w:r>
      <w:bookmarkEnd w:id="35"/>
      <w:r w:rsidRPr="00091FC2">
        <w:t>PART</w:t>
      </w:r>
      <w:bookmarkEnd w:id="36"/>
    </w:p>
    <w:p w14:paraId="34AFACB3" w14:textId="77777777" w:rsidR="00B14B75" w:rsidRPr="00091FC2" w:rsidRDefault="00B14B75" w:rsidP="00A8297E"/>
    <w:p w14:paraId="4CDF2896" w14:textId="77777777" w:rsidR="00FA2BF0" w:rsidRPr="00091FC2" w:rsidRDefault="00FA2BF0" w:rsidP="00A8297E">
      <w:r w:rsidRPr="00091FC2">
        <w:t xml:space="preserve">For these reasons: </w:t>
      </w:r>
    </w:p>
    <w:p w14:paraId="44AAD030" w14:textId="69918010" w:rsidR="00FA2BF0" w:rsidRPr="00091FC2" w:rsidRDefault="00FA2BF0" w:rsidP="00A8297E"/>
    <w:p w14:paraId="3C242B32" w14:textId="77777777" w:rsidR="00B14B75" w:rsidRPr="00091FC2" w:rsidRDefault="00B14B75" w:rsidP="00A8297E">
      <w:r w:rsidRPr="00091FC2">
        <w:t xml:space="preserve">THE COURT, </w:t>
      </w:r>
    </w:p>
    <w:p w14:paraId="2265CD99" w14:textId="77777777" w:rsidR="00905CE1" w:rsidRPr="00091FC2" w:rsidRDefault="00905CE1" w:rsidP="00A8297E"/>
    <w:p w14:paraId="758C5471" w14:textId="2738BAD2" w:rsidR="00B14B75" w:rsidRPr="00091FC2" w:rsidRDefault="00B14B75" w:rsidP="00A8297E">
      <w:pPr>
        <w:rPr>
          <w:i/>
        </w:rPr>
      </w:pPr>
      <w:r w:rsidRPr="00091FC2">
        <w:rPr>
          <w:i/>
        </w:rPr>
        <w:t xml:space="preserve">On </w:t>
      </w:r>
      <w:r w:rsidR="00BA5F47" w:rsidRPr="00091FC2">
        <w:rPr>
          <w:i/>
        </w:rPr>
        <w:t>j</w:t>
      </w:r>
      <w:r w:rsidRPr="00091FC2">
        <w:rPr>
          <w:i/>
        </w:rPr>
        <w:t>urisdiction</w:t>
      </w:r>
    </w:p>
    <w:p w14:paraId="036DC855" w14:textId="6D860AF3" w:rsidR="0041677F" w:rsidRPr="00091FC2" w:rsidRDefault="0041677F" w:rsidP="00A8297E">
      <w:pPr>
        <w:rPr>
          <w:i/>
        </w:rPr>
      </w:pPr>
    </w:p>
    <w:p w14:paraId="20E46632" w14:textId="77777777" w:rsidR="00954413" w:rsidRPr="00091FC2" w:rsidRDefault="00954413" w:rsidP="00A8297E">
      <w:r w:rsidRPr="00091FC2">
        <w:rPr>
          <w:i/>
          <w:iCs/>
        </w:rPr>
        <w:t>Unanimously</w:t>
      </w:r>
      <w:r w:rsidRPr="00091FC2">
        <w:t xml:space="preserve">, </w:t>
      </w:r>
    </w:p>
    <w:p w14:paraId="4A5EF9D2" w14:textId="77777777" w:rsidR="00954413" w:rsidRPr="00091FC2" w:rsidRDefault="00954413" w:rsidP="00A8297E">
      <w:pPr>
        <w:rPr>
          <w:i/>
        </w:rPr>
      </w:pPr>
    </w:p>
    <w:p w14:paraId="76E49EE4" w14:textId="6D44569B" w:rsidR="00BC7425" w:rsidRPr="00091FC2" w:rsidRDefault="000642C9" w:rsidP="00A8297E">
      <w:r w:rsidRPr="00091FC2">
        <w:rPr>
          <w:i/>
        </w:rPr>
        <w:t>Dismisses</w:t>
      </w:r>
      <w:r w:rsidR="00BC7425" w:rsidRPr="00091FC2">
        <w:rPr>
          <w:i/>
        </w:rPr>
        <w:t xml:space="preserve"> </w:t>
      </w:r>
      <w:r w:rsidRPr="00091FC2">
        <w:t xml:space="preserve">the objection </w:t>
      </w:r>
      <w:r w:rsidR="00BC7425" w:rsidRPr="00091FC2">
        <w:t>to material jurisdiction;</w:t>
      </w:r>
    </w:p>
    <w:p w14:paraId="3BB09AFF" w14:textId="5607672D" w:rsidR="00BC7425" w:rsidRPr="00091FC2" w:rsidRDefault="00BC7425" w:rsidP="00A8297E">
      <w:r w:rsidRPr="00091FC2">
        <w:rPr>
          <w:i/>
        </w:rPr>
        <w:t xml:space="preserve">Declares </w:t>
      </w:r>
      <w:r w:rsidRPr="00091FC2">
        <w:t xml:space="preserve">that it </w:t>
      </w:r>
      <w:r w:rsidR="000642C9" w:rsidRPr="00091FC2">
        <w:t>has</w:t>
      </w:r>
      <w:r w:rsidRPr="00091FC2">
        <w:t xml:space="preserve"> jurisdiction</w:t>
      </w:r>
      <w:r w:rsidR="00582BC0" w:rsidRPr="00091FC2">
        <w:t>.</w:t>
      </w:r>
    </w:p>
    <w:p w14:paraId="750E0967" w14:textId="75A2FE14" w:rsidR="0077408F" w:rsidRPr="00091FC2" w:rsidRDefault="0077408F" w:rsidP="00A8297E">
      <w:pPr>
        <w:rPr>
          <w:i/>
        </w:rPr>
      </w:pPr>
    </w:p>
    <w:p w14:paraId="27D3D290" w14:textId="4663CCD3" w:rsidR="0077408F" w:rsidRPr="00091FC2" w:rsidRDefault="0077408F" w:rsidP="00A8297E">
      <w:pPr>
        <w:rPr>
          <w:i/>
        </w:rPr>
      </w:pPr>
      <w:r w:rsidRPr="00091FC2">
        <w:rPr>
          <w:i/>
        </w:rPr>
        <w:t xml:space="preserve">On </w:t>
      </w:r>
      <w:r w:rsidR="00BA5F47" w:rsidRPr="00091FC2">
        <w:rPr>
          <w:i/>
        </w:rPr>
        <w:t>a</w:t>
      </w:r>
      <w:r w:rsidRPr="00091FC2">
        <w:rPr>
          <w:i/>
        </w:rPr>
        <w:t>dmissibility</w:t>
      </w:r>
    </w:p>
    <w:p w14:paraId="50300805" w14:textId="77777777" w:rsidR="00954413" w:rsidRPr="00091FC2" w:rsidRDefault="00954413" w:rsidP="00A8297E">
      <w:pPr>
        <w:rPr>
          <w:bCs/>
          <w:i/>
        </w:rPr>
      </w:pPr>
    </w:p>
    <w:p w14:paraId="30606B92" w14:textId="2F7B7EF2" w:rsidR="006B43DB" w:rsidRPr="00091FC2" w:rsidRDefault="006B43DB" w:rsidP="00A8297E">
      <w:r w:rsidRPr="00091FC2">
        <w:rPr>
          <w:i/>
        </w:rPr>
        <w:t xml:space="preserve">By a majority of Seven (7) for, and Three (3) against, Justice Ben KIOKO, Justice Tujilane R. </w:t>
      </w:r>
      <w:r w:rsidRPr="00091FC2">
        <w:rPr>
          <w:i/>
          <w:iCs/>
        </w:rPr>
        <w:t>CHIZUMILA</w:t>
      </w:r>
      <w:r w:rsidRPr="00091FC2">
        <w:rPr>
          <w:i/>
        </w:rPr>
        <w:t xml:space="preserve"> and Justice Dennis D. ADJEI dissenting</w:t>
      </w:r>
      <w:r w:rsidRPr="00091FC2">
        <w:t>,</w:t>
      </w:r>
    </w:p>
    <w:p w14:paraId="1B2C7B1B" w14:textId="77777777" w:rsidR="0041677F" w:rsidRPr="00091FC2" w:rsidRDefault="0041677F" w:rsidP="00A8297E">
      <w:pPr>
        <w:rPr>
          <w:i/>
        </w:rPr>
      </w:pPr>
    </w:p>
    <w:p w14:paraId="5C6B4AED" w14:textId="08DCAB81" w:rsidR="0051669D" w:rsidRPr="00091FC2" w:rsidRDefault="00582BC0" w:rsidP="00A8297E">
      <w:pPr>
        <w:rPr>
          <w:i/>
        </w:rPr>
      </w:pPr>
      <w:r w:rsidRPr="00091FC2">
        <w:rPr>
          <w:i/>
        </w:rPr>
        <w:t>Dismisses</w:t>
      </w:r>
      <w:r w:rsidR="000642C9" w:rsidRPr="00091FC2">
        <w:rPr>
          <w:i/>
        </w:rPr>
        <w:t xml:space="preserve"> </w:t>
      </w:r>
      <w:r w:rsidR="000642C9" w:rsidRPr="00091FC2">
        <w:t>the objections</w:t>
      </w:r>
      <w:r w:rsidRPr="00091FC2">
        <w:t xml:space="preserve"> to the admissibility of the Application</w:t>
      </w:r>
      <w:r w:rsidRPr="00091FC2">
        <w:rPr>
          <w:iCs/>
        </w:rPr>
        <w:t>;</w:t>
      </w:r>
    </w:p>
    <w:p w14:paraId="1CB87241" w14:textId="3C0B2114" w:rsidR="00FA2BF0" w:rsidRPr="00091FC2" w:rsidRDefault="00582BC0" w:rsidP="00A8297E">
      <w:r w:rsidRPr="00091FC2">
        <w:rPr>
          <w:i/>
        </w:rPr>
        <w:t>Declares</w:t>
      </w:r>
      <w:r w:rsidRPr="00091FC2">
        <w:t xml:space="preserve"> that the Application </w:t>
      </w:r>
      <w:r w:rsidR="004B6B87" w:rsidRPr="00091FC2">
        <w:t>is admissible.</w:t>
      </w:r>
    </w:p>
    <w:p w14:paraId="1200E026" w14:textId="77777777" w:rsidR="00FA2BF0" w:rsidRPr="00091FC2" w:rsidRDefault="00FA2BF0" w:rsidP="00A8297E"/>
    <w:p w14:paraId="7B9ED3CD" w14:textId="7DB59FE1" w:rsidR="00472824" w:rsidRPr="00091FC2" w:rsidRDefault="00472824" w:rsidP="00A8297E">
      <w:pPr>
        <w:rPr>
          <w:i/>
        </w:rPr>
      </w:pPr>
      <w:r w:rsidRPr="00091FC2">
        <w:rPr>
          <w:i/>
        </w:rPr>
        <w:t xml:space="preserve">On </w:t>
      </w:r>
      <w:r w:rsidR="00BA5F47" w:rsidRPr="00091FC2">
        <w:rPr>
          <w:i/>
        </w:rPr>
        <w:t>m</w:t>
      </w:r>
      <w:r w:rsidRPr="00091FC2">
        <w:rPr>
          <w:i/>
        </w:rPr>
        <w:t xml:space="preserve">erits </w:t>
      </w:r>
    </w:p>
    <w:p w14:paraId="147B873D" w14:textId="14B42F11" w:rsidR="0041677F" w:rsidRPr="00091FC2" w:rsidRDefault="0041677F" w:rsidP="00A8297E">
      <w:pPr>
        <w:rPr>
          <w:bCs/>
          <w:i/>
        </w:rPr>
      </w:pPr>
    </w:p>
    <w:p w14:paraId="0C215801" w14:textId="3C5A0C44" w:rsidR="008425E4" w:rsidRPr="00091FC2" w:rsidRDefault="008425E4" w:rsidP="00A8297E">
      <w:pPr>
        <w:rPr>
          <w:i/>
        </w:rPr>
      </w:pPr>
      <w:r w:rsidRPr="00091FC2">
        <w:rPr>
          <w:i/>
        </w:rPr>
        <w:t xml:space="preserve">By a majority of </w:t>
      </w:r>
      <w:r w:rsidR="00F1682E" w:rsidRPr="00091FC2">
        <w:rPr>
          <w:i/>
        </w:rPr>
        <w:t xml:space="preserve">Six </w:t>
      </w:r>
      <w:r w:rsidRPr="00091FC2">
        <w:rPr>
          <w:i/>
        </w:rPr>
        <w:t>(</w:t>
      </w:r>
      <w:r w:rsidR="00F1682E" w:rsidRPr="00091FC2">
        <w:rPr>
          <w:i/>
        </w:rPr>
        <w:t>6</w:t>
      </w:r>
      <w:r w:rsidRPr="00091FC2">
        <w:rPr>
          <w:i/>
        </w:rPr>
        <w:t xml:space="preserve">) for, and One (1) against, Justice </w:t>
      </w:r>
      <w:bookmarkStart w:id="37" w:name="_Hlk129688238"/>
      <w:r w:rsidRPr="00091FC2">
        <w:rPr>
          <w:i/>
        </w:rPr>
        <w:t xml:space="preserve">Chafika </w:t>
      </w:r>
      <w:r w:rsidR="00500952" w:rsidRPr="00091FC2">
        <w:rPr>
          <w:i/>
        </w:rPr>
        <w:t xml:space="preserve">BENSAOULA </w:t>
      </w:r>
      <w:bookmarkEnd w:id="37"/>
      <w:r w:rsidRPr="00091FC2">
        <w:rPr>
          <w:i/>
        </w:rPr>
        <w:t>dissenting,</w:t>
      </w:r>
      <w:r w:rsidR="00F1682E" w:rsidRPr="00091FC2">
        <w:rPr>
          <w:i/>
          <w:iCs/>
        </w:rPr>
        <w:t xml:space="preserve"> </w:t>
      </w:r>
      <w:bookmarkStart w:id="38" w:name="_Hlk136947133"/>
      <w:r w:rsidR="00F1682E" w:rsidRPr="00091FC2">
        <w:rPr>
          <w:i/>
          <w:iCs/>
        </w:rPr>
        <w:t xml:space="preserve">and </w:t>
      </w:r>
      <w:r w:rsidR="00F1682E" w:rsidRPr="00091FC2">
        <w:rPr>
          <w:i/>
        </w:rPr>
        <w:t>Justices Ben KIOKO,</w:t>
      </w:r>
      <w:r w:rsidR="00F1682E" w:rsidRPr="00091FC2">
        <w:t xml:space="preserve"> </w:t>
      </w:r>
      <w:r w:rsidR="00F1682E" w:rsidRPr="00091FC2">
        <w:rPr>
          <w:i/>
          <w:iCs/>
        </w:rPr>
        <w:t>Tujilane R. CHIZUMILA</w:t>
      </w:r>
      <w:r w:rsidR="00F1682E" w:rsidRPr="00091FC2">
        <w:rPr>
          <w:i/>
        </w:rPr>
        <w:t xml:space="preserve"> and Dennis D. ADJEI having dissented on admissibility</w:t>
      </w:r>
      <w:r w:rsidR="002C0AD5" w:rsidRPr="00091FC2">
        <w:rPr>
          <w:i/>
        </w:rPr>
        <w:t>,</w:t>
      </w:r>
      <w:bookmarkEnd w:id="38"/>
    </w:p>
    <w:p w14:paraId="5F7E5D5D" w14:textId="77777777" w:rsidR="008425E4" w:rsidRPr="00091FC2" w:rsidRDefault="008425E4" w:rsidP="00A8297E"/>
    <w:p w14:paraId="5A156C72" w14:textId="5B27AF74" w:rsidR="002B50CC" w:rsidRPr="00091FC2" w:rsidRDefault="002B50CC" w:rsidP="00A8297E">
      <w:r w:rsidRPr="00091FC2">
        <w:rPr>
          <w:i/>
        </w:rPr>
        <w:t xml:space="preserve">Finds </w:t>
      </w:r>
      <w:r w:rsidRPr="00091FC2">
        <w:t xml:space="preserve">that the Respondent State </w:t>
      </w:r>
      <w:r w:rsidR="005B14B5" w:rsidRPr="00091FC2">
        <w:t xml:space="preserve">did </w:t>
      </w:r>
      <w:r w:rsidRPr="00091FC2">
        <w:t>not violate the Applicant</w:t>
      </w:r>
      <w:r w:rsidR="00093C4B" w:rsidRPr="00091FC2">
        <w:t>’</w:t>
      </w:r>
      <w:r w:rsidRPr="00091FC2">
        <w:t xml:space="preserve">s right to be heard under Article 7(1) of the Charter </w:t>
      </w:r>
      <w:r w:rsidR="00630C68" w:rsidRPr="00091FC2">
        <w:t xml:space="preserve">with regard to </w:t>
      </w:r>
      <w:r w:rsidRPr="00091FC2">
        <w:t xml:space="preserve">convicting the Applicant on the basis of </w:t>
      </w:r>
      <w:r w:rsidR="00630C68" w:rsidRPr="00091FC2">
        <w:t xml:space="preserve">his </w:t>
      </w:r>
      <w:r w:rsidRPr="00091FC2">
        <w:t>confession</w:t>
      </w:r>
      <w:r w:rsidR="00D86959" w:rsidRPr="00091FC2">
        <w:t>;</w:t>
      </w:r>
    </w:p>
    <w:p w14:paraId="5566599D" w14:textId="50BE5B55" w:rsidR="0051669D" w:rsidRPr="00091FC2" w:rsidRDefault="00A14BFE" w:rsidP="00A8297E">
      <w:r w:rsidRPr="00091FC2">
        <w:rPr>
          <w:i/>
        </w:rPr>
        <w:t>Finds</w:t>
      </w:r>
      <w:r w:rsidR="0051669D" w:rsidRPr="00091FC2">
        <w:t xml:space="preserve"> that the Respondent State </w:t>
      </w:r>
      <w:r w:rsidR="005B14B5" w:rsidRPr="00091FC2">
        <w:t xml:space="preserve">did </w:t>
      </w:r>
      <w:r w:rsidRPr="00091FC2">
        <w:t xml:space="preserve">not </w:t>
      </w:r>
      <w:r w:rsidR="0051669D" w:rsidRPr="00091FC2">
        <w:t>violate the Applicant</w:t>
      </w:r>
      <w:r w:rsidR="00093C4B" w:rsidRPr="00091FC2">
        <w:t>’</w:t>
      </w:r>
      <w:r w:rsidR="0051669D" w:rsidRPr="00091FC2">
        <w:t xml:space="preserve">s right </w:t>
      </w:r>
      <w:r w:rsidR="003855B6" w:rsidRPr="00091FC2">
        <w:t>under Article 7(1)</w:t>
      </w:r>
      <w:r w:rsidR="0051669D" w:rsidRPr="00091FC2">
        <w:t xml:space="preserve"> of the Charter by </w:t>
      </w:r>
      <w:r w:rsidR="00317121" w:rsidRPr="00091FC2">
        <w:rPr>
          <w:bCs/>
        </w:rPr>
        <w:t>allegedly</w:t>
      </w:r>
      <w:r w:rsidR="00317121" w:rsidRPr="00091FC2">
        <w:t xml:space="preserve"> </w:t>
      </w:r>
      <w:r w:rsidR="00522A4A" w:rsidRPr="00091FC2">
        <w:t>delaying in determining</w:t>
      </w:r>
      <w:r w:rsidR="0051669D" w:rsidRPr="00091FC2">
        <w:t xml:space="preserve"> the application for review of the Court of Appeal</w:t>
      </w:r>
      <w:r w:rsidR="00093C4B" w:rsidRPr="00091FC2">
        <w:t>’</w:t>
      </w:r>
      <w:r w:rsidR="0051669D" w:rsidRPr="00091FC2">
        <w:t xml:space="preserve">s </w:t>
      </w:r>
      <w:r w:rsidRPr="00091FC2">
        <w:t>judgment</w:t>
      </w:r>
      <w:r w:rsidR="00D86959" w:rsidRPr="00091FC2">
        <w:t>;</w:t>
      </w:r>
    </w:p>
    <w:p w14:paraId="40D06145" w14:textId="13E64F50" w:rsidR="00A14BFE" w:rsidRPr="00091FC2" w:rsidRDefault="00452219" w:rsidP="00A8297E">
      <w:r w:rsidRPr="00091FC2">
        <w:rPr>
          <w:i/>
        </w:rPr>
        <w:t xml:space="preserve">Finds </w:t>
      </w:r>
      <w:r w:rsidR="00A14BFE" w:rsidRPr="00091FC2">
        <w:t xml:space="preserve">that the Respondent State </w:t>
      </w:r>
      <w:r w:rsidR="005B14B5" w:rsidRPr="00091FC2">
        <w:t xml:space="preserve">did </w:t>
      </w:r>
      <w:r w:rsidRPr="00091FC2">
        <w:t xml:space="preserve">not </w:t>
      </w:r>
      <w:r w:rsidR="00A14BFE" w:rsidRPr="00091FC2">
        <w:t>violate the Applicant</w:t>
      </w:r>
      <w:r w:rsidR="00093C4B" w:rsidRPr="00091FC2">
        <w:t>’</w:t>
      </w:r>
      <w:r w:rsidR="00A14BFE" w:rsidRPr="00091FC2">
        <w:t>s right</w:t>
      </w:r>
      <w:r w:rsidRPr="00091FC2">
        <w:t xml:space="preserve"> to </w:t>
      </w:r>
      <w:r w:rsidR="0013525A" w:rsidRPr="00091FC2">
        <w:t>defence under</w:t>
      </w:r>
      <w:r w:rsidR="00A14BFE" w:rsidRPr="00091FC2">
        <w:t xml:space="preserve"> Article 7(1)(c) </w:t>
      </w:r>
      <w:r w:rsidR="00630C68" w:rsidRPr="00091FC2">
        <w:t xml:space="preserve">with regard to </w:t>
      </w:r>
      <w:r w:rsidR="00A14BFE" w:rsidRPr="00091FC2">
        <w:t>provid</w:t>
      </w:r>
      <w:r w:rsidR="00630C68" w:rsidRPr="00091FC2">
        <w:t>ing</w:t>
      </w:r>
      <w:r w:rsidR="00A14BFE" w:rsidRPr="00091FC2">
        <w:t xml:space="preserve"> the Applicant </w:t>
      </w:r>
      <w:r w:rsidR="00317121" w:rsidRPr="00091FC2">
        <w:t>a C</w:t>
      </w:r>
      <w:r w:rsidR="00A14BFE" w:rsidRPr="00091FC2">
        <w:t xml:space="preserve">ounsel of his </w:t>
      </w:r>
      <w:r w:rsidR="00522A4A" w:rsidRPr="00091FC2">
        <w:t>choice.</w:t>
      </w:r>
    </w:p>
    <w:p w14:paraId="46EF91F0" w14:textId="77777777" w:rsidR="00905CE1" w:rsidRPr="00091FC2" w:rsidRDefault="00905CE1" w:rsidP="00A8297E"/>
    <w:p w14:paraId="2A486311" w14:textId="360D3FCB" w:rsidR="00DB2A68" w:rsidRPr="00091FC2" w:rsidRDefault="00DB2A68" w:rsidP="00A8297E">
      <w:pPr>
        <w:rPr>
          <w:i/>
        </w:rPr>
      </w:pPr>
      <w:r w:rsidRPr="00091FC2">
        <w:rPr>
          <w:i/>
        </w:rPr>
        <w:t>Unanimously,</w:t>
      </w:r>
    </w:p>
    <w:p w14:paraId="35552690" w14:textId="77777777" w:rsidR="00DB2A68" w:rsidRPr="00091FC2" w:rsidRDefault="00DB2A68" w:rsidP="00A8297E">
      <w:pPr>
        <w:rPr>
          <w:i/>
        </w:rPr>
      </w:pPr>
    </w:p>
    <w:p w14:paraId="2C4A900F" w14:textId="3BC363CA" w:rsidR="00472824" w:rsidRPr="00091FC2" w:rsidRDefault="00803E72" w:rsidP="00A8297E">
      <w:pPr>
        <w:rPr>
          <w:i/>
        </w:rPr>
      </w:pPr>
      <w:r w:rsidRPr="00091FC2">
        <w:rPr>
          <w:i/>
        </w:rPr>
        <w:t xml:space="preserve">On </w:t>
      </w:r>
      <w:r w:rsidR="00BA5F47" w:rsidRPr="00091FC2">
        <w:rPr>
          <w:i/>
        </w:rPr>
        <w:t>r</w:t>
      </w:r>
      <w:r w:rsidRPr="00091FC2">
        <w:rPr>
          <w:i/>
        </w:rPr>
        <w:t>eparations</w:t>
      </w:r>
    </w:p>
    <w:p w14:paraId="0FB8C907" w14:textId="77777777" w:rsidR="00905CE1" w:rsidRPr="00091FC2" w:rsidRDefault="00905CE1" w:rsidP="00A8297E">
      <w:pPr>
        <w:rPr>
          <w:i/>
        </w:rPr>
      </w:pPr>
    </w:p>
    <w:p w14:paraId="02CFE7C1" w14:textId="356941ED" w:rsidR="00522A4A" w:rsidRPr="00091FC2" w:rsidRDefault="00522A4A" w:rsidP="00A8297E">
      <w:pPr>
        <w:rPr>
          <w:color w:val="000000" w:themeColor="text1"/>
        </w:rPr>
      </w:pPr>
      <w:r w:rsidRPr="00091FC2">
        <w:rPr>
          <w:i/>
          <w:iCs/>
          <w:szCs w:val="22"/>
        </w:rPr>
        <w:t>Dismisses</w:t>
      </w:r>
      <w:r w:rsidRPr="00091FC2">
        <w:rPr>
          <w:color w:val="000000" w:themeColor="text1"/>
        </w:rPr>
        <w:t xml:space="preserve"> the Applicant</w:t>
      </w:r>
      <w:r w:rsidR="00093C4B" w:rsidRPr="00091FC2">
        <w:rPr>
          <w:color w:val="000000" w:themeColor="text1"/>
        </w:rPr>
        <w:t>’</w:t>
      </w:r>
      <w:r w:rsidRPr="00091FC2">
        <w:rPr>
          <w:color w:val="000000" w:themeColor="text1"/>
        </w:rPr>
        <w:t>s prayers for reparations.</w:t>
      </w:r>
    </w:p>
    <w:p w14:paraId="39896498" w14:textId="3689937E" w:rsidR="00522A4A" w:rsidRPr="00091FC2" w:rsidRDefault="00522A4A" w:rsidP="00A8297E"/>
    <w:p w14:paraId="4935D03E" w14:textId="77777777" w:rsidR="00B915F3" w:rsidRPr="00091FC2" w:rsidRDefault="00B915F3" w:rsidP="00A8297E">
      <w:pPr>
        <w:rPr>
          <w:i/>
          <w:iCs/>
        </w:rPr>
      </w:pPr>
      <w:r w:rsidRPr="00091FC2">
        <w:rPr>
          <w:i/>
          <w:iCs/>
        </w:rPr>
        <w:t xml:space="preserve">On the request for provisional measures </w:t>
      </w:r>
    </w:p>
    <w:p w14:paraId="3238C6C8" w14:textId="77777777" w:rsidR="0041677F" w:rsidRPr="00091FC2" w:rsidRDefault="0041677F" w:rsidP="00A8297E">
      <w:pPr>
        <w:rPr>
          <w:i/>
          <w:iCs/>
        </w:rPr>
      </w:pPr>
    </w:p>
    <w:p w14:paraId="2CF4099A" w14:textId="77777777" w:rsidR="00B915F3" w:rsidRPr="00091FC2" w:rsidRDefault="00B915F3" w:rsidP="00A8297E">
      <w:pPr>
        <w:rPr>
          <w:i/>
        </w:rPr>
      </w:pPr>
      <w:r w:rsidRPr="00091FC2">
        <w:rPr>
          <w:i/>
          <w:iCs/>
        </w:rPr>
        <w:t>Finds</w:t>
      </w:r>
      <w:r w:rsidRPr="00091FC2">
        <w:t xml:space="preserve"> that the request for provisional measures is moot.</w:t>
      </w:r>
    </w:p>
    <w:p w14:paraId="472EBE8C" w14:textId="77777777" w:rsidR="0041677F" w:rsidRPr="00091FC2" w:rsidRDefault="0041677F" w:rsidP="00A8297E">
      <w:pPr>
        <w:rPr>
          <w:i/>
        </w:rPr>
      </w:pPr>
    </w:p>
    <w:p w14:paraId="2C00981F" w14:textId="67EAF09F" w:rsidR="00B14B75" w:rsidRPr="00091FC2" w:rsidRDefault="00B14B75" w:rsidP="00A8297E">
      <w:pPr>
        <w:rPr>
          <w:i/>
        </w:rPr>
      </w:pPr>
      <w:r w:rsidRPr="00091FC2">
        <w:rPr>
          <w:i/>
        </w:rPr>
        <w:t xml:space="preserve">On </w:t>
      </w:r>
      <w:r w:rsidR="00DB2A68" w:rsidRPr="00091FC2">
        <w:rPr>
          <w:i/>
        </w:rPr>
        <w:t>c</w:t>
      </w:r>
      <w:r w:rsidRPr="00091FC2">
        <w:rPr>
          <w:i/>
        </w:rPr>
        <w:t>osts</w:t>
      </w:r>
    </w:p>
    <w:p w14:paraId="6750DD2B" w14:textId="77777777" w:rsidR="0041677F" w:rsidRPr="00091FC2" w:rsidRDefault="0041677F" w:rsidP="00A8297E">
      <w:pPr>
        <w:rPr>
          <w:i/>
        </w:rPr>
      </w:pPr>
    </w:p>
    <w:p w14:paraId="2DD8AB30" w14:textId="47E0C0FC" w:rsidR="00B14B75" w:rsidRPr="00091FC2" w:rsidRDefault="008E21B7" w:rsidP="00A8297E">
      <w:r w:rsidRPr="00091FC2">
        <w:rPr>
          <w:i/>
        </w:rPr>
        <w:t>Order</w:t>
      </w:r>
      <w:r w:rsidR="00B14B75" w:rsidRPr="00091FC2">
        <w:rPr>
          <w:i/>
        </w:rPr>
        <w:t xml:space="preserve">s </w:t>
      </w:r>
      <w:r w:rsidR="00B14B75" w:rsidRPr="00091FC2">
        <w:t xml:space="preserve">that </w:t>
      </w:r>
      <w:r w:rsidR="004B6B87" w:rsidRPr="00091FC2">
        <w:t>eac</w:t>
      </w:r>
      <w:r w:rsidRPr="00091FC2">
        <w:t>h P</w:t>
      </w:r>
      <w:r w:rsidR="004B6B87" w:rsidRPr="00091FC2">
        <w:t xml:space="preserve">arty shall bear its </w:t>
      </w:r>
      <w:r w:rsidR="00977D7F" w:rsidRPr="00091FC2">
        <w:t xml:space="preserve">own </w:t>
      </w:r>
      <w:r w:rsidR="004B6B87" w:rsidRPr="00091FC2">
        <w:t>costs</w:t>
      </w:r>
      <w:r w:rsidR="00B14B75" w:rsidRPr="00091FC2">
        <w:t>.</w:t>
      </w:r>
    </w:p>
    <w:p w14:paraId="6C2C26AD" w14:textId="77777777" w:rsidR="00B14B75" w:rsidRPr="00091FC2" w:rsidRDefault="00B14B75" w:rsidP="00A8297E"/>
    <w:p w14:paraId="42A1B749" w14:textId="77777777" w:rsidR="00EE0A5E" w:rsidRPr="00091FC2" w:rsidRDefault="00EE0A5E" w:rsidP="00A8297E"/>
    <w:p w14:paraId="74D4BDAB" w14:textId="77777777" w:rsidR="00B14B75" w:rsidRPr="00091FC2" w:rsidRDefault="00B14B75" w:rsidP="00A8297E">
      <w:r w:rsidRPr="00091FC2">
        <w:t xml:space="preserve">Signed: </w:t>
      </w:r>
    </w:p>
    <w:p w14:paraId="4652DDD3" w14:textId="77777777" w:rsidR="00EE0A5E" w:rsidRPr="00091FC2" w:rsidRDefault="00EE0A5E" w:rsidP="00A8297E"/>
    <w:p w14:paraId="024D3D13" w14:textId="77777777" w:rsidR="003C36A3" w:rsidRPr="00091FC2" w:rsidRDefault="003C36A3" w:rsidP="00A8297E">
      <w:r w:rsidRPr="00091FC2">
        <w:t>Blaise TCHIKAYA, Vice-President;</w:t>
      </w:r>
    </w:p>
    <w:p w14:paraId="7414CF80" w14:textId="77777777" w:rsidR="00EE0A5E" w:rsidRPr="00091FC2" w:rsidRDefault="00EE0A5E" w:rsidP="00A8297E"/>
    <w:p w14:paraId="682CB59A" w14:textId="3D8424CF" w:rsidR="00B14B75" w:rsidRPr="00091FC2" w:rsidRDefault="00B14B75" w:rsidP="00A8297E">
      <w:r w:rsidRPr="00091FC2">
        <w:t xml:space="preserve">Ben KIOKO, </w:t>
      </w:r>
      <w:r w:rsidR="003C36A3" w:rsidRPr="00091FC2">
        <w:t>Judge</w:t>
      </w:r>
      <w:r w:rsidRPr="00091FC2">
        <w:t>;</w:t>
      </w:r>
    </w:p>
    <w:p w14:paraId="5D695843" w14:textId="77777777" w:rsidR="00EE0A5E" w:rsidRPr="00091FC2" w:rsidRDefault="00EE0A5E" w:rsidP="00A8297E"/>
    <w:p w14:paraId="163FBB87" w14:textId="77777777" w:rsidR="00B14B75" w:rsidRPr="00091FC2" w:rsidRDefault="00B14B75" w:rsidP="00A8297E">
      <w:r w:rsidRPr="00091FC2">
        <w:t xml:space="preserve">Rafaâ BEN ACHOUR, Judge; </w:t>
      </w:r>
    </w:p>
    <w:p w14:paraId="2D6BD86F" w14:textId="77777777" w:rsidR="00EE0A5E" w:rsidRPr="00091FC2" w:rsidRDefault="00EE0A5E" w:rsidP="00A8297E"/>
    <w:p w14:paraId="650AF766" w14:textId="77777777" w:rsidR="00B14B75" w:rsidRPr="00091FC2" w:rsidRDefault="00B14B75" w:rsidP="00A8297E">
      <w:r w:rsidRPr="00091FC2">
        <w:t xml:space="preserve">Suzanne MENGUE, Judge; </w:t>
      </w:r>
    </w:p>
    <w:p w14:paraId="1D5AE8DA" w14:textId="77777777" w:rsidR="00EE0A5E" w:rsidRPr="00091FC2" w:rsidRDefault="00EE0A5E" w:rsidP="00A8297E"/>
    <w:p w14:paraId="5A9812C6" w14:textId="77777777" w:rsidR="00B14B75" w:rsidRPr="00091FC2" w:rsidRDefault="00B14B75" w:rsidP="00A8297E">
      <w:r w:rsidRPr="00091FC2">
        <w:t>Tujilane R. CHIZUMILA, Judge;</w:t>
      </w:r>
    </w:p>
    <w:p w14:paraId="43A3B475" w14:textId="77777777" w:rsidR="00EE0A5E" w:rsidRPr="00091FC2" w:rsidRDefault="00EE0A5E" w:rsidP="00A8297E"/>
    <w:p w14:paraId="17151577" w14:textId="77777777" w:rsidR="00B14B75" w:rsidRPr="00091FC2" w:rsidRDefault="00B14B75" w:rsidP="00A8297E">
      <w:r w:rsidRPr="00091FC2">
        <w:t>Chafika BENSAOULA, Judge;</w:t>
      </w:r>
    </w:p>
    <w:p w14:paraId="3557157C" w14:textId="77777777" w:rsidR="00317121" w:rsidRPr="00091FC2" w:rsidRDefault="00317121" w:rsidP="00A8297E"/>
    <w:p w14:paraId="5BE4CF3D" w14:textId="6A46B33D" w:rsidR="00B14B75" w:rsidRPr="00091FC2" w:rsidRDefault="00B14B75" w:rsidP="00A8297E">
      <w:r w:rsidRPr="00091FC2">
        <w:t>Stella I. ANUKAM, Judge;</w:t>
      </w:r>
    </w:p>
    <w:p w14:paraId="73EF41DB" w14:textId="0BDC35FB" w:rsidR="003C36A3" w:rsidRPr="00091FC2" w:rsidRDefault="003C36A3" w:rsidP="00A8297E">
      <w:r w:rsidRPr="00091FC2">
        <w:t xml:space="preserve">Dumisa B. NTSEBEZA; Judge; </w:t>
      </w:r>
    </w:p>
    <w:p w14:paraId="51338258" w14:textId="77777777" w:rsidR="00EE0A5E" w:rsidRPr="00091FC2" w:rsidRDefault="00EE0A5E" w:rsidP="00A8297E"/>
    <w:p w14:paraId="3CBE6193" w14:textId="09387EAD" w:rsidR="003C36A3" w:rsidRPr="00091FC2" w:rsidRDefault="003C36A3" w:rsidP="00A8297E">
      <w:r w:rsidRPr="00091FC2">
        <w:t>Modibo SACKO; Judge;</w:t>
      </w:r>
    </w:p>
    <w:p w14:paraId="401C40E3" w14:textId="77777777" w:rsidR="00EE0A5E" w:rsidRPr="00091FC2" w:rsidRDefault="00EE0A5E" w:rsidP="00A8297E"/>
    <w:p w14:paraId="57607742" w14:textId="55441F35" w:rsidR="008E21B7" w:rsidRPr="00091FC2" w:rsidRDefault="008E21B7" w:rsidP="00A8297E">
      <w:r w:rsidRPr="00091FC2">
        <w:t xml:space="preserve">Dennis D. ADJEI; Judge; </w:t>
      </w:r>
    </w:p>
    <w:p w14:paraId="16F212EB" w14:textId="77777777" w:rsidR="00EE0A5E" w:rsidRPr="00091FC2" w:rsidRDefault="00EE0A5E" w:rsidP="00A8297E"/>
    <w:p w14:paraId="41368E18" w14:textId="77777777" w:rsidR="00B14B75" w:rsidRPr="00091FC2" w:rsidRDefault="00B14B75" w:rsidP="00A8297E">
      <w:r w:rsidRPr="00091FC2">
        <w:t>and Robert ENO, Registrar.</w:t>
      </w:r>
    </w:p>
    <w:p w14:paraId="5FCC7BAA" w14:textId="77777777" w:rsidR="00EE0A5E" w:rsidRPr="00091FC2" w:rsidRDefault="00EE0A5E" w:rsidP="00A8297E"/>
    <w:p w14:paraId="78CDC601" w14:textId="77777777" w:rsidR="009B7224" w:rsidRPr="00091FC2" w:rsidRDefault="009B7224" w:rsidP="00A8297E"/>
    <w:p w14:paraId="294497EF" w14:textId="6EECD63C" w:rsidR="001210D8" w:rsidRPr="00091FC2" w:rsidRDefault="001210D8" w:rsidP="00A8297E">
      <w:pPr>
        <w:rPr>
          <w:bCs/>
        </w:rPr>
      </w:pPr>
      <w:r w:rsidRPr="00091FC2">
        <w:rPr>
          <w:bCs/>
        </w:rPr>
        <w:t xml:space="preserve">In accordance with Article 28(7) of the Protocol and Rule 70(1) of the Rules, </w:t>
      </w:r>
      <w:r w:rsidR="008D4BAE" w:rsidRPr="00091FC2">
        <w:rPr>
          <w:bCs/>
        </w:rPr>
        <w:t xml:space="preserve">the Joint Dissenting Opinion of Justice Ben KIOKO, </w:t>
      </w:r>
      <w:r w:rsidR="001F7D16" w:rsidRPr="00091FC2">
        <w:rPr>
          <w:bCs/>
        </w:rPr>
        <w:t xml:space="preserve">Justice </w:t>
      </w:r>
      <w:r w:rsidR="008D4BAE" w:rsidRPr="00091FC2">
        <w:rPr>
          <w:bCs/>
        </w:rPr>
        <w:t>Tujilane R. Chizumila and Justice Dennis D. ADJEI</w:t>
      </w:r>
      <w:r w:rsidR="001F7D16" w:rsidRPr="00091FC2">
        <w:rPr>
          <w:bCs/>
        </w:rPr>
        <w:t>;</w:t>
      </w:r>
      <w:r w:rsidR="008D4BAE" w:rsidRPr="00091FC2">
        <w:rPr>
          <w:bCs/>
        </w:rPr>
        <w:t xml:space="preserve"> </w:t>
      </w:r>
      <w:r w:rsidR="00025CDD" w:rsidRPr="00091FC2">
        <w:rPr>
          <w:bCs/>
        </w:rPr>
        <w:t>the Dissenting Opinion of Justice Chafika BENSAOULA</w:t>
      </w:r>
      <w:r w:rsidR="001F7D16" w:rsidRPr="00091FC2">
        <w:rPr>
          <w:bCs/>
        </w:rPr>
        <w:t>;</w:t>
      </w:r>
      <w:r w:rsidR="00025CDD" w:rsidRPr="00091FC2">
        <w:rPr>
          <w:bCs/>
        </w:rPr>
        <w:t xml:space="preserve"> and </w:t>
      </w:r>
      <w:r w:rsidRPr="00091FC2">
        <w:rPr>
          <w:bCs/>
        </w:rPr>
        <w:t xml:space="preserve">the </w:t>
      </w:r>
      <w:r w:rsidR="00317121" w:rsidRPr="00091FC2">
        <w:rPr>
          <w:bCs/>
        </w:rPr>
        <w:t>Separate Opinion of Justice Blaise Tchikaya, Vice President</w:t>
      </w:r>
      <w:r w:rsidR="00C333E7" w:rsidRPr="00091FC2">
        <w:rPr>
          <w:bCs/>
        </w:rPr>
        <w:t xml:space="preserve">, are </w:t>
      </w:r>
      <w:r w:rsidRPr="00091FC2">
        <w:rPr>
          <w:bCs/>
        </w:rPr>
        <w:t xml:space="preserve">appended to this Judgment. </w:t>
      </w:r>
    </w:p>
    <w:p w14:paraId="1EB5E977" w14:textId="43CA3965" w:rsidR="001210D8" w:rsidRPr="00091FC2" w:rsidRDefault="001210D8" w:rsidP="00A8297E"/>
    <w:p w14:paraId="4008B640" w14:textId="77777777" w:rsidR="001210D8" w:rsidRPr="00091FC2" w:rsidRDefault="001210D8" w:rsidP="00A8297E"/>
    <w:p w14:paraId="7474116A" w14:textId="06774FD7" w:rsidR="00B14B75" w:rsidRPr="00D33EC8" w:rsidRDefault="00FA4FB1" w:rsidP="00A8297E">
      <w:r w:rsidRPr="00091FC2">
        <w:t>D</w:t>
      </w:r>
      <w:r w:rsidR="00B14B75" w:rsidRPr="00091FC2">
        <w:t>o</w:t>
      </w:r>
      <w:r w:rsidR="008E21B7" w:rsidRPr="00091FC2">
        <w:t xml:space="preserve">ne at Arusha, this </w:t>
      </w:r>
      <w:r w:rsidR="00340359" w:rsidRPr="00091FC2">
        <w:t xml:space="preserve">Thirteenth </w:t>
      </w:r>
      <w:r w:rsidR="008E21B7" w:rsidRPr="00091FC2">
        <w:t xml:space="preserve">Day of </w:t>
      </w:r>
      <w:r w:rsidR="001210D8" w:rsidRPr="00091FC2">
        <w:t xml:space="preserve">June </w:t>
      </w:r>
      <w:r w:rsidR="00B14B75" w:rsidRPr="00091FC2">
        <w:t>in the year Two Thousand and Twenty</w:t>
      </w:r>
      <w:r w:rsidR="0046557B" w:rsidRPr="00091FC2">
        <w:t>-Three</w:t>
      </w:r>
      <w:r w:rsidR="00B14B75" w:rsidRPr="00091FC2">
        <w:t xml:space="preserve">, in English and French, </w:t>
      </w:r>
      <w:r w:rsidR="008E21B7" w:rsidRPr="00091FC2">
        <w:t xml:space="preserve">the </w:t>
      </w:r>
      <w:r w:rsidR="00B14B75" w:rsidRPr="00091FC2">
        <w:t>English text being authoritative.</w:t>
      </w:r>
      <w:r w:rsidR="00B14B75" w:rsidRPr="00D33EC8">
        <w:t xml:space="preserve"> </w:t>
      </w:r>
    </w:p>
    <w:p w14:paraId="23CCFCD5" w14:textId="77777777" w:rsidR="00DA1071" w:rsidRPr="00D33EC8" w:rsidRDefault="00DA1071" w:rsidP="00A8297E"/>
    <w:sectPr w:rsidR="00DA1071" w:rsidRPr="00D33EC8" w:rsidSect="0099246F">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D0A9" w14:textId="77777777" w:rsidR="007F2245" w:rsidRDefault="007F2245" w:rsidP="00B14B75">
      <w:r>
        <w:separator/>
      </w:r>
    </w:p>
  </w:endnote>
  <w:endnote w:type="continuationSeparator" w:id="0">
    <w:p w14:paraId="764664E2" w14:textId="77777777" w:rsidR="007F2245" w:rsidRDefault="007F2245" w:rsidP="00B1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391008"/>
      <w:docPartObj>
        <w:docPartGallery w:val="Page Numbers (Bottom of Page)"/>
        <w:docPartUnique/>
      </w:docPartObj>
    </w:sdtPr>
    <w:sdtEndPr>
      <w:rPr>
        <w:rFonts w:ascii="Arial" w:hAnsi="Arial" w:cs="Arial"/>
        <w:noProof/>
      </w:rPr>
    </w:sdtEndPr>
    <w:sdtContent>
      <w:p w14:paraId="6F77CC41" w14:textId="686B178B" w:rsidR="00DA3C78" w:rsidRPr="00FA2BF0" w:rsidRDefault="00DA3C78">
        <w:pPr>
          <w:pStyle w:val="Footer"/>
          <w:jc w:val="center"/>
          <w:rPr>
            <w:rFonts w:ascii="Arial" w:hAnsi="Arial" w:cs="Arial"/>
          </w:rPr>
        </w:pPr>
        <w:r w:rsidRPr="00FA2BF0">
          <w:rPr>
            <w:rFonts w:ascii="Arial" w:hAnsi="Arial" w:cs="Arial"/>
          </w:rPr>
          <w:fldChar w:fldCharType="begin"/>
        </w:r>
        <w:r w:rsidRPr="00FA2BF0">
          <w:rPr>
            <w:rFonts w:ascii="Arial" w:hAnsi="Arial" w:cs="Arial"/>
          </w:rPr>
          <w:instrText xml:space="preserve"> PAGE   \* MERGEFORMAT </w:instrText>
        </w:r>
        <w:r w:rsidRPr="00FA2BF0">
          <w:rPr>
            <w:rFonts w:ascii="Arial" w:hAnsi="Arial" w:cs="Arial"/>
          </w:rPr>
          <w:fldChar w:fldCharType="separate"/>
        </w:r>
        <w:r w:rsidR="0072528D">
          <w:rPr>
            <w:rFonts w:ascii="Arial" w:hAnsi="Arial" w:cs="Arial"/>
            <w:noProof/>
          </w:rPr>
          <w:t>2</w:t>
        </w:r>
        <w:r w:rsidRPr="00FA2BF0">
          <w:rPr>
            <w:rFonts w:ascii="Arial" w:hAnsi="Arial" w:cs="Arial"/>
            <w:noProof/>
          </w:rPr>
          <w:fldChar w:fldCharType="end"/>
        </w:r>
      </w:p>
    </w:sdtContent>
  </w:sdt>
  <w:p w14:paraId="61E3C9DB" w14:textId="77777777" w:rsidR="00DA3C78" w:rsidRDefault="00DA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61B5" w14:textId="77777777" w:rsidR="007F2245" w:rsidRDefault="007F2245" w:rsidP="00B14B75">
      <w:r>
        <w:separator/>
      </w:r>
    </w:p>
  </w:footnote>
  <w:footnote w:type="continuationSeparator" w:id="0">
    <w:p w14:paraId="646ADFDE" w14:textId="77777777" w:rsidR="007F2245" w:rsidRDefault="007F2245" w:rsidP="00B14B75">
      <w:r>
        <w:continuationSeparator/>
      </w:r>
    </w:p>
  </w:footnote>
  <w:footnote w:id="1">
    <w:p w14:paraId="756767E0" w14:textId="276DF259" w:rsidR="00DA3C78" w:rsidRPr="007227F1" w:rsidRDefault="00DA3C78" w:rsidP="007227F1">
      <w:pPr>
        <w:pStyle w:val="FootnoteText"/>
        <w:jc w:val="both"/>
        <w:rPr>
          <w:rFonts w:ascii="Arial" w:hAnsi="Arial" w:cs="Arial"/>
          <w:lang w:val="en-GB"/>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color w:val="000000" w:themeColor="text1"/>
        </w:rPr>
        <w:t>Andrew Ambrose Cheusi v. United Republic of Tanzania</w:t>
      </w:r>
      <w:r w:rsidRPr="007227F1">
        <w:rPr>
          <w:rFonts w:ascii="Arial" w:hAnsi="Arial" w:cs="Arial"/>
          <w:color w:val="000000" w:themeColor="text1"/>
        </w:rPr>
        <w:t xml:space="preserve"> </w:t>
      </w:r>
      <w:r>
        <w:rPr>
          <w:rFonts w:ascii="Arial" w:hAnsi="Arial" w:cs="Arial"/>
          <w:color w:val="000000" w:themeColor="text1"/>
        </w:rPr>
        <w:t>(j</w:t>
      </w:r>
      <w:r w:rsidRPr="007227F1">
        <w:rPr>
          <w:rFonts w:ascii="Arial" w:hAnsi="Arial" w:cs="Arial"/>
          <w:color w:val="000000" w:themeColor="text1"/>
        </w:rPr>
        <w:t>udgment</w:t>
      </w:r>
      <w:r>
        <w:rPr>
          <w:rFonts w:ascii="Arial" w:hAnsi="Arial" w:cs="Arial"/>
          <w:color w:val="000000" w:themeColor="text1"/>
        </w:rPr>
        <w:t>)</w:t>
      </w:r>
      <w:r w:rsidRPr="007227F1">
        <w:rPr>
          <w:rFonts w:ascii="Arial" w:hAnsi="Arial" w:cs="Arial"/>
          <w:color w:val="000000" w:themeColor="text1"/>
        </w:rPr>
        <w:t xml:space="preserve"> </w:t>
      </w:r>
      <w:r>
        <w:rPr>
          <w:rFonts w:ascii="Arial" w:hAnsi="Arial" w:cs="Arial"/>
          <w:color w:val="000000" w:themeColor="text1"/>
        </w:rPr>
        <w:t>(</w:t>
      </w:r>
      <w:r w:rsidRPr="007227F1">
        <w:rPr>
          <w:rFonts w:ascii="Arial" w:hAnsi="Arial" w:cs="Arial"/>
          <w:color w:val="000000" w:themeColor="text1"/>
        </w:rPr>
        <w:t>26 June 2020</w:t>
      </w:r>
      <w:r>
        <w:rPr>
          <w:rFonts w:ascii="Arial" w:hAnsi="Arial" w:cs="Arial"/>
          <w:color w:val="000000" w:themeColor="text1"/>
        </w:rPr>
        <w:t>)</w:t>
      </w:r>
      <w:r w:rsidRPr="007227F1">
        <w:rPr>
          <w:rFonts w:ascii="Arial" w:hAnsi="Arial" w:cs="Arial"/>
          <w:color w:val="000000" w:themeColor="text1"/>
        </w:rPr>
        <w:t xml:space="preserve"> </w:t>
      </w:r>
      <w:r w:rsidRPr="00CB359A">
        <w:rPr>
          <w:rFonts w:ascii="Arial" w:hAnsi="Arial" w:cs="Arial"/>
        </w:rPr>
        <w:t>4 AfCLR 219</w:t>
      </w:r>
      <w:r w:rsidRPr="003625E5">
        <w:rPr>
          <w:rFonts w:ascii="Arial" w:hAnsi="Arial" w:cs="Arial"/>
          <w:color w:val="000000" w:themeColor="text1"/>
        </w:rPr>
        <w:t>,</w:t>
      </w:r>
      <w:r w:rsidRPr="007227F1">
        <w:rPr>
          <w:rFonts w:ascii="Arial" w:hAnsi="Arial" w:cs="Arial"/>
          <w:color w:val="000000" w:themeColor="text1"/>
        </w:rPr>
        <w:t xml:space="preserve"> § 38.</w:t>
      </w:r>
      <w:r w:rsidRPr="007227F1">
        <w:rPr>
          <w:rFonts w:ascii="Arial" w:hAnsi="Arial" w:cs="Arial"/>
        </w:rPr>
        <w:t xml:space="preserve"> </w:t>
      </w:r>
    </w:p>
  </w:footnote>
  <w:footnote w:id="2">
    <w:p w14:paraId="2864AD94" w14:textId="43E7682C" w:rsidR="00DA3C78" w:rsidRPr="00C74C23" w:rsidRDefault="00DA3C78" w:rsidP="00066481">
      <w:pPr>
        <w:pStyle w:val="FootnoteText"/>
        <w:jc w:val="both"/>
        <w:rPr>
          <w:rFonts w:ascii="Arial" w:hAnsi="Arial" w:cs="Arial"/>
        </w:rPr>
      </w:pPr>
      <w:r w:rsidRPr="00C74C23">
        <w:rPr>
          <w:rStyle w:val="FootnoteReference"/>
          <w:rFonts w:ascii="Arial" w:hAnsi="Arial" w:cs="Arial"/>
        </w:rPr>
        <w:footnoteRef/>
      </w:r>
      <w:r w:rsidRPr="00C74C23">
        <w:rPr>
          <w:rFonts w:ascii="Arial" w:hAnsi="Arial" w:cs="Arial"/>
        </w:rPr>
        <w:t xml:space="preserve"> </w:t>
      </w:r>
      <w:r w:rsidRPr="00D542E7">
        <w:rPr>
          <w:rFonts w:ascii="Arial" w:hAnsi="Arial" w:cs="Arial"/>
          <w:bCs/>
        </w:rPr>
        <w:t>The record of proceedings before the High Court shows that the Applicant</w:t>
      </w:r>
      <w:r>
        <w:rPr>
          <w:rFonts w:ascii="Arial" w:hAnsi="Arial" w:cs="Arial"/>
          <w:bCs/>
        </w:rPr>
        <w:t>’</w:t>
      </w:r>
      <w:r w:rsidRPr="00D542E7">
        <w:rPr>
          <w:rFonts w:ascii="Arial" w:hAnsi="Arial" w:cs="Arial"/>
          <w:bCs/>
        </w:rPr>
        <w:t>s two (2) co-accused died before the trial proceedings commenced but their dates of death are not specified.</w:t>
      </w:r>
      <w:r w:rsidRPr="00C74C23">
        <w:rPr>
          <w:rFonts w:ascii="Arial" w:hAnsi="Arial" w:cs="Arial"/>
        </w:rPr>
        <w:t xml:space="preserve"> </w:t>
      </w:r>
    </w:p>
  </w:footnote>
  <w:footnote w:id="3">
    <w:p w14:paraId="0FCE2431" w14:textId="501DBE85" w:rsidR="00DA3C78" w:rsidRPr="007227F1" w:rsidRDefault="00DA3C78" w:rsidP="007227F1">
      <w:pPr>
        <w:pStyle w:val="FootnoteText"/>
        <w:jc w:val="both"/>
        <w:rPr>
          <w:rFonts w:ascii="Arial" w:hAnsi="Arial" w:cs="Arial"/>
          <w:lang w:val="en-GB"/>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lang w:val="en-GB"/>
        </w:rPr>
        <w:t>The Notices to file these documents were based on Rule 51(1) of the Rules of Court, which provides that:</w:t>
      </w:r>
      <w:r w:rsidRPr="007227F1">
        <w:rPr>
          <w:rFonts w:ascii="Arial" w:hAnsi="Arial" w:cs="Arial"/>
        </w:rPr>
        <w:t xml:space="preserve"> “The Court may, during the course of the proceedings and at any other time the Court deems it appropriate, call upon the parties to file any pertinent document or to provide any relevant explanation. The Court shall formally take note of any failure to comply.”</w:t>
      </w:r>
      <w:r w:rsidRPr="007227F1">
        <w:rPr>
          <w:rFonts w:ascii="Arial" w:hAnsi="Arial" w:cs="Arial"/>
          <w:lang w:val="en-GB"/>
        </w:rPr>
        <w:t xml:space="preserve"> </w:t>
      </w:r>
    </w:p>
  </w:footnote>
  <w:footnote w:id="4">
    <w:p w14:paraId="3DC5E5F5" w14:textId="77777777" w:rsidR="00DA3C78" w:rsidRPr="007227F1" w:rsidRDefault="00DA3C78" w:rsidP="0006648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Rule 59(1) of the Rules of Court, 1 September 2020. </w:t>
      </w:r>
    </w:p>
  </w:footnote>
  <w:footnote w:id="5">
    <w:p w14:paraId="7C6CABA1" w14:textId="556516CB" w:rsidR="00DA3C78" w:rsidRPr="00D542E7" w:rsidRDefault="00DA3C78" w:rsidP="00066481">
      <w:pPr>
        <w:pStyle w:val="FootnoteText"/>
        <w:jc w:val="both"/>
        <w:rPr>
          <w:rFonts w:ascii="Arial" w:hAnsi="Arial" w:cs="Arial"/>
          <w:bCs/>
        </w:rPr>
      </w:pPr>
      <w:r w:rsidRPr="00066481">
        <w:rPr>
          <w:rStyle w:val="FootnoteReference"/>
          <w:rFonts w:ascii="Arial" w:hAnsi="Arial" w:cs="Arial"/>
          <w:b/>
          <w:bCs/>
        </w:rPr>
        <w:footnoteRef/>
      </w:r>
      <w:r w:rsidRPr="00066481">
        <w:rPr>
          <w:rFonts w:ascii="Arial" w:hAnsi="Arial" w:cs="Arial"/>
          <w:b/>
          <w:bCs/>
        </w:rPr>
        <w:t xml:space="preserve"> </w:t>
      </w:r>
      <w:r w:rsidRPr="00D542E7">
        <w:rPr>
          <w:rFonts w:ascii="Arial" w:hAnsi="Arial" w:cs="Arial"/>
          <w:bCs/>
        </w:rPr>
        <w:t xml:space="preserve">Rule 50(2)(e) and (f) of the Rules of Court 1 September 2020. </w:t>
      </w:r>
    </w:p>
  </w:footnote>
  <w:footnote w:id="6">
    <w:p w14:paraId="61C212E7" w14:textId="4C46681A" w:rsidR="00DA3C78" w:rsidRPr="007227F1" w:rsidRDefault="00DA3C78" w:rsidP="007227F1">
      <w:pPr>
        <w:pStyle w:val="FootnoteText"/>
        <w:contextualSpacing/>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Kalebi Elisamehe v. United Republic of Tanzania</w:t>
      </w:r>
      <w:r w:rsidRPr="007227F1">
        <w:rPr>
          <w:rFonts w:ascii="Arial" w:hAnsi="Arial" w:cs="Arial"/>
        </w:rPr>
        <w:t xml:space="preserve">, </w:t>
      </w:r>
      <w:r>
        <w:rPr>
          <w:rFonts w:ascii="Arial" w:hAnsi="Arial" w:cs="Arial"/>
        </w:rPr>
        <w:t>(j</w:t>
      </w:r>
      <w:r w:rsidRPr="007227F1">
        <w:rPr>
          <w:rFonts w:ascii="Arial" w:hAnsi="Arial" w:cs="Arial"/>
        </w:rPr>
        <w:t>udgment</w:t>
      </w:r>
      <w:r>
        <w:rPr>
          <w:rFonts w:ascii="Arial" w:hAnsi="Arial" w:cs="Arial"/>
        </w:rPr>
        <w:t>)</w:t>
      </w:r>
      <w:r w:rsidRPr="007227F1">
        <w:rPr>
          <w:rFonts w:ascii="Arial" w:hAnsi="Arial" w:cs="Arial"/>
        </w:rPr>
        <w:t xml:space="preserve"> </w:t>
      </w:r>
      <w:r>
        <w:rPr>
          <w:rFonts w:ascii="Arial" w:hAnsi="Arial" w:cs="Arial"/>
        </w:rPr>
        <w:t>(</w:t>
      </w:r>
      <w:r w:rsidRPr="007227F1">
        <w:rPr>
          <w:rFonts w:ascii="Arial" w:hAnsi="Arial" w:cs="Arial"/>
        </w:rPr>
        <w:t>26 June 2020</w:t>
      </w:r>
      <w:r>
        <w:rPr>
          <w:rFonts w:ascii="Arial" w:hAnsi="Arial" w:cs="Arial"/>
        </w:rPr>
        <w:t>)</w:t>
      </w:r>
      <w:r w:rsidRPr="007227F1">
        <w:rPr>
          <w:rFonts w:ascii="Arial" w:hAnsi="Arial" w:cs="Arial"/>
        </w:rPr>
        <w:t xml:space="preserve"> </w:t>
      </w:r>
      <w:r w:rsidRPr="00CB359A">
        <w:rPr>
          <w:rFonts w:ascii="Arial" w:hAnsi="Arial" w:cs="Arial"/>
        </w:rPr>
        <w:t>4 AfCLR 265</w:t>
      </w:r>
      <w:r w:rsidRPr="007227F1">
        <w:rPr>
          <w:rFonts w:ascii="Arial" w:hAnsi="Arial" w:cs="Arial"/>
        </w:rPr>
        <w:t xml:space="preserve">, § 18. </w:t>
      </w:r>
    </w:p>
  </w:footnote>
  <w:footnote w:id="7">
    <w:p w14:paraId="3593BF64" w14:textId="7B221E9B"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iCs/>
        </w:rPr>
        <w:t>Ernest Francis Mtingwi v. Republic of Malawi</w:t>
      </w:r>
      <w:r w:rsidRPr="007227F1">
        <w:rPr>
          <w:rFonts w:ascii="Arial" w:hAnsi="Arial" w:cs="Arial"/>
          <w:iCs/>
        </w:rPr>
        <w:t xml:space="preserve"> (jurisdiction) (15 March 2013)</w:t>
      </w:r>
      <w:r w:rsidRPr="007227F1">
        <w:rPr>
          <w:rFonts w:ascii="Arial" w:hAnsi="Arial" w:cs="Arial"/>
          <w:i/>
          <w:iCs/>
        </w:rPr>
        <w:t xml:space="preserve"> </w:t>
      </w:r>
      <w:r w:rsidRPr="007227F1">
        <w:rPr>
          <w:rFonts w:ascii="Arial" w:hAnsi="Arial" w:cs="Arial"/>
          <w:iCs/>
        </w:rPr>
        <w:t xml:space="preserve">1 AfCLR 190, </w:t>
      </w:r>
      <w:r w:rsidRPr="007227F1">
        <w:rPr>
          <w:rFonts w:ascii="Arial" w:hAnsi="Arial" w:cs="Arial"/>
          <w:bCs/>
          <w:iCs/>
        </w:rPr>
        <w:t xml:space="preserve">§ </w:t>
      </w:r>
      <w:r w:rsidRPr="007227F1">
        <w:rPr>
          <w:rFonts w:ascii="Arial" w:hAnsi="Arial" w:cs="Arial"/>
          <w:iCs/>
        </w:rPr>
        <w:t xml:space="preserve">14; </w:t>
      </w:r>
      <w:r w:rsidRPr="007227F1">
        <w:rPr>
          <w:rFonts w:ascii="Arial" w:hAnsi="Arial" w:cs="Arial"/>
          <w:i/>
          <w:iCs/>
        </w:rPr>
        <w:t>Kennedy Ivan v. United Republic of Tanzania</w:t>
      </w:r>
      <w:r w:rsidRPr="007227F1">
        <w:rPr>
          <w:rFonts w:ascii="Arial" w:hAnsi="Arial" w:cs="Arial"/>
          <w:iCs/>
        </w:rPr>
        <w:t xml:space="preserve"> (merits) (28 September 2017) </w:t>
      </w:r>
      <w:r w:rsidRPr="007227F1">
        <w:rPr>
          <w:rFonts w:ascii="Arial" w:hAnsi="Arial" w:cs="Arial"/>
        </w:rPr>
        <w:t>2 AfCLR 65</w:t>
      </w:r>
      <w:r w:rsidRPr="007227F1">
        <w:rPr>
          <w:rFonts w:ascii="Arial" w:hAnsi="Arial" w:cs="Arial"/>
          <w:iCs/>
        </w:rPr>
        <w:t>,</w:t>
      </w:r>
      <w:r w:rsidRPr="007227F1">
        <w:rPr>
          <w:rFonts w:ascii="Arial" w:hAnsi="Arial" w:cs="Arial"/>
          <w:i/>
          <w:iCs/>
        </w:rPr>
        <w:t xml:space="preserve"> </w:t>
      </w:r>
      <w:r w:rsidRPr="007227F1">
        <w:rPr>
          <w:rFonts w:ascii="Arial" w:hAnsi="Arial" w:cs="Arial"/>
          <w:iCs/>
        </w:rPr>
        <w:t xml:space="preserve">§ 26; </w:t>
      </w:r>
      <w:r w:rsidRPr="007227F1">
        <w:rPr>
          <w:rFonts w:ascii="Arial" w:hAnsi="Arial" w:cs="Arial"/>
          <w:i/>
          <w:iCs/>
        </w:rPr>
        <w:t>Nguza Viking (Babu Seya) and Johnson Nguza (Papi Kocha) v. United Republic of Tanzania</w:t>
      </w:r>
      <w:r w:rsidRPr="007227F1">
        <w:rPr>
          <w:rFonts w:ascii="Arial" w:hAnsi="Arial" w:cs="Arial"/>
          <w:iCs/>
        </w:rPr>
        <w:t xml:space="preserve"> (merits) (23 March 2018) </w:t>
      </w:r>
      <w:r w:rsidRPr="007227F1">
        <w:rPr>
          <w:rFonts w:ascii="Arial" w:hAnsi="Arial" w:cs="Arial"/>
        </w:rPr>
        <w:t>2 AfCLR 287</w:t>
      </w:r>
      <w:r w:rsidRPr="007227F1">
        <w:rPr>
          <w:rFonts w:ascii="Arial" w:hAnsi="Arial" w:cs="Arial"/>
          <w:iCs/>
        </w:rPr>
        <w:t>, § 35.</w:t>
      </w:r>
    </w:p>
  </w:footnote>
  <w:footnote w:id="8">
    <w:p w14:paraId="002237AC" w14:textId="0C93B16F"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Armand Guehi v. United Republic of Tanzania</w:t>
      </w:r>
      <w:r w:rsidRPr="007227F1">
        <w:rPr>
          <w:rFonts w:ascii="Arial" w:hAnsi="Arial" w:cs="Arial"/>
        </w:rPr>
        <w:t xml:space="preserve"> (merits and reparations) (7 December 2018) 2 AfCLR 477, § 33; </w:t>
      </w:r>
      <w:r w:rsidRPr="007227F1">
        <w:rPr>
          <w:rFonts w:ascii="Arial" w:hAnsi="Arial" w:cs="Arial"/>
          <w:i/>
        </w:rPr>
        <w:t>Werema Wangoko Werema and Another v. United Republic of Tanzania</w:t>
      </w:r>
      <w:r w:rsidRPr="007227F1">
        <w:rPr>
          <w:rFonts w:ascii="Arial" w:hAnsi="Arial" w:cs="Arial"/>
        </w:rPr>
        <w:t xml:space="preserve"> (merits) (7 December 2018) 2 AfCLR 520, § 29 and </w:t>
      </w:r>
      <w:r w:rsidRPr="007227F1">
        <w:rPr>
          <w:rFonts w:ascii="Arial" w:hAnsi="Arial" w:cs="Arial"/>
          <w:i/>
        </w:rPr>
        <w:t>Alex Thomas v. United Republic of Tanzania</w:t>
      </w:r>
      <w:r w:rsidRPr="007227F1">
        <w:rPr>
          <w:rFonts w:ascii="Arial" w:hAnsi="Arial" w:cs="Arial"/>
        </w:rPr>
        <w:t xml:space="preserve"> (merits) (20 November 2015) 1 AfCLR 465, § 130.</w:t>
      </w:r>
    </w:p>
  </w:footnote>
  <w:footnote w:id="9">
    <w:p w14:paraId="124F11A0" w14:textId="0DD2471D"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Mohamed Abubakari</w:t>
      </w:r>
      <w:r w:rsidRPr="007227F1">
        <w:rPr>
          <w:rFonts w:ascii="Arial" w:hAnsi="Arial" w:cs="Arial"/>
        </w:rPr>
        <w:t xml:space="preserve"> </w:t>
      </w:r>
      <w:r w:rsidRPr="007227F1">
        <w:rPr>
          <w:rFonts w:ascii="Arial" w:hAnsi="Arial" w:cs="Arial"/>
          <w:i/>
        </w:rPr>
        <w:t>v. United Republic of Tanzania</w:t>
      </w:r>
      <w:r w:rsidRPr="007227F1">
        <w:rPr>
          <w:rFonts w:ascii="Arial" w:hAnsi="Arial" w:cs="Arial"/>
        </w:rPr>
        <w:t xml:space="preserve"> (merits) (3 June 2016) 1 AfCLR 599, §</w:t>
      </w:r>
      <w:r>
        <w:rPr>
          <w:rFonts w:ascii="Arial" w:hAnsi="Arial" w:cs="Arial"/>
        </w:rPr>
        <w:t xml:space="preserve"> </w:t>
      </w:r>
      <w:r w:rsidRPr="007227F1">
        <w:rPr>
          <w:rFonts w:ascii="Arial" w:hAnsi="Arial" w:cs="Arial"/>
        </w:rPr>
        <w:t xml:space="preserve">32. </w:t>
      </w:r>
    </w:p>
  </w:footnote>
  <w:footnote w:id="10">
    <w:p w14:paraId="1C6B9750" w14:textId="702BB5AB" w:rsidR="00DA3C78" w:rsidRPr="007227F1" w:rsidRDefault="00DA3C78" w:rsidP="007227F1">
      <w:pPr>
        <w:pStyle w:val="FootnoteText"/>
        <w:contextualSpacing/>
        <w:jc w:val="both"/>
        <w:rPr>
          <w:rFonts w:ascii="Arial" w:hAnsi="Arial" w:cs="Arial"/>
        </w:rPr>
      </w:pPr>
      <w:r w:rsidRPr="007227F1">
        <w:rPr>
          <w:rStyle w:val="FootnoteReference"/>
          <w:rFonts w:ascii="Arial" w:hAnsi="Arial" w:cs="Arial"/>
        </w:rPr>
        <w:footnoteRef/>
      </w:r>
      <w:r w:rsidRPr="007227F1">
        <w:rPr>
          <w:rFonts w:ascii="Arial" w:hAnsi="Arial" w:cs="Arial"/>
        </w:rPr>
        <w:t xml:space="preserve"> Rule 39(1) of the Rules of Court, 2 June 2010.</w:t>
      </w:r>
    </w:p>
  </w:footnote>
  <w:footnote w:id="11">
    <w:p w14:paraId="5B615D4B" w14:textId="14FC7F82" w:rsidR="00DA3C78" w:rsidRPr="007227F1" w:rsidRDefault="00DA3C78" w:rsidP="007227F1">
      <w:pPr>
        <w:jc w:val="both"/>
        <w:rPr>
          <w:rFonts w:ascii="Arial" w:hAnsi="Arial" w:cs="Arial"/>
          <w:b/>
          <w:i/>
          <w:color w:val="000000" w:themeColor="text1"/>
          <w:sz w:val="20"/>
          <w:szCs w:val="20"/>
        </w:rPr>
      </w:pPr>
      <w:r w:rsidRPr="007227F1">
        <w:rPr>
          <w:rStyle w:val="FootnoteReference"/>
          <w:rFonts w:ascii="Arial" w:hAnsi="Arial" w:cs="Arial"/>
          <w:sz w:val="20"/>
          <w:szCs w:val="20"/>
        </w:rPr>
        <w:footnoteRef/>
      </w:r>
      <w:r w:rsidRPr="007227F1">
        <w:rPr>
          <w:rFonts w:ascii="Arial" w:hAnsi="Arial" w:cs="Arial"/>
          <w:sz w:val="20"/>
          <w:szCs w:val="20"/>
          <w:lang w:val="en-US"/>
        </w:rPr>
        <w:t xml:space="preserve"> </w:t>
      </w:r>
      <w:r w:rsidRPr="007227F1">
        <w:rPr>
          <w:rFonts w:ascii="Arial" w:hAnsi="Arial" w:cs="Arial"/>
          <w:bCs/>
          <w:i/>
          <w:color w:val="000000" w:themeColor="text1"/>
          <w:sz w:val="20"/>
          <w:szCs w:val="20"/>
        </w:rPr>
        <w:t>Mtikila v. Tanzania</w:t>
      </w:r>
      <w:r w:rsidRPr="007227F1">
        <w:rPr>
          <w:rFonts w:ascii="Arial" w:hAnsi="Arial" w:cs="Arial"/>
          <w:bCs/>
          <w:color w:val="000000" w:themeColor="text1"/>
          <w:sz w:val="20"/>
          <w:szCs w:val="20"/>
        </w:rPr>
        <w:t xml:space="preserve">, (merits), </w:t>
      </w:r>
      <w:r w:rsidRPr="007227F1">
        <w:rPr>
          <w:rFonts w:ascii="Arial" w:hAnsi="Arial" w:cs="Arial"/>
          <w:bCs/>
          <w:i/>
          <w:color w:val="000000" w:themeColor="text1"/>
          <w:sz w:val="20"/>
          <w:szCs w:val="20"/>
        </w:rPr>
        <w:t>supra</w:t>
      </w:r>
      <w:r w:rsidRPr="007227F1">
        <w:rPr>
          <w:rFonts w:ascii="Arial" w:hAnsi="Arial" w:cs="Arial"/>
          <w:bCs/>
          <w:color w:val="000000" w:themeColor="text1"/>
          <w:sz w:val="20"/>
          <w:szCs w:val="20"/>
        </w:rPr>
        <w:t xml:space="preserve">, </w:t>
      </w:r>
      <w:r w:rsidRPr="007227F1">
        <w:rPr>
          <w:rFonts w:ascii="Arial" w:hAnsi="Arial" w:cs="Arial"/>
          <w:bCs/>
          <w:sz w:val="20"/>
          <w:szCs w:val="20"/>
          <w:lang w:val="en-US"/>
        </w:rPr>
        <w:t xml:space="preserve">§ </w:t>
      </w:r>
      <w:r w:rsidRPr="007227F1">
        <w:rPr>
          <w:rFonts w:ascii="Arial" w:hAnsi="Arial" w:cs="Arial"/>
          <w:bCs/>
          <w:color w:val="000000" w:themeColor="text1"/>
          <w:sz w:val="20"/>
          <w:szCs w:val="20"/>
        </w:rPr>
        <w:t xml:space="preserve">84; </w:t>
      </w:r>
      <w:r w:rsidRPr="007227F1">
        <w:rPr>
          <w:rFonts w:ascii="Arial" w:hAnsi="Arial" w:cs="Arial"/>
          <w:bCs/>
          <w:i/>
          <w:sz w:val="20"/>
          <w:szCs w:val="20"/>
        </w:rPr>
        <w:t>African Commission on Human and Peoples</w:t>
      </w:r>
      <w:r>
        <w:rPr>
          <w:rFonts w:ascii="Arial" w:hAnsi="Arial" w:cs="Arial"/>
          <w:bCs/>
          <w:i/>
          <w:sz w:val="20"/>
          <w:szCs w:val="20"/>
        </w:rPr>
        <w:t>’</w:t>
      </w:r>
      <w:r w:rsidRPr="007227F1">
        <w:rPr>
          <w:rFonts w:ascii="Arial" w:hAnsi="Arial" w:cs="Arial"/>
          <w:bCs/>
          <w:i/>
          <w:sz w:val="20"/>
          <w:szCs w:val="20"/>
        </w:rPr>
        <w:t xml:space="preserve"> Rights v. Kenya</w:t>
      </w:r>
      <w:r w:rsidRPr="007227F1">
        <w:rPr>
          <w:rFonts w:ascii="Arial" w:hAnsi="Arial" w:cs="Arial"/>
          <w:bCs/>
          <w:sz w:val="20"/>
          <w:szCs w:val="20"/>
        </w:rPr>
        <w:t xml:space="preserve"> (merits) (26 May 2017) 2 AfCLR 9, </w:t>
      </w:r>
      <w:r w:rsidRPr="007227F1">
        <w:rPr>
          <w:rFonts w:ascii="Arial" w:hAnsi="Arial" w:cs="Arial"/>
          <w:bCs/>
          <w:sz w:val="20"/>
          <w:szCs w:val="20"/>
          <w:lang w:val="en-US"/>
        </w:rPr>
        <w:t xml:space="preserve">§ </w:t>
      </w:r>
      <w:r w:rsidRPr="007227F1">
        <w:rPr>
          <w:rFonts w:ascii="Arial" w:hAnsi="Arial" w:cs="Arial"/>
          <w:bCs/>
          <w:sz w:val="20"/>
          <w:szCs w:val="20"/>
        </w:rPr>
        <w:t xml:space="preserve">65; </w:t>
      </w:r>
      <w:r w:rsidRPr="007227F1">
        <w:rPr>
          <w:rFonts w:ascii="Arial" w:hAnsi="Arial" w:cs="Arial"/>
          <w:bCs/>
          <w:i/>
          <w:color w:val="000000" w:themeColor="text1"/>
          <w:sz w:val="20"/>
          <w:szCs w:val="20"/>
        </w:rPr>
        <w:t xml:space="preserve">Kennedy Ivan v. United Republic of Tanzania </w:t>
      </w:r>
      <w:r w:rsidRPr="007227F1">
        <w:rPr>
          <w:rFonts w:ascii="Arial" w:hAnsi="Arial" w:cs="Arial"/>
          <w:bCs/>
          <w:iCs/>
          <w:color w:val="000000" w:themeColor="text1"/>
          <w:sz w:val="20"/>
          <w:szCs w:val="20"/>
        </w:rPr>
        <w:t xml:space="preserve">(merits and reparations) (28 March 2019) </w:t>
      </w:r>
      <w:r w:rsidRPr="007227F1">
        <w:rPr>
          <w:rFonts w:ascii="Arial" w:hAnsi="Arial" w:cs="Arial"/>
          <w:bCs/>
          <w:sz w:val="20"/>
          <w:szCs w:val="20"/>
        </w:rPr>
        <w:t xml:space="preserve">3 AfCLR 48, </w:t>
      </w:r>
      <w:r w:rsidRPr="007227F1">
        <w:rPr>
          <w:rFonts w:ascii="Arial" w:hAnsi="Arial" w:cs="Arial"/>
          <w:bCs/>
          <w:sz w:val="20"/>
          <w:szCs w:val="20"/>
          <w:lang w:val="en-US"/>
        </w:rPr>
        <w:t xml:space="preserve">§ </w:t>
      </w:r>
      <w:r w:rsidRPr="007227F1">
        <w:rPr>
          <w:rFonts w:ascii="Arial" w:hAnsi="Arial" w:cs="Arial"/>
          <w:bCs/>
          <w:sz w:val="20"/>
          <w:szCs w:val="20"/>
        </w:rPr>
        <w:t>29(ii).</w:t>
      </w:r>
    </w:p>
  </w:footnote>
  <w:footnote w:id="12">
    <w:p w14:paraId="015D7448" w14:textId="3F6C04EF"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Pr>
          <w:rFonts w:ascii="Arial" w:hAnsi="Arial" w:cs="Arial"/>
        </w:rPr>
        <w:t xml:space="preserve"> Rule 50(2)</w:t>
      </w:r>
      <w:r w:rsidRPr="007227F1">
        <w:rPr>
          <w:rFonts w:ascii="Arial" w:hAnsi="Arial" w:cs="Arial"/>
        </w:rPr>
        <w:t xml:space="preserve">(e) of the Rules of the Court, 1 September 2020. </w:t>
      </w:r>
    </w:p>
  </w:footnote>
  <w:footnote w:id="13">
    <w:p w14:paraId="058BFF89" w14:textId="62924DD8" w:rsidR="00DA3C78" w:rsidRPr="007227F1" w:rsidRDefault="00DA3C78" w:rsidP="007227F1">
      <w:pPr>
        <w:pStyle w:val="FootnoteText"/>
        <w:contextualSpacing/>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iCs/>
        </w:rPr>
        <w:t>African Commission on Human and Peoples</w:t>
      </w:r>
      <w:r>
        <w:rPr>
          <w:rFonts w:ascii="Arial" w:hAnsi="Arial" w:cs="Arial"/>
          <w:i/>
          <w:iCs/>
        </w:rPr>
        <w:t>’</w:t>
      </w:r>
      <w:r w:rsidRPr="007227F1">
        <w:rPr>
          <w:rFonts w:ascii="Arial" w:hAnsi="Arial" w:cs="Arial"/>
          <w:i/>
          <w:iCs/>
        </w:rPr>
        <w:t xml:space="preserve"> Rights v. Kenya </w:t>
      </w:r>
      <w:r w:rsidRPr="007227F1">
        <w:rPr>
          <w:rFonts w:ascii="Arial" w:hAnsi="Arial" w:cs="Arial"/>
        </w:rPr>
        <w:t xml:space="preserve">(merits), </w:t>
      </w:r>
      <w:r w:rsidRPr="007227F1">
        <w:rPr>
          <w:rFonts w:ascii="Arial" w:hAnsi="Arial" w:cs="Arial"/>
          <w:i/>
        </w:rPr>
        <w:t>supra</w:t>
      </w:r>
      <w:r w:rsidRPr="007227F1">
        <w:rPr>
          <w:rFonts w:ascii="Arial" w:hAnsi="Arial" w:cs="Arial"/>
        </w:rPr>
        <w:t xml:space="preserve">, </w:t>
      </w:r>
      <w:r w:rsidRPr="007227F1">
        <w:rPr>
          <w:rFonts w:ascii="Arial" w:hAnsi="Arial" w:cs="Arial"/>
          <w:bCs/>
        </w:rPr>
        <w:t>§§ 93-94.</w:t>
      </w:r>
    </w:p>
  </w:footnote>
  <w:footnote w:id="14">
    <w:p w14:paraId="4DBDA89E" w14:textId="74B7F6D5" w:rsidR="00DA3C78" w:rsidRPr="007227F1" w:rsidRDefault="00DA3C78" w:rsidP="007227F1">
      <w:pPr>
        <w:pStyle w:val="NoSpacing"/>
        <w:jc w:val="both"/>
        <w:rPr>
          <w:rFonts w:ascii="Arial" w:hAnsi="Arial" w:cs="Arial"/>
          <w:sz w:val="20"/>
          <w:szCs w:val="20"/>
        </w:rPr>
      </w:pPr>
      <w:r w:rsidRPr="007227F1">
        <w:rPr>
          <w:rStyle w:val="FootnoteReference"/>
          <w:rFonts w:ascii="Arial" w:hAnsi="Arial" w:cs="Arial"/>
          <w:sz w:val="20"/>
          <w:szCs w:val="20"/>
        </w:rPr>
        <w:footnoteRef/>
      </w:r>
      <w:r w:rsidRPr="007227F1">
        <w:rPr>
          <w:rFonts w:ascii="Arial" w:hAnsi="Arial" w:cs="Arial"/>
          <w:sz w:val="20"/>
          <w:szCs w:val="20"/>
        </w:rPr>
        <w:t xml:space="preserve"> See </w:t>
      </w:r>
      <w:r w:rsidRPr="007227F1">
        <w:rPr>
          <w:rFonts w:ascii="Arial" w:hAnsi="Arial" w:cs="Arial"/>
          <w:i/>
          <w:sz w:val="20"/>
          <w:szCs w:val="20"/>
        </w:rPr>
        <w:t xml:space="preserve">Thomas v. Tanzania </w:t>
      </w:r>
      <w:r w:rsidRPr="007227F1">
        <w:rPr>
          <w:rFonts w:ascii="Arial" w:hAnsi="Arial" w:cs="Arial"/>
          <w:sz w:val="20"/>
          <w:szCs w:val="20"/>
        </w:rPr>
        <w:t xml:space="preserve">(merits), </w:t>
      </w:r>
      <w:r w:rsidRPr="007227F1">
        <w:rPr>
          <w:rFonts w:ascii="Arial" w:hAnsi="Arial" w:cs="Arial"/>
          <w:i/>
          <w:sz w:val="20"/>
          <w:szCs w:val="20"/>
        </w:rPr>
        <w:t>supra</w:t>
      </w:r>
      <w:r w:rsidRPr="007227F1">
        <w:rPr>
          <w:rFonts w:ascii="Arial" w:hAnsi="Arial" w:cs="Arial"/>
          <w:sz w:val="20"/>
          <w:szCs w:val="20"/>
        </w:rPr>
        <w:t xml:space="preserve">, § 65; </w:t>
      </w:r>
      <w:r w:rsidRPr="007227F1">
        <w:rPr>
          <w:rFonts w:ascii="Arial" w:hAnsi="Arial" w:cs="Arial"/>
          <w:i/>
          <w:sz w:val="20"/>
          <w:szCs w:val="20"/>
        </w:rPr>
        <w:t xml:space="preserve">Abubakari v. Tanzania </w:t>
      </w:r>
      <w:r w:rsidRPr="007227F1">
        <w:rPr>
          <w:rFonts w:ascii="Arial" w:hAnsi="Arial" w:cs="Arial"/>
          <w:sz w:val="20"/>
          <w:szCs w:val="20"/>
        </w:rPr>
        <w:t xml:space="preserve">(merits), </w:t>
      </w:r>
      <w:r w:rsidRPr="007227F1">
        <w:rPr>
          <w:rFonts w:ascii="Arial" w:hAnsi="Arial" w:cs="Arial"/>
          <w:i/>
          <w:sz w:val="20"/>
          <w:szCs w:val="20"/>
        </w:rPr>
        <w:t>supra</w:t>
      </w:r>
      <w:r w:rsidRPr="007227F1">
        <w:rPr>
          <w:rFonts w:ascii="Arial" w:hAnsi="Arial" w:cs="Arial"/>
          <w:sz w:val="20"/>
          <w:szCs w:val="20"/>
        </w:rPr>
        <w:t xml:space="preserve">, </w:t>
      </w:r>
      <w:r w:rsidRPr="007227F1">
        <w:rPr>
          <w:rFonts w:ascii="Arial" w:hAnsi="Arial" w:cs="Arial"/>
          <w:bCs/>
          <w:sz w:val="20"/>
          <w:szCs w:val="20"/>
          <w:lang w:val="en-US"/>
        </w:rPr>
        <w:t>§§</w:t>
      </w:r>
      <w:r w:rsidRPr="007227F1">
        <w:rPr>
          <w:rFonts w:ascii="Arial" w:hAnsi="Arial" w:cs="Arial"/>
          <w:sz w:val="20"/>
          <w:szCs w:val="20"/>
        </w:rPr>
        <w:t xml:space="preserve"> 66-70; </w:t>
      </w:r>
      <w:r w:rsidRPr="007227F1">
        <w:rPr>
          <w:rFonts w:ascii="Arial" w:hAnsi="Arial" w:cs="Arial"/>
          <w:i/>
          <w:sz w:val="20"/>
          <w:szCs w:val="20"/>
        </w:rPr>
        <w:t>Christopher</w:t>
      </w:r>
      <w:r w:rsidRPr="007227F1">
        <w:rPr>
          <w:rFonts w:ascii="Arial" w:hAnsi="Arial" w:cs="Arial"/>
          <w:sz w:val="20"/>
          <w:szCs w:val="20"/>
        </w:rPr>
        <w:t xml:space="preserve"> </w:t>
      </w:r>
      <w:r w:rsidRPr="007227F1">
        <w:rPr>
          <w:rFonts w:ascii="Arial" w:hAnsi="Arial" w:cs="Arial"/>
          <w:i/>
          <w:sz w:val="20"/>
          <w:szCs w:val="20"/>
        </w:rPr>
        <w:t xml:space="preserve">Jonas v. United Republic of Tanzania </w:t>
      </w:r>
      <w:r w:rsidRPr="007227F1">
        <w:rPr>
          <w:rFonts w:ascii="Arial" w:hAnsi="Arial" w:cs="Arial"/>
          <w:sz w:val="20"/>
          <w:szCs w:val="20"/>
        </w:rPr>
        <w:t xml:space="preserve">(merits) (28 September 2017) 2 AfCLR 101, </w:t>
      </w:r>
      <w:r w:rsidRPr="007227F1">
        <w:rPr>
          <w:rFonts w:ascii="Arial" w:hAnsi="Arial" w:cs="Arial"/>
          <w:bCs/>
          <w:sz w:val="20"/>
          <w:szCs w:val="20"/>
          <w:lang w:val="en-US"/>
        </w:rPr>
        <w:t>§</w:t>
      </w:r>
      <w:r w:rsidRPr="007227F1">
        <w:rPr>
          <w:rFonts w:ascii="Arial" w:hAnsi="Arial" w:cs="Arial"/>
          <w:sz w:val="20"/>
          <w:szCs w:val="20"/>
        </w:rPr>
        <w:t xml:space="preserve"> 44. </w:t>
      </w:r>
    </w:p>
  </w:footnote>
  <w:footnote w:id="15">
    <w:p w14:paraId="6CE552AE" w14:textId="48248FDC"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Rule 50(2)(f) of the Rules of the Court, 1 September 2020. </w:t>
      </w:r>
    </w:p>
  </w:footnote>
  <w:footnote w:id="16">
    <w:p w14:paraId="1FC5A1B8" w14:textId="1B50A392"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lang w:val="en-GB"/>
        </w:rPr>
        <w:t xml:space="preserve"> See, Communication 308/2005 (2008) AHRLR (ACHPR 2008). </w:t>
      </w:r>
    </w:p>
  </w:footnote>
  <w:footnote w:id="17">
    <w:p w14:paraId="7BD9D513" w14:textId="77777777"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 xml:space="preserve">Lucien Ikili Rashidi v. United Republic of Tanzania </w:t>
      </w:r>
      <w:r w:rsidRPr="007227F1">
        <w:rPr>
          <w:rFonts w:ascii="Arial" w:hAnsi="Arial" w:cs="Arial"/>
        </w:rPr>
        <w:t xml:space="preserve">(merits and reparations) (28 March 2019) 3 AfCLR 13, </w:t>
      </w:r>
      <w:r w:rsidRPr="007227F1">
        <w:rPr>
          <w:rFonts w:ascii="Arial" w:hAnsi="Arial" w:cs="Arial"/>
          <w:bCs/>
        </w:rPr>
        <w:t>§§</w:t>
      </w:r>
      <w:r w:rsidRPr="007227F1">
        <w:rPr>
          <w:rFonts w:ascii="Arial" w:hAnsi="Arial" w:cs="Arial"/>
        </w:rPr>
        <w:t xml:space="preserve"> 52-53. </w:t>
      </w:r>
    </w:p>
  </w:footnote>
  <w:footnote w:id="18">
    <w:p w14:paraId="78B5999B" w14:textId="77777777" w:rsidR="00DA3C78" w:rsidRPr="007227F1" w:rsidRDefault="00DA3C78" w:rsidP="007227F1">
      <w:pPr>
        <w:pStyle w:val="FootnoteText"/>
        <w:jc w:val="both"/>
        <w:rPr>
          <w:rFonts w:ascii="Arial" w:hAnsi="Arial" w:cs="Arial"/>
          <w:color w:val="000000" w:themeColor="text1"/>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color w:val="000000" w:themeColor="text1"/>
        </w:rPr>
        <w:t>Sadick Marwa v. United Republic of Tanzania</w:t>
      </w:r>
      <w:r w:rsidRPr="007227F1">
        <w:rPr>
          <w:rFonts w:ascii="Arial" w:hAnsi="Arial" w:cs="Arial"/>
          <w:color w:val="000000" w:themeColor="text1"/>
        </w:rPr>
        <w:t>, ACtHPR, Application No. 005/2016, Judgment of 2 December 2021, § 52.</w:t>
      </w:r>
    </w:p>
  </w:footnote>
  <w:footnote w:id="19">
    <w:p w14:paraId="2B4A676A" w14:textId="1BD1565E" w:rsidR="00DA3C78" w:rsidRPr="007227F1" w:rsidRDefault="00DA3C78" w:rsidP="007227F1">
      <w:pPr>
        <w:pStyle w:val="FootnoteText"/>
        <w:jc w:val="both"/>
        <w:rPr>
          <w:rFonts w:ascii="Arial" w:hAnsi="Arial" w:cs="Arial"/>
          <w:b/>
          <w:highlight w:val="green"/>
          <w:lang w:bidi="fr-FR"/>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shd w:val="clear" w:color="auto" w:fill="FFFFFF"/>
        </w:rPr>
        <w:t xml:space="preserve">Norbert Zongo and Others v. </w:t>
      </w:r>
      <w:r w:rsidRPr="007227F1">
        <w:rPr>
          <w:rFonts w:ascii="Arial" w:hAnsi="Arial" w:cs="Arial"/>
          <w:bCs/>
          <w:i/>
        </w:rPr>
        <w:t>Burkina Faso</w:t>
      </w:r>
      <w:r w:rsidRPr="007227F1">
        <w:rPr>
          <w:rFonts w:ascii="Arial" w:hAnsi="Arial" w:cs="Arial"/>
        </w:rPr>
        <w:t xml:space="preserve"> (merits), </w:t>
      </w:r>
      <w:r w:rsidRPr="007227F1">
        <w:rPr>
          <w:rFonts w:ascii="Arial" w:hAnsi="Arial" w:cs="Arial"/>
          <w:i/>
        </w:rPr>
        <w:t>supra</w:t>
      </w:r>
      <w:r w:rsidRPr="007227F1">
        <w:rPr>
          <w:rFonts w:ascii="Arial" w:hAnsi="Arial" w:cs="Arial"/>
        </w:rPr>
        <w:t>, §</w:t>
      </w:r>
      <w:r w:rsidRPr="007227F1">
        <w:rPr>
          <w:rFonts w:ascii="Arial" w:hAnsi="Arial" w:cs="Arial"/>
          <w:bCs/>
        </w:rPr>
        <w:t xml:space="preserve"> </w:t>
      </w:r>
      <w:r w:rsidRPr="007227F1">
        <w:rPr>
          <w:rFonts w:ascii="Arial" w:hAnsi="Arial" w:cs="Arial"/>
        </w:rPr>
        <w:t xml:space="preserve">92. See also </w:t>
      </w:r>
      <w:r w:rsidRPr="007227F1">
        <w:rPr>
          <w:rFonts w:ascii="Arial" w:hAnsi="Arial" w:cs="Arial"/>
          <w:i/>
        </w:rPr>
        <w:t>Thomas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w:t>
      </w:r>
      <w:r w:rsidRPr="007227F1">
        <w:rPr>
          <w:rFonts w:ascii="Arial" w:hAnsi="Arial" w:cs="Arial"/>
          <w:bCs/>
        </w:rPr>
        <w:t xml:space="preserve"> </w:t>
      </w:r>
      <w:r w:rsidRPr="007227F1">
        <w:rPr>
          <w:rFonts w:ascii="Arial" w:hAnsi="Arial" w:cs="Arial"/>
        </w:rPr>
        <w:t>73.</w:t>
      </w:r>
    </w:p>
  </w:footnote>
  <w:footnote w:id="20">
    <w:p w14:paraId="606E1091" w14:textId="7CD5282E"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Igola Iguna v. United Republic of Tanzania</w:t>
      </w:r>
      <w:r w:rsidRPr="007227F1">
        <w:rPr>
          <w:rFonts w:ascii="Arial" w:hAnsi="Arial" w:cs="Arial"/>
        </w:rPr>
        <w:t xml:space="preserve">, ACtHPR, Application No. 020/2017, Judgment of 1 December 2022, </w:t>
      </w:r>
      <w:r w:rsidRPr="007227F1">
        <w:rPr>
          <w:rFonts w:ascii="Arial" w:hAnsi="Arial" w:cs="Arial"/>
          <w:color w:val="000000" w:themeColor="text1"/>
        </w:rPr>
        <w:t>§§ 37-38</w:t>
      </w:r>
      <w:r w:rsidRPr="007227F1">
        <w:rPr>
          <w:rFonts w:ascii="Arial" w:hAnsi="Arial" w:cs="Arial"/>
        </w:rPr>
        <w:t xml:space="preserve">. </w:t>
      </w:r>
    </w:p>
  </w:footnote>
  <w:footnote w:id="21">
    <w:p w14:paraId="797E7A51" w14:textId="50FA0E64"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Thomas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 73; </w:t>
      </w:r>
      <w:r w:rsidRPr="007227F1">
        <w:rPr>
          <w:rFonts w:ascii="Arial" w:hAnsi="Arial" w:cs="Arial"/>
          <w:i/>
        </w:rPr>
        <w:t>Jonas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 54; </w:t>
      </w:r>
      <w:r w:rsidRPr="007227F1">
        <w:rPr>
          <w:rFonts w:ascii="Arial" w:hAnsi="Arial" w:cs="Arial"/>
          <w:i/>
        </w:rPr>
        <w:t>Amir Ramadhani v. United Republic of Tanzania</w:t>
      </w:r>
      <w:r w:rsidRPr="007227F1">
        <w:rPr>
          <w:rFonts w:ascii="Arial" w:hAnsi="Arial" w:cs="Arial"/>
        </w:rPr>
        <w:t xml:space="preserve"> (merits) (11 May 2018) 2 AfCLR 344, </w:t>
      </w:r>
      <w:r w:rsidRPr="007227F1">
        <w:rPr>
          <w:rFonts w:ascii="Arial" w:hAnsi="Arial" w:cs="Arial"/>
          <w:bCs/>
        </w:rPr>
        <w:t>§</w:t>
      </w:r>
      <w:r w:rsidRPr="007227F1">
        <w:rPr>
          <w:rFonts w:ascii="Arial" w:hAnsi="Arial" w:cs="Arial"/>
        </w:rPr>
        <w:t xml:space="preserve"> 83.</w:t>
      </w:r>
    </w:p>
  </w:footnote>
  <w:footnote w:id="22">
    <w:p w14:paraId="042767FF" w14:textId="0D457EF8"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Ramadhani v. Tanzania</w:t>
      </w:r>
      <w:r w:rsidRPr="007227F1">
        <w:rPr>
          <w:rFonts w:ascii="Arial" w:hAnsi="Arial" w:cs="Arial"/>
        </w:rPr>
        <w:t xml:space="preserve"> (merits), </w:t>
      </w:r>
      <w:r w:rsidRPr="007227F1">
        <w:rPr>
          <w:rFonts w:ascii="Arial" w:hAnsi="Arial" w:cs="Arial"/>
          <w:i/>
        </w:rPr>
        <w:t>ibid</w:t>
      </w:r>
      <w:r w:rsidRPr="007227F1">
        <w:rPr>
          <w:rFonts w:ascii="Arial" w:hAnsi="Arial" w:cs="Arial"/>
        </w:rPr>
        <w:t xml:space="preserve">, § 50; </w:t>
      </w:r>
      <w:r w:rsidRPr="007227F1">
        <w:rPr>
          <w:rFonts w:ascii="Arial" w:hAnsi="Arial" w:cs="Arial"/>
          <w:i/>
        </w:rPr>
        <w:t>Jonas v. Tanzania</w:t>
      </w:r>
      <w:r w:rsidRPr="007227F1">
        <w:rPr>
          <w:rFonts w:ascii="Arial" w:hAnsi="Arial" w:cs="Arial"/>
        </w:rPr>
        <w:t xml:space="preserve"> (merits), </w:t>
      </w:r>
      <w:r w:rsidRPr="007227F1">
        <w:rPr>
          <w:rFonts w:ascii="Arial" w:hAnsi="Arial" w:cs="Arial"/>
          <w:i/>
        </w:rPr>
        <w:t>ibid</w:t>
      </w:r>
      <w:r w:rsidRPr="007227F1">
        <w:rPr>
          <w:rFonts w:ascii="Arial" w:hAnsi="Arial" w:cs="Arial"/>
        </w:rPr>
        <w:t>, § 54.</w:t>
      </w:r>
    </w:p>
  </w:footnote>
  <w:footnote w:id="23">
    <w:p w14:paraId="044B4E10" w14:textId="412F822C"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Thomas v. Tanzania</w:t>
      </w:r>
      <w:r w:rsidRPr="007227F1">
        <w:rPr>
          <w:rFonts w:ascii="Arial" w:hAnsi="Arial" w:cs="Arial"/>
        </w:rPr>
        <w:t xml:space="preserve"> (merits), </w:t>
      </w:r>
      <w:bookmarkStart w:id="22" w:name="_Hlk127789437"/>
      <w:r w:rsidRPr="007227F1">
        <w:rPr>
          <w:rFonts w:ascii="Arial" w:hAnsi="Arial" w:cs="Arial"/>
          <w:i/>
        </w:rPr>
        <w:t>supra</w:t>
      </w:r>
      <w:r w:rsidRPr="007227F1">
        <w:rPr>
          <w:rFonts w:ascii="Arial" w:hAnsi="Arial" w:cs="Arial"/>
        </w:rPr>
        <w:t>,</w:t>
      </w:r>
      <w:bookmarkEnd w:id="22"/>
      <w:r w:rsidRPr="007227F1">
        <w:rPr>
          <w:rFonts w:ascii="Arial" w:hAnsi="Arial" w:cs="Arial"/>
        </w:rPr>
        <w:t xml:space="preserve"> </w:t>
      </w:r>
      <w:r w:rsidRPr="007227F1">
        <w:rPr>
          <w:rFonts w:ascii="Arial" w:hAnsi="Arial" w:cs="Arial"/>
          <w:bCs/>
        </w:rPr>
        <w:t>§</w:t>
      </w:r>
      <w:r w:rsidRPr="007227F1">
        <w:rPr>
          <w:rFonts w:ascii="Arial" w:hAnsi="Arial" w:cs="Arial"/>
        </w:rPr>
        <w:t xml:space="preserve"> 73; </w:t>
      </w:r>
      <w:r w:rsidRPr="007227F1">
        <w:rPr>
          <w:rFonts w:ascii="Arial" w:hAnsi="Arial" w:cs="Arial"/>
          <w:i/>
        </w:rPr>
        <w:t>Jonas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w:t>
      </w:r>
      <w:r w:rsidRPr="007227F1">
        <w:rPr>
          <w:rFonts w:ascii="Arial" w:hAnsi="Arial" w:cs="Arial"/>
          <w:bCs/>
        </w:rPr>
        <w:t>§</w:t>
      </w:r>
      <w:r w:rsidRPr="007227F1">
        <w:rPr>
          <w:rFonts w:ascii="Arial" w:hAnsi="Arial" w:cs="Arial"/>
        </w:rPr>
        <w:t xml:space="preserve"> 54; </w:t>
      </w:r>
      <w:r w:rsidRPr="007227F1">
        <w:rPr>
          <w:rFonts w:ascii="Arial" w:hAnsi="Arial" w:cs="Arial"/>
          <w:i/>
        </w:rPr>
        <w:t>Ramadhani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w:t>
      </w:r>
      <w:r w:rsidRPr="007227F1">
        <w:rPr>
          <w:rFonts w:ascii="Arial" w:hAnsi="Arial" w:cs="Arial"/>
          <w:bCs/>
        </w:rPr>
        <w:t>§</w:t>
      </w:r>
      <w:r w:rsidRPr="007227F1">
        <w:rPr>
          <w:rFonts w:ascii="Arial" w:hAnsi="Arial" w:cs="Arial"/>
        </w:rPr>
        <w:t xml:space="preserve"> 83; </w:t>
      </w:r>
      <w:r w:rsidRPr="007227F1">
        <w:rPr>
          <w:rFonts w:ascii="Arial" w:hAnsi="Arial" w:cs="Arial"/>
          <w:i/>
        </w:rPr>
        <w:t>Iguna v. Tanzania</w:t>
      </w:r>
      <w:r w:rsidRPr="007227F1">
        <w:rPr>
          <w:rFonts w:ascii="Arial" w:hAnsi="Arial" w:cs="Arial"/>
        </w:rPr>
        <w:t xml:space="preserve">, </w:t>
      </w:r>
      <w:r w:rsidRPr="007227F1">
        <w:rPr>
          <w:rFonts w:ascii="Arial" w:hAnsi="Arial" w:cs="Arial"/>
          <w:i/>
        </w:rPr>
        <w:t>supra</w:t>
      </w:r>
      <w:r w:rsidRPr="007227F1">
        <w:rPr>
          <w:rFonts w:ascii="Arial" w:hAnsi="Arial" w:cs="Arial"/>
        </w:rPr>
        <w:t xml:space="preserve">, </w:t>
      </w:r>
      <w:r w:rsidRPr="007227F1">
        <w:rPr>
          <w:rFonts w:ascii="Arial" w:hAnsi="Arial" w:cs="Arial"/>
          <w:color w:val="000000" w:themeColor="text1"/>
        </w:rPr>
        <w:t>§</w:t>
      </w:r>
      <w:r w:rsidRPr="007227F1">
        <w:rPr>
          <w:rFonts w:ascii="Arial" w:hAnsi="Arial" w:cs="Arial"/>
        </w:rPr>
        <w:t xml:space="preserve"> 39.</w:t>
      </w:r>
    </w:p>
  </w:footnote>
  <w:footnote w:id="24">
    <w:p w14:paraId="0A9859C7" w14:textId="77777777"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Kijiji Isiaga v. United Republic of Tanzania</w:t>
      </w:r>
      <w:r w:rsidRPr="007227F1">
        <w:rPr>
          <w:rFonts w:ascii="Arial" w:hAnsi="Arial" w:cs="Arial"/>
        </w:rPr>
        <w:t xml:space="preserve"> (merits) (21 March 2018) 2 AfCLR 218, § 65.</w:t>
      </w:r>
    </w:p>
  </w:footnote>
  <w:footnote w:id="25">
    <w:p w14:paraId="6BF7CA1E" w14:textId="41E5ADCA"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Abubakari v. Tanzania</w:t>
      </w:r>
      <w:r w:rsidRPr="007227F1">
        <w:rPr>
          <w:rFonts w:ascii="Arial" w:hAnsi="Arial" w:cs="Arial"/>
        </w:rPr>
        <w:t xml:space="preserve"> (merits), § 173. </w:t>
      </w:r>
    </w:p>
  </w:footnote>
  <w:footnote w:id="26">
    <w:p w14:paraId="0D30BEDF" w14:textId="55B0DB16"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Ibid</w:t>
      </w:r>
      <w:r w:rsidRPr="007227F1">
        <w:rPr>
          <w:rFonts w:ascii="Arial" w:hAnsi="Arial" w:cs="Arial"/>
        </w:rPr>
        <w:t xml:space="preserve">, § 174. </w:t>
      </w:r>
    </w:p>
  </w:footnote>
  <w:footnote w:id="27">
    <w:p w14:paraId="0D641BAD" w14:textId="77777777" w:rsidR="00DA3C78" w:rsidRPr="007227F1" w:rsidRDefault="00DA3C78" w:rsidP="007227F1">
      <w:pPr>
        <w:pStyle w:val="FootnoteText"/>
        <w:jc w:val="both"/>
        <w:rPr>
          <w:rFonts w:ascii="Arial" w:hAnsi="Arial" w:cs="Arial"/>
          <w:lang w:val="en-GB"/>
        </w:rPr>
      </w:pPr>
      <w:r w:rsidRPr="007227F1">
        <w:rPr>
          <w:rStyle w:val="FootnoteReference"/>
          <w:rFonts w:ascii="Arial" w:hAnsi="Arial" w:cs="Arial"/>
        </w:rPr>
        <w:footnoteRef/>
      </w:r>
      <w:r w:rsidRPr="007227F1">
        <w:rPr>
          <w:rFonts w:ascii="Arial" w:hAnsi="Arial" w:cs="Arial"/>
        </w:rPr>
        <w:t xml:space="preserve"> A vigilante group or informal security force. </w:t>
      </w:r>
    </w:p>
  </w:footnote>
  <w:footnote w:id="28">
    <w:p w14:paraId="0F22529F" w14:textId="24FBC2E1"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lang w:val="fr-FR"/>
        </w:rPr>
        <w:t xml:space="preserve"> </w:t>
      </w:r>
      <w:r w:rsidRPr="007227F1">
        <w:rPr>
          <w:rFonts w:ascii="Arial" w:hAnsi="Arial" w:cs="Arial"/>
          <w:i/>
          <w:lang w:val="fr-FR"/>
        </w:rPr>
        <w:t>Tuwamoi v. Uganda</w:t>
      </w:r>
      <w:r w:rsidRPr="007227F1">
        <w:rPr>
          <w:rFonts w:ascii="Arial" w:hAnsi="Arial" w:cs="Arial"/>
          <w:lang w:val="fr-FR"/>
        </w:rPr>
        <w:t xml:space="preserve"> [1967] EA 84 at page 91. </w:t>
      </w:r>
      <w:r w:rsidRPr="007227F1">
        <w:rPr>
          <w:rFonts w:ascii="Arial" w:hAnsi="Arial" w:cs="Arial"/>
        </w:rPr>
        <w:t>“Point of law is this: this court is entitled to convict an accused on a retracted/repudiated confession if it satisfied after taking into account material points of the case that what has been stated in the statement is nothing but the truth.”</w:t>
      </w:r>
    </w:p>
  </w:footnote>
  <w:footnote w:id="29">
    <w:p w14:paraId="2B0FD2C0" w14:textId="7D0EB7E5"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bookmarkStart w:id="30" w:name="_Hlk103948374"/>
      <w:r w:rsidRPr="007227F1">
        <w:rPr>
          <w:rFonts w:ascii="Arial" w:hAnsi="Arial" w:cs="Arial"/>
          <w:i/>
        </w:rPr>
        <w:t>Nganyi and Others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 135. </w:t>
      </w:r>
      <w:bookmarkEnd w:id="30"/>
    </w:p>
  </w:footnote>
  <w:footnote w:id="30">
    <w:p w14:paraId="1914CD1E" w14:textId="301E76B0"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Ibid</w:t>
      </w:r>
      <w:r w:rsidRPr="007227F1">
        <w:rPr>
          <w:rFonts w:ascii="Arial" w:hAnsi="Arial" w:cs="Arial"/>
        </w:rPr>
        <w:t xml:space="preserve">, §§ 134 and 136. </w:t>
      </w:r>
    </w:p>
  </w:footnote>
  <w:footnote w:id="31">
    <w:p w14:paraId="4E0DC8AC" w14:textId="77777777"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Ibid</w:t>
      </w:r>
      <w:r w:rsidRPr="007227F1">
        <w:rPr>
          <w:rFonts w:ascii="Arial" w:hAnsi="Arial" w:cs="Arial"/>
        </w:rPr>
        <w:t xml:space="preserve">, § 153. </w:t>
      </w:r>
    </w:p>
  </w:footnote>
  <w:footnote w:id="32">
    <w:p w14:paraId="198E9661" w14:textId="0ADE39E6" w:rsidR="00DA3C78" w:rsidRPr="00D542E7" w:rsidRDefault="00DA3C78" w:rsidP="00066481">
      <w:pPr>
        <w:pStyle w:val="FootnoteText"/>
        <w:jc w:val="both"/>
        <w:rPr>
          <w:rFonts w:ascii="Arial" w:hAnsi="Arial" w:cs="Arial"/>
          <w:lang w:val="en-GB"/>
        </w:rPr>
      </w:pPr>
      <w:r w:rsidRPr="00D542E7">
        <w:rPr>
          <w:rStyle w:val="FootnoteReference"/>
          <w:rFonts w:ascii="Arial" w:hAnsi="Arial" w:cs="Arial"/>
        </w:rPr>
        <w:footnoteRef/>
      </w:r>
      <w:r w:rsidRPr="00D542E7">
        <w:rPr>
          <w:rFonts w:ascii="Arial" w:hAnsi="Arial" w:cs="Arial"/>
        </w:rPr>
        <w:t xml:space="preserve"> </w:t>
      </w:r>
      <w:r w:rsidRPr="00D542E7">
        <w:rPr>
          <w:rFonts w:ascii="Arial" w:hAnsi="Arial" w:cs="Arial"/>
          <w:lang w:val="en-GB"/>
        </w:rPr>
        <w:t xml:space="preserve">Rules 66 (3) and (4) of the Court of Appeal Rules, 2009, provide that: </w:t>
      </w:r>
    </w:p>
    <w:p w14:paraId="3EB25D5E" w14:textId="77777777" w:rsidR="00DA3C78" w:rsidRPr="00D542E7" w:rsidRDefault="00DA3C78" w:rsidP="00066481">
      <w:pPr>
        <w:pStyle w:val="FootnoteText"/>
        <w:jc w:val="both"/>
        <w:rPr>
          <w:rFonts w:ascii="Arial" w:hAnsi="Arial" w:cs="Arial"/>
        </w:rPr>
      </w:pPr>
      <w:r w:rsidRPr="00D542E7">
        <w:rPr>
          <w:rFonts w:ascii="Arial" w:hAnsi="Arial" w:cs="Arial"/>
        </w:rPr>
        <w:t xml:space="preserve">(3) The notice of motion for review shall be filed within sixty days from the date of the judgment or order sought to be reviewed. It shall set out clearly the grounds for review. </w:t>
      </w:r>
    </w:p>
    <w:p w14:paraId="049D6EF6" w14:textId="6873D4AA" w:rsidR="00DA3C78" w:rsidRPr="00066481" w:rsidRDefault="00DA3C78" w:rsidP="00066481">
      <w:pPr>
        <w:pStyle w:val="FootnoteText"/>
        <w:jc w:val="both"/>
        <w:rPr>
          <w:rFonts w:ascii="Arial" w:hAnsi="Arial" w:cs="Arial"/>
          <w:b/>
          <w:lang w:val="en-GB"/>
        </w:rPr>
      </w:pPr>
      <w:r w:rsidRPr="00D542E7">
        <w:rPr>
          <w:rFonts w:ascii="Arial" w:hAnsi="Arial" w:cs="Arial"/>
        </w:rPr>
        <w:t>(4) Copies of the notice of motion for review shall be served on the other party or parties as the case may be within fourteen days from the date of filing. The party filing the notice shall file proof of service with the court</w:t>
      </w:r>
      <w:r w:rsidRPr="00D542E7">
        <w:rPr>
          <w:rFonts w:ascii="Arial" w:hAnsi="Arial" w:cs="Arial"/>
          <w:lang w:val="en-GB"/>
        </w:rPr>
        <w:t>.</w:t>
      </w:r>
      <w:r w:rsidRPr="00066481">
        <w:rPr>
          <w:rFonts w:ascii="Arial" w:hAnsi="Arial" w:cs="Arial"/>
          <w:b/>
          <w:lang w:val="en-GB"/>
        </w:rPr>
        <w:t xml:space="preserve"> </w:t>
      </w:r>
    </w:p>
  </w:footnote>
  <w:footnote w:id="33">
    <w:p w14:paraId="2112A707" w14:textId="53FC3B21" w:rsidR="00DA3C78" w:rsidRPr="007227F1" w:rsidRDefault="00DA3C78" w:rsidP="007227F1">
      <w:pPr>
        <w:pStyle w:val="FootnoteText"/>
        <w:jc w:val="both"/>
        <w:rPr>
          <w:rFonts w:ascii="Arial" w:hAnsi="Arial" w:cs="Arial"/>
          <w:color w:val="000000" w:themeColor="text1"/>
        </w:rPr>
      </w:pPr>
      <w:r w:rsidRPr="007227F1">
        <w:rPr>
          <w:rStyle w:val="FootnoteReference"/>
          <w:rFonts w:ascii="Arial" w:hAnsi="Arial" w:cs="Arial"/>
          <w:color w:val="000000" w:themeColor="text1"/>
        </w:rPr>
        <w:footnoteRef/>
      </w:r>
      <w:r w:rsidRPr="007227F1">
        <w:rPr>
          <w:rFonts w:ascii="Arial" w:hAnsi="Arial" w:cs="Arial"/>
          <w:color w:val="000000" w:themeColor="text1"/>
        </w:rPr>
        <w:t xml:space="preserve"> </w:t>
      </w:r>
      <w:r w:rsidRPr="007227F1">
        <w:rPr>
          <w:rFonts w:ascii="Arial" w:hAnsi="Arial" w:cs="Arial"/>
          <w:i/>
          <w:color w:val="000000" w:themeColor="text1"/>
        </w:rPr>
        <w:t>Thomas v. Tanzania</w:t>
      </w:r>
      <w:r w:rsidRPr="007227F1">
        <w:rPr>
          <w:rFonts w:ascii="Arial" w:hAnsi="Arial" w:cs="Arial"/>
          <w:color w:val="000000" w:themeColor="text1"/>
        </w:rPr>
        <w:t xml:space="preserve"> (merits), </w:t>
      </w:r>
      <w:r w:rsidRPr="007227F1">
        <w:rPr>
          <w:rFonts w:ascii="Arial" w:hAnsi="Arial" w:cs="Arial"/>
          <w:i/>
        </w:rPr>
        <w:t>supra</w:t>
      </w:r>
      <w:r w:rsidRPr="007227F1">
        <w:rPr>
          <w:rFonts w:ascii="Arial" w:hAnsi="Arial" w:cs="Arial"/>
        </w:rPr>
        <w:t>,</w:t>
      </w:r>
      <w:r w:rsidRPr="007227F1">
        <w:rPr>
          <w:rFonts w:ascii="Arial" w:hAnsi="Arial" w:cs="Arial"/>
          <w:color w:val="000000" w:themeColor="text1"/>
        </w:rPr>
        <w:t xml:space="preserve"> § 124. </w:t>
      </w:r>
    </w:p>
  </w:footnote>
  <w:footnote w:id="34">
    <w:p w14:paraId="1FB6A835" w14:textId="29429D60" w:rsidR="00DA3C78" w:rsidRPr="007227F1" w:rsidRDefault="00DA3C78" w:rsidP="007227F1">
      <w:pPr>
        <w:pStyle w:val="FootnoteText"/>
        <w:contextualSpacing/>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Idem</w:t>
      </w:r>
      <w:r w:rsidRPr="007227F1">
        <w:rPr>
          <w:rFonts w:ascii="Arial" w:hAnsi="Arial" w:cs="Arial"/>
        </w:rPr>
        <w:t xml:space="preserve">; </w:t>
      </w:r>
      <w:r w:rsidRPr="007227F1">
        <w:rPr>
          <w:rFonts w:ascii="Arial" w:hAnsi="Arial" w:cs="Arial"/>
          <w:i/>
        </w:rPr>
        <w:t>Nganyi and Others v. Tanzania</w:t>
      </w:r>
      <w:r w:rsidRPr="007227F1">
        <w:rPr>
          <w:rFonts w:ascii="Arial" w:hAnsi="Arial" w:cs="Arial"/>
        </w:rPr>
        <w:t xml:space="preserve"> (merits), </w:t>
      </w:r>
      <w:r w:rsidRPr="007227F1">
        <w:rPr>
          <w:rFonts w:ascii="Arial" w:hAnsi="Arial" w:cs="Arial"/>
          <w:i/>
        </w:rPr>
        <w:t>supra</w:t>
      </w:r>
      <w:r w:rsidRPr="007227F1">
        <w:rPr>
          <w:rFonts w:ascii="Arial" w:hAnsi="Arial" w:cs="Arial"/>
        </w:rPr>
        <w:t xml:space="preserve">, § 183. </w:t>
      </w:r>
    </w:p>
  </w:footnote>
  <w:footnote w:id="35">
    <w:p w14:paraId="1EAE51F9" w14:textId="77777777" w:rsidR="00DA3C78" w:rsidRPr="007227F1" w:rsidRDefault="00DA3C78" w:rsidP="0006648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These are the names of Counsel as they appear on the record. </w:t>
      </w:r>
    </w:p>
  </w:footnote>
  <w:footnote w:id="36">
    <w:p w14:paraId="26A212A8" w14:textId="3F5844EB" w:rsidR="00DA3C78" w:rsidRPr="007227F1" w:rsidRDefault="00DA3C78" w:rsidP="007227F1">
      <w:pPr>
        <w:pStyle w:val="FootnoteText"/>
        <w:jc w:val="both"/>
        <w:rPr>
          <w:rFonts w:ascii="Arial" w:hAnsi="Arial" w:cs="Arial"/>
        </w:rPr>
      </w:pPr>
      <w:r w:rsidRPr="007227F1">
        <w:rPr>
          <w:rStyle w:val="FootnoteReference"/>
          <w:rFonts w:ascii="Arial" w:hAnsi="Arial" w:cs="Arial"/>
        </w:rPr>
        <w:footnoteRef/>
      </w:r>
      <w:r w:rsidRPr="007227F1">
        <w:rPr>
          <w:rFonts w:ascii="Arial" w:hAnsi="Arial" w:cs="Arial"/>
        </w:rPr>
        <w:t xml:space="preserve"> </w:t>
      </w:r>
      <w:r w:rsidRPr="007227F1">
        <w:rPr>
          <w:rFonts w:ascii="Arial" w:hAnsi="Arial" w:cs="Arial"/>
          <w:i/>
        </w:rPr>
        <w:t>Evodius Rutechura v. United Republic of Tanzania</w:t>
      </w:r>
      <w:r w:rsidRPr="007227F1">
        <w:rPr>
          <w:rFonts w:ascii="Arial" w:hAnsi="Arial" w:cs="Arial"/>
        </w:rPr>
        <w:t xml:space="preserve">, ACtHPR, Application No. 004/2016, Judgment of 26 February 2021 (merits and reparations), § 75. </w:t>
      </w:r>
    </w:p>
  </w:footnote>
  <w:footnote w:id="37">
    <w:p w14:paraId="4C80E891" w14:textId="50B3DD81" w:rsidR="00DA3C78" w:rsidRPr="00D542E7" w:rsidRDefault="00DA3C78" w:rsidP="00066481">
      <w:pPr>
        <w:pStyle w:val="FootnoteText"/>
        <w:jc w:val="both"/>
        <w:rPr>
          <w:rFonts w:ascii="Arial" w:hAnsi="Arial" w:cs="Arial"/>
          <w:bCs/>
        </w:rPr>
      </w:pPr>
      <w:r w:rsidRPr="00D542E7">
        <w:rPr>
          <w:rStyle w:val="FootnoteReference"/>
          <w:rFonts w:ascii="Arial" w:hAnsi="Arial" w:cs="Arial"/>
          <w:bCs/>
        </w:rPr>
        <w:footnoteRef/>
      </w:r>
      <w:r w:rsidRPr="00D542E7">
        <w:rPr>
          <w:rFonts w:ascii="Arial" w:hAnsi="Arial" w:cs="Arial"/>
          <w:bCs/>
        </w:rPr>
        <w:t xml:space="preserve"> </w:t>
      </w:r>
      <w:r w:rsidRPr="00D542E7">
        <w:rPr>
          <w:rFonts w:ascii="Arial" w:hAnsi="Arial" w:cs="Arial"/>
          <w:bCs/>
          <w:i/>
        </w:rPr>
        <w:t>Ally Rajabu and Others v. United Republic of Tanzania</w:t>
      </w:r>
      <w:r w:rsidRPr="00D542E7">
        <w:rPr>
          <w:rFonts w:ascii="Arial" w:hAnsi="Arial" w:cs="Arial"/>
          <w:bCs/>
        </w:rPr>
        <w:t xml:space="preserve"> (merits and reparations) (28 November 2019) 3 AfCLR 539, §§ 104-114. See also, </w:t>
      </w:r>
      <w:r w:rsidRPr="00D542E7">
        <w:rPr>
          <w:rFonts w:ascii="Arial" w:hAnsi="Arial" w:cs="Arial"/>
          <w:bCs/>
          <w:i/>
        </w:rPr>
        <w:t>Amini Juma v. United Republic of Tanzania</w:t>
      </w:r>
      <w:r w:rsidRPr="00D542E7">
        <w:rPr>
          <w:rFonts w:ascii="Arial" w:hAnsi="Arial" w:cs="Arial"/>
          <w:bCs/>
        </w:rPr>
        <w:t xml:space="preserve">, ACtHPR, Application No. 024/2016, Judgment of 30 September 2021, §§ 120-131; </w:t>
      </w:r>
      <w:r w:rsidRPr="00D542E7">
        <w:rPr>
          <w:rFonts w:ascii="Arial" w:hAnsi="Arial" w:cs="Arial"/>
          <w:bCs/>
          <w:i/>
        </w:rPr>
        <w:t>Gozbert Henerico v. United Republic of Tanzania</w:t>
      </w:r>
      <w:r w:rsidRPr="00D542E7">
        <w:rPr>
          <w:rFonts w:ascii="Arial" w:hAnsi="Arial" w:cs="Arial"/>
          <w:bCs/>
        </w:rPr>
        <w:t>, ACtHPR, Application No. 056/2016, Judgment of 10 January 2022, §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9FAB" w14:textId="133FC5EB" w:rsidR="00DA3C78" w:rsidRDefault="00DA3C78">
    <w:pPr>
      <w:pStyle w:val="Header"/>
    </w:pPr>
  </w:p>
  <w:p w14:paraId="10989254" w14:textId="77777777" w:rsidR="00DA3C78" w:rsidRDefault="00DA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C91"/>
    <w:multiLevelType w:val="hybridMultilevel"/>
    <w:tmpl w:val="4870507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DD2B77"/>
    <w:multiLevelType w:val="hybridMultilevel"/>
    <w:tmpl w:val="F060155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6BD290E"/>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A4119C2"/>
    <w:multiLevelType w:val="hybridMultilevel"/>
    <w:tmpl w:val="E7565B34"/>
    <w:lvl w:ilvl="0" w:tplc="0409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B29598E"/>
    <w:multiLevelType w:val="hybridMultilevel"/>
    <w:tmpl w:val="2032760C"/>
    <w:lvl w:ilvl="0" w:tplc="2B2E05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55E85"/>
    <w:multiLevelType w:val="hybridMultilevel"/>
    <w:tmpl w:val="D1C4F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66B81"/>
    <w:multiLevelType w:val="hybridMultilevel"/>
    <w:tmpl w:val="BA168CEC"/>
    <w:lvl w:ilvl="0" w:tplc="CCBE539E">
      <w:start w:val="1"/>
      <w:numFmt w:val="upperLetter"/>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2090F31"/>
    <w:multiLevelType w:val="hybridMultilevel"/>
    <w:tmpl w:val="F43EA5CA"/>
    <w:lvl w:ilvl="0" w:tplc="DF704692">
      <w:start w:val="1"/>
      <w:numFmt w:val="decimal"/>
      <w:lvlText w:val="%1."/>
      <w:lvlJc w:val="left"/>
      <w:pPr>
        <w:ind w:left="-326" w:hanging="360"/>
      </w:pPr>
      <w:rPr>
        <w:rFonts w:ascii="Arial" w:hAnsi="Arial" w:cs="Arial" w:hint="default"/>
        <w:b w:val="0"/>
        <w:bCs w:val="0"/>
      </w:rPr>
    </w:lvl>
    <w:lvl w:ilvl="1" w:tplc="123CF910">
      <w:start w:val="1"/>
      <w:numFmt w:val="lowerRoman"/>
      <w:lvlText w:val="%2."/>
      <w:lvlJc w:val="left"/>
      <w:pPr>
        <w:ind w:left="524" w:hanging="360"/>
      </w:pPr>
      <w:rPr>
        <w:rFonts w:eastAsiaTheme="minorHAnsi" w:hint="default"/>
      </w:rPr>
    </w:lvl>
    <w:lvl w:ilvl="2" w:tplc="5F2C9B6C">
      <w:start w:val="2"/>
      <w:numFmt w:val="upperLetter"/>
      <w:lvlText w:val="%3."/>
      <w:lvlJc w:val="left"/>
      <w:pPr>
        <w:ind w:left="242" w:hanging="360"/>
      </w:pPr>
      <w:rPr>
        <w:rFonts w:hint="default"/>
        <w:b/>
      </w:rPr>
    </w:lvl>
    <w:lvl w:ilvl="3" w:tplc="8BCCA4E4">
      <w:start w:val="1"/>
      <w:numFmt w:val="lowerLetter"/>
      <w:lvlText w:val="%4."/>
      <w:lvlJc w:val="left"/>
      <w:pPr>
        <w:ind w:left="2052" w:hanging="360"/>
      </w:pPr>
      <w:rPr>
        <w:rFonts w:hint="default"/>
      </w:rPr>
    </w:lvl>
    <w:lvl w:ilvl="4" w:tplc="40090019" w:tentative="1">
      <w:start w:val="1"/>
      <w:numFmt w:val="lowerLetter"/>
      <w:lvlText w:val="%5."/>
      <w:lvlJc w:val="left"/>
      <w:pPr>
        <w:ind w:left="2772" w:hanging="360"/>
      </w:pPr>
    </w:lvl>
    <w:lvl w:ilvl="5" w:tplc="4009001B" w:tentative="1">
      <w:start w:val="1"/>
      <w:numFmt w:val="lowerRoman"/>
      <w:lvlText w:val="%6."/>
      <w:lvlJc w:val="right"/>
      <w:pPr>
        <w:ind w:left="3492" w:hanging="180"/>
      </w:pPr>
    </w:lvl>
    <w:lvl w:ilvl="6" w:tplc="4009000F" w:tentative="1">
      <w:start w:val="1"/>
      <w:numFmt w:val="decimal"/>
      <w:lvlText w:val="%7."/>
      <w:lvlJc w:val="left"/>
      <w:pPr>
        <w:ind w:left="4212" w:hanging="360"/>
      </w:pPr>
    </w:lvl>
    <w:lvl w:ilvl="7" w:tplc="40090019" w:tentative="1">
      <w:start w:val="1"/>
      <w:numFmt w:val="lowerLetter"/>
      <w:lvlText w:val="%8."/>
      <w:lvlJc w:val="left"/>
      <w:pPr>
        <w:ind w:left="4932" w:hanging="360"/>
      </w:pPr>
    </w:lvl>
    <w:lvl w:ilvl="8" w:tplc="4009001B" w:tentative="1">
      <w:start w:val="1"/>
      <w:numFmt w:val="lowerRoman"/>
      <w:lvlText w:val="%9."/>
      <w:lvlJc w:val="right"/>
      <w:pPr>
        <w:ind w:left="5652" w:hanging="180"/>
      </w:pPr>
    </w:lvl>
  </w:abstractNum>
  <w:abstractNum w:abstractNumId="8" w15:restartNumberingAfterBreak="0">
    <w:nsid w:val="128D6BDF"/>
    <w:multiLevelType w:val="hybridMultilevel"/>
    <w:tmpl w:val="41B88FE4"/>
    <w:lvl w:ilvl="0" w:tplc="DFB604FA">
      <w:start w:val="1"/>
      <w:numFmt w:val="lowerRoman"/>
      <w:lvlText w:val="%1."/>
      <w:lvlJc w:val="left"/>
      <w:pPr>
        <w:ind w:left="1854" w:hanging="360"/>
      </w:pPr>
      <w:rPr>
        <w:rFonts w:hint="default"/>
        <w:b/>
        <w:color w:val="auto"/>
        <w:sz w:val="24"/>
        <w:szCs w:val="24"/>
      </w:rPr>
    </w:lvl>
    <w:lvl w:ilvl="1" w:tplc="12FEF120">
      <w:start w:val="1"/>
      <w:numFmt w:val="lowerRoman"/>
      <w:lvlText w:val="%2."/>
      <w:lvlJc w:val="left"/>
      <w:pPr>
        <w:ind w:left="2574" w:hanging="360"/>
      </w:pPr>
      <w:rPr>
        <w:rFonts w:hint="default"/>
      </w:r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9" w15:restartNumberingAfterBreak="0">
    <w:nsid w:val="132E0CBF"/>
    <w:multiLevelType w:val="hybridMultilevel"/>
    <w:tmpl w:val="DB04AA14"/>
    <w:lvl w:ilvl="0" w:tplc="964EA07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3F11DE"/>
    <w:multiLevelType w:val="hybridMultilevel"/>
    <w:tmpl w:val="C226B3FC"/>
    <w:lvl w:ilvl="0" w:tplc="39FCE96C">
      <w:start w:val="1"/>
      <w:numFmt w:val="upperLetter"/>
      <w:lvlText w:val="%1."/>
      <w:lvlJc w:val="left"/>
      <w:pPr>
        <w:ind w:left="1080" w:hanging="360"/>
      </w:pPr>
      <w:rPr>
        <w:rFonts w:hint="default"/>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8534CD6"/>
    <w:multiLevelType w:val="hybridMultilevel"/>
    <w:tmpl w:val="79F67990"/>
    <w:lvl w:ilvl="0" w:tplc="20000019">
      <w:start w:val="1"/>
      <w:numFmt w:val="lowerLetter"/>
      <w:lvlText w:val="%1."/>
      <w:lvlJc w:val="left"/>
      <w:pPr>
        <w:ind w:left="2574"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AAA295A"/>
    <w:multiLevelType w:val="hybridMultilevel"/>
    <w:tmpl w:val="BBB4A166"/>
    <w:lvl w:ilvl="0" w:tplc="08090015">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1C687A90"/>
    <w:multiLevelType w:val="hybridMultilevel"/>
    <w:tmpl w:val="649E8CAE"/>
    <w:lvl w:ilvl="0" w:tplc="3D2E7E06">
      <w:start w:val="2"/>
      <w:numFmt w:val="lowerRoman"/>
      <w:lvlText w:val="%1."/>
      <w:lvlJc w:val="left"/>
      <w:pPr>
        <w:ind w:left="25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F50FB"/>
    <w:multiLevelType w:val="hybridMultilevel"/>
    <w:tmpl w:val="F6ACB89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F30CD8"/>
    <w:multiLevelType w:val="hybridMultilevel"/>
    <w:tmpl w:val="9AE0EBCC"/>
    <w:lvl w:ilvl="0" w:tplc="319C76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C239DE"/>
    <w:multiLevelType w:val="hybridMultilevel"/>
    <w:tmpl w:val="F0601552"/>
    <w:lvl w:ilvl="0" w:tplc="6A84E59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9843E3A"/>
    <w:multiLevelType w:val="hybridMultilevel"/>
    <w:tmpl w:val="312E3924"/>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952C94"/>
    <w:multiLevelType w:val="hybridMultilevel"/>
    <w:tmpl w:val="2B129602"/>
    <w:lvl w:ilvl="0" w:tplc="51D601D2">
      <w:start w:val="1"/>
      <w:numFmt w:val="decimal"/>
      <w:lvlText w:val="%1."/>
      <w:lvlJc w:val="left"/>
      <w:pPr>
        <w:ind w:left="1353" w:hanging="360"/>
      </w:pPr>
      <w:rPr>
        <w:rFonts w:ascii="Arial" w:hAnsi="Arial" w:cs="Arial" w:hint="default"/>
        <w:b w:val="0"/>
        <w:i w:val="0"/>
        <w:sz w:val="24"/>
        <w:szCs w:val="24"/>
      </w:rPr>
    </w:lvl>
    <w:lvl w:ilvl="1" w:tplc="6024D096">
      <w:start w:val="1"/>
      <w:numFmt w:val="lowerLetter"/>
      <w:lvlText w:val="%2."/>
      <w:lvlJc w:val="left"/>
      <w:pPr>
        <w:ind w:left="2202" w:hanging="360"/>
      </w:pPr>
      <w:rPr>
        <w:b w:val="0"/>
        <w:bCs/>
        <w:i w:val="0"/>
        <w:sz w:val="24"/>
        <w:szCs w:val="24"/>
      </w:rPr>
    </w:lvl>
    <w:lvl w:ilvl="2" w:tplc="77AC65B2">
      <w:start w:val="1"/>
      <w:numFmt w:val="lowerRoman"/>
      <w:lvlText w:val="%3."/>
      <w:lvlJc w:val="left"/>
      <w:pPr>
        <w:ind w:left="3168" w:hanging="180"/>
      </w:pPr>
      <w:rPr>
        <w:rFonts w:hint="default"/>
        <w:sz w:val="24"/>
        <w:szCs w:val="24"/>
      </w:rPr>
    </w:lvl>
    <w:lvl w:ilvl="3" w:tplc="2C6ECADC">
      <w:start w:val="1"/>
      <w:numFmt w:val="upperLetter"/>
      <w:lvlText w:val="%4."/>
      <w:lvlJc w:val="left"/>
      <w:pPr>
        <w:ind w:left="2922" w:hanging="360"/>
      </w:pPr>
      <w:rPr>
        <w:rFonts w:hint="default"/>
      </w:r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19" w15:restartNumberingAfterBreak="0">
    <w:nsid w:val="3F7E7FA9"/>
    <w:multiLevelType w:val="hybridMultilevel"/>
    <w:tmpl w:val="807A697E"/>
    <w:lvl w:ilvl="0" w:tplc="7C484C7A">
      <w:start w:val="6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F02A5"/>
    <w:multiLevelType w:val="hybridMultilevel"/>
    <w:tmpl w:val="4DA40D98"/>
    <w:lvl w:ilvl="0" w:tplc="C8F4C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0A7126"/>
    <w:multiLevelType w:val="hybridMultilevel"/>
    <w:tmpl w:val="6AEEB992"/>
    <w:lvl w:ilvl="0" w:tplc="BB66B70C">
      <w:start w:val="22"/>
      <w:numFmt w:val="decimal"/>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D3A6E"/>
    <w:multiLevelType w:val="hybridMultilevel"/>
    <w:tmpl w:val="7840A434"/>
    <w:lvl w:ilvl="0" w:tplc="0409001B">
      <w:start w:val="1"/>
      <w:numFmt w:val="lowerRoman"/>
      <w:lvlText w:val="%1."/>
      <w:lvlJc w:val="right"/>
      <w:pPr>
        <w:ind w:left="720" w:hanging="360"/>
      </w:pPr>
    </w:lvl>
    <w:lvl w:ilvl="1" w:tplc="1C2ABE46">
      <w:start w:val="1"/>
      <w:numFmt w:val="lowerLetter"/>
      <w:lvlText w:val="%2."/>
      <w:lvlJc w:val="left"/>
      <w:pPr>
        <w:ind w:left="1440" w:hanging="360"/>
      </w:pPr>
      <w:rPr>
        <w:rFonts w:hint="default"/>
      </w:rPr>
    </w:lvl>
    <w:lvl w:ilvl="2" w:tplc="E39A40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72987"/>
    <w:multiLevelType w:val="hybridMultilevel"/>
    <w:tmpl w:val="201C53F4"/>
    <w:lvl w:ilvl="0" w:tplc="5C1AAF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F540D12"/>
    <w:multiLevelType w:val="hybridMultilevel"/>
    <w:tmpl w:val="4336BB56"/>
    <w:lvl w:ilvl="0" w:tplc="1F0A0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E553C"/>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58214FE"/>
    <w:multiLevelType w:val="hybridMultilevel"/>
    <w:tmpl w:val="45EE4306"/>
    <w:lvl w:ilvl="0" w:tplc="AEEAD8A4">
      <w:start w:val="1"/>
      <w:numFmt w:val="lowerLetter"/>
      <w:lvlText w:val="%1)"/>
      <w:lvlJc w:val="left"/>
      <w:pPr>
        <w:ind w:left="1440" w:hanging="360"/>
      </w:pPr>
      <w:rPr>
        <w:b w:val="0"/>
      </w:rPr>
    </w:lvl>
    <w:lvl w:ilvl="1" w:tplc="04870019" w:tentative="1">
      <w:start w:val="1"/>
      <w:numFmt w:val="lowerLetter"/>
      <w:lvlText w:val="%2."/>
      <w:lvlJc w:val="left"/>
      <w:pPr>
        <w:ind w:left="2160" w:hanging="360"/>
      </w:pPr>
    </w:lvl>
    <w:lvl w:ilvl="2" w:tplc="0487001B" w:tentative="1">
      <w:start w:val="1"/>
      <w:numFmt w:val="lowerRoman"/>
      <w:lvlText w:val="%3."/>
      <w:lvlJc w:val="right"/>
      <w:pPr>
        <w:ind w:left="2880" w:hanging="180"/>
      </w:pPr>
    </w:lvl>
    <w:lvl w:ilvl="3" w:tplc="0487000F" w:tentative="1">
      <w:start w:val="1"/>
      <w:numFmt w:val="decimal"/>
      <w:lvlText w:val="%4."/>
      <w:lvlJc w:val="left"/>
      <w:pPr>
        <w:ind w:left="3600" w:hanging="360"/>
      </w:pPr>
    </w:lvl>
    <w:lvl w:ilvl="4" w:tplc="04870019" w:tentative="1">
      <w:start w:val="1"/>
      <w:numFmt w:val="lowerLetter"/>
      <w:lvlText w:val="%5."/>
      <w:lvlJc w:val="left"/>
      <w:pPr>
        <w:ind w:left="4320" w:hanging="360"/>
      </w:pPr>
    </w:lvl>
    <w:lvl w:ilvl="5" w:tplc="0487001B" w:tentative="1">
      <w:start w:val="1"/>
      <w:numFmt w:val="lowerRoman"/>
      <w:lvlText w:val="%6."/>
      <w:lvlJc w:val="right"/>
      <w:pPr>
        <w:ind w:left="5040" w:hanging="180"/>
      </w:pPr>
    </w:lvl>
    <w:lvl w:ilvl="6" w:tplc="0487000F" w:tentative="1">
      <w:start w:val="1"/>
      <w:numFmt w:val="decimal"/>
      <w:lvlText w:val="%7."/>
      <w:lvlJc w:val="left"/>
      <w:pPr>
        <w:ind w:left="5760" w:hanging="360"/>
      </w:pPr>
    </w:lvl>
    <w:lvl w:ilvl="7" w:tplc="04870019" w:tentative="1">
      <w:start w:val="1"/>
      <w:numFmt w:val="lowerLetter"/>
      <w:lvlText w:val="%8."/>
      <w:lvlJc w:val="left"/>
      <w:pPr>
        <w:ind w:left="6480" w:hanging="360"/>
      </w:pPr>
    </w:lvl>
    <w:lvl w:ilvl="8" w:tplc="0487001B" w:tentative="1">
      <w:start w:val="1"/>
      <w:numFmt w:val="lowerRoman"/>
      <w:lvlText w:val="%9."/>
      <w:lvlJc w:val="right"/>
      <w:pPr>
        <w:ind w:left="7200" w:hanging="180"/>
      </w:pPr>
    </w:lvl>
  </w:abstractNum>
  <w:abstractNum w:abstractNumId="27" w15:restartNumberingAfterBreak="0">
    <w:nsid w:val="55C51D14"/>
    <w:multiLevelType w:val="hybridMultilevel"/>
    <w:tmpl w:val="8326A71A"/>
    <w:lvl w:ilvl="0" w:tplc="DFB604FA">
      <w:start w:val="1"/>
      <w:numFmt w:val="lowerRoman"/>
      <w:lvlText w:val="%1."/>
      <w:lvlJc w:val="left"/>
      <w:pPr>
        <w:ind w:left="720" w:hanging="360"/>
      </w:pPr>
      <w:rPr>
        <w:rFonts w:hint="default"/>
        <w:b/>
        <w:color w:val="auto"/>
        <w:sz w:val="24"/>
        <w:szCs w:val="24"/>
      </w:rPr>
    </w:lvl>
    <w:lvl w:ilvl="1" w:tplc="13A29E16">
      <w:start w:val="1"/>
      <w:numFmt w:val="lowerRoman"/>
      <w:lvlText w:val="%2."/>
      <w:lvlJc w:val="left"/>
      <w:pPr>
        <w:ind w:left="2574" w:hanging="360"/>
      </w:pPr>
      <w:rPr>
        <w:rFonts w:hint="default"/>
        <w:color w:val="auto"/>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302694"/>
    <w:multiLevelType w:val="hybridMultilevel"/>
    <w:tmpl w:val="AFA26426"/>
    <w:lvl w:ilvl="0" w:tplc="FFFFFFFF">
      <w:start w:val="1"/>
      <w:numFmt w:val="lowerRoman"/>
      <w:lvlText w:val="%1."/>
      <w:lvlJc w:val="right"/>
      <w:pPr>
        <w:ind w:left="1440" w:hanging="360"/>
      </w:pPr>
      <w:rPr>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DD631FA"/>
    <w:multiLevelType w:val="hybridMultilevel"/>
    <w:tmpl w:val="ED64989C"/>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30B6068"/>
    <w:multiLevelType w:val="multilevel"/>
    <w:tmpl w:val="5A3AB986"/>
    <w:lvl w:ilvl="0">
      <w:start w:val="1"/>
      <w:numFmt w:val="lowerRoman"/>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070478"/>
    <w:multiLevelType w:val="hybridMultilevel"/>
    <w:tmpl w:val="0826ECD8"/>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54F5E9A"/>
    <w:multiLevelType w:val="hybridMultilevel"/>
    <w:tmpl w:val="059ECF74"/>
    <w:lvl w:ilvl="0" w:tplc="8FA4F304">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33494"/>
    <w:multiLevelType w:val="hybridMultilevel"/>
    <w:tmpl w:val="326CA40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74A4F16"/>
    <w:multiLevelType w:val="hybridMultilevel"/>
    <w:tmpl w:val="732CF4EC"/>
    <w:lvl w:ilvl="0" w:tplc="A7A4DB1A">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9B352B9"/>
    <w:multiLevelType w:val="hybridMultilevel"/>
    <w:tmpl w:val="73BA41F4"/>
    <w:lvl w:ilvl="0" w:tplc="FFFFFFFF">
      <w:start w:val="1"/>
      <w:numFmt w:val="decimal"/>
      <w:lvlText w:val="%1."/>
      <w:lvlJc w:val="left"/>
      <w:pPr>
        <w:ind w:left="360" w:hanging="360"/>
      </w:pPr>
      <w:rPr>
        <w:rFonts w:ascii="Arial" w:hAnsi="Arial" w:cs="Arial" w:hint="default"/>
        <w:b w:val="0"/>
      </w:rPr>
    </w:lvl>
    <w:lvl w:ilvl="1" w:tplc="7B3E751E">
      <w:start w:val="1"/>
      <w:numFmt w:val="lowerRoman"/>
      <w:lvlText w:val="%2."/>
      <w:lvlJc w:val="left"/>
      <w:pPr>
        <w:ind w:left="2160" w:hanging="360"/>
      </w:pPr>
      <w:rPr>
        <w:rFonts w:hint="default"/>
        <w:b/>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AAA478C"/>
    <w:multiLevelType w:val="hybridMultilevel"/>
    <w:tmpl w:val="F060155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AB4434B"/>
    <w:multiLevelType w:val="hybridMultilevel"/>
    <w:tmpl w:val="C408DB06"/>
    <w:lvl w:ilvl="0" w:tplc="28C2EFD0">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C6B31"/>
    <w:multiLevelType w:val="hybridMultilevel"/>
    <w:tmpl w:val="66F68910"/>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18C6A63"/>
    <w:multiLevelType w:val="hybridMultilevel"/>
    <w:tmpl w:val="DD92BEF8"/>
    <w:lvl w:ilvl="0" w:tplc="0409000F">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300A6"/>
    <w:multiLevelType w:val="hybridMultilevel"/>
    <w:tmpl w:val="D702FD8C"/>
    <w:lvl w:ilvl="0" w:tplc="C4E039D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DBC61EF"/>
    <w:multiLevelType w:val="hybridMultilevel"/>
    <w:tmpl w:val="899A5BB0"/>
    <w:lvl w:ilvl="0" w:tplc="825212D2">
      <w:start w:val="1"/>
      <w:numFmt w:val="decimal"/>
      <w:lvlText w:val="%1."/>
      <w:lvlJc w:val="left"/>
      <w:pPr>
        <w:ind w:left="450" w:hanging="360"/>
      </w:pPr>
      <w:rPr>
        <w:rFonts w:ascii="Arial" w:hAnsi="Arial" w:cs="Arial" w:hint="default"/>
        <w:b w:val="0"/>
      </w:rPr>
    </w:lvl>
    <w:lvl w:ilvl="1" w:tplc="DFB604FA">
      <w:start w:val="1"/>
      <w:numFmt w:val="lowerRoman"/>
      <w:lvlText w:val="%2."/>
      <w:lvlJc w:val="left"/>
      <w:pPr>
        <w:ind w:left="2250" w:hanging="360"/>
      </w:pPr>
      <w:rPr>
        <w:rFonts w:hint="default"/>
        <w:b/>
        <w:color w:val="auto"/>
        <w:sz w:val="24"/>
        <w:szCs w:val="24"/>
      </w:r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num w:numId="1" w16cid:durableId="496965139">
    <w:abstractNumId w:val="40"/>
  </w:num>
  <w:num w:numId="2" w16cid:durableId="738360166">
    <w:abstractNumId w:val="41"/>
  </w:num>
  <w:num w:numId="3" w16cid:durableId="429089837">
    <w:abstractNumId w:val="26"/>
  </w:num>
  <w:num w:numId="4" w16cid:durableId="1598899610">
    <w:abstractNumId w:val="31"/>
  </w:num>
  <w:num w:numId="5" w16cid:durableId="532577676">
    <w:abstractNumId w:val="39"/>
  </w:num>
  <w:num w:numId="6" w16cid:durableId="245726914">
    <w:abstractNumId w:val="21"/>
  </w:num>
  <w:num w:numId="7" w16cid:durableId="671298277">
    <w:abstractNumId w:val="38"/>
  </w:num>
  <w:num w:numId="8" w16cid:durableId="1649820905">
    <w:abstractNumId w:val="3"/>
  </w:num>
  <w:num w:numId="9" w16cid:durableId="1800495487">
    <w:abstractNumId w:val="10"/>
  </w:num>
  <w:num w:numId="10" w16cid:durableId="973679156">
    <w:abstractNumId w:val="4"/>
  </w:num>
  <w:num w:numId="11" w16cid:durableId="139660830">
    <w:abstractNumId w:val="9"/>
  </w:num>
  <w:num w:numId="12" w16cid:durableId="1097751715">
    <w:abstractNumId w:val="20"/>
  </w:num>
  <w:num w:numId="13" w16cid:durableId="1277716852">
    <w:abstractNumId w:val="15"/>
  </w:num>
  <w:num w:numId="14" w16cid:durableId="583339689">
    <w:abstractNumId w:val="16"/>
  </w:num>
  <w:num w:numId="15" w16cid:durableId="2137017281">
    <w:abstractNumId w:val="6"/>
  </w:num>
  <w:num w:numId="16" w16cid:durableId="1399789034">
    <w:abstractNumId w:val="5"/>
  </w:num>
  <w:num w:numId="17" w16cid:durableId="1517962805">
    <w:abstractNumId w:val="33"/>
  </w:num>
  <w:num w:numId="18" w16cid:durableId="300770756">
    <w:abstractNumId w:val="34"/>
  </w:num>
  <w:num w:numId="19" w16cid:durableId="1636910083">
    <w:abstractNumId w:val="7"/>
  </w:num>
  <w:num w:numId="20" w16cid:durableId="1424758692">
    <w:abstractNumId w:val="23"/>
  </w:num>
  <w:num w:numId="21" w16cid:durableId="1479687058">
    <w:abstractNumId w:val="28"/>
  </w:num>
  <w:num w:numId="22" w16cid:durableId="1454859851">
    <w:abstractNumId w:val="18"/>
  </w:num>
  <w:num w:numId="23" w16cid:durableId="1371809069">
    <w:abstractNumId w:val="30"/>
  </w:num>
  <w:num w:numId="24" w16cid:durableId="1267612773">
    <w:abstractNumId w:val="24"/>
  </w:num>
  <w:num w:numId="25" w16cid:durableId="1335381631">
    <w:abstractNumId w:val="2"/>
  </w:num>
  <w:num w:numId="26" w16cid:durableId="130438587">
    <w:abstractNumId w:val="25"/>
  </w:num>
  <w:num w:numId="27" w16cid:durableId="564922434">
    <w:abstractNumId w:val="12"/>
  </w:num>
  <w:num w:numId="28" w16cid:durableId="1896424286">
    <w:abstractNumId w:val="36"/>
  </w:num>
  <w:num w:numId="29" w16cid:durableId="480463947">
    <w:abstractNumId w:val="1"/>
  </w:num>
  <w:num w:numId="30" w16cid:durableId="531304358">
    <w:abstractNumId w:val="22"/>
  </w:num>
  <w:num w:numId="31" w16cid:durableId="1648391540">
    <w:abstractNumId w:val="14"/>
  </w:num>
  <w:num w:numId="32" w16cid:durableId="1342902113">
    <w:abstractNumId w:val="37"/>
  </w:num>
  <w:num w:numId="33" w16cid:durableId="60107975">
    <w:abstractNumId w:val="19"/>
  </w:num>
  <w:num w:numId="34" w16cid:durableId="602298048">
    <w:abstractNumId w:val="29"/>
  </w:num>
  <w:num w:numId="35" w16cid:durableId="896477075">
    <w:abstractNumId w:val="32"/>
  </w:num>
  <w:num w:numId="36" w16cid:durableId="1986349762">
    <w:abstractNumId w:val="8"/>
  </w:num>
  <w:num w:numId="37" w16cid:durableId="797603703">
    <w:abstractNumId w:val="27"/>
  </w:num>
  <w:num w:numId="38" w16cid:durableId="147521863">
    <w:abstractNumId w:val="13"/>
  </w:num>
  <w:num w:numId="39" w16cid:durableId="652098413">
    <w:abstractNumId w:val="35"/>
  </w:num>
  <w:num w:numId="40" w16cid:durableId="407962753">
    <w:abstractNumId w:val="0"/>
  </w:num>
  <w:num w:numId="41" w16cid:durableId="1612056390">
    <w:abstractNumId w:val="11"/>
  </w:num>
  <w:num w:numId="42" w16cid:durableId="127240057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75"/>
    <w:rsid w:val="00000E8C"/>
    <w:rsid w:val="00001F94"/>
    <w:rsid w:val="00002044"/>
    <w:rsid w:val="00006845"/>
    <w:rsid w:val="00013DEC"/>
    <w:rsid w:val="00014B44"/>
    <w:rsid w:val="00016405"/>
    <w:rsid w:val="00017175"/>
    <w:rsid w:val="00017FF9"/>
    <w:rsid w:val="000202D0"/>
    <w:rsid w:val="000207A6"/>
    <w:rsid w:val="00020EEE"/>
    <w:rsid w:val="000253EA"/>
    <w:rsid w:val="000256AE"/>
    <w:rsid w:val="00025CDD"/>
    <w:rsid w:val="000279C0"/>
    <w:rsid w:val="00032DDF"/>
    <w:rsid w:val="00033FB2"/>
    <w:rsid w:val="00034A0F"/>
    <w:rsid w:val="00035C8C"/>
    <w:rsid w:val="00040132"/>
    <w:rsid w:val="000418B4"/>
    <w:rsid w:val="00044FE3"/>
    <w:rsid w:val="0004687C"/>
    <w:rsid w:val="00052D1E"/>
    <w:rsid w:val="00052F7C"/>
    <w:rsid w:val="00055F8D"/>
    <w:rsid w:val="000561ED"/>
    <w:rsid w:val="00061D92"/>
    <w:rsid w:val="000642C9"/>
    <w:rsid w:val="00066481"/>
    <w:rsid w:val="00067A1C"/>
    <w:rsid w:val="00067D2D"/>
    <w:rsid w:val="0007615C"/>
    <w:rsid w:val="0007730C"/>
    <w:rsid w:val="00077F9A"/>
    <w:rsid w:val="000809A0"/>
    <w:rsid w:val="0008258B"/>
    <w:rsid w:val="00086316"/>
    <w:rsid w:val="00091FC2"/>
    <w:rsid w:val="00093987"/>
    <w:rsid w:val="00093C4B"/>
    <w:rsid w:val="00093CA3"/>
    <w:rsid w:val="00093EF7"/>
    <w:rsid w:val="00094B3D"/>
    <w:rsid w:val="00095BF3"/>
    <w:rsid w:val="0009712C"/>
    <w:rsid w:val="000A2DB0"/>
    <w:rsid w:val="000A418B"/>
    <w:rsid w:val="000A5330"/>
    <w:rsid w:val="000A55D9"/>
    <w:rsid w:val="000A604D"/>
    <w:rsid w:val="000A7ACD"/>
    <w:rsid w:val="000B092A"/>
    <w:rsid w:val="000B5F04"/>
    <w:rsid w:val="000B6D66"/>
    <w:rsid w:val="000B7988"/>
    <w:rsid w:val="000B7C8A"/>
    <w:rsid w:val="000C0798"/>
    <w:rsid w:val="000C0A8D"/>
    <w:rsid w:val="000C163B"/>
    <w:rsid w:val="000C246A"/>
    <w:rsid w:val="000D4EB8"/>
    <w:rsid w:val="000D5CA4"/>
    <w:rsid w:val="000D6FD1"/>
    <w:rsid w:val="000D70DB"/>
    <w:rsid w:val="000E1135"/>
    <w:rsid w:val="000E1AD8"/>
    <w:rsid w:val="000E2916"/>
    <w:rsid w:val="000E4478"/>
    <w:rsid w:val="000E467D"/>
    <w:rsid w:val="000E49A9"/>
    <w:rsid w:val="000F5D74"/>
    <w:rsid w:val="000F615A"/>
    <w:rsid w:val="00103725"/>
    <w:rsid w:val="00106DAF"/>
    <w:rsid w:val="001071A4"/>
    <w:rsid w:val="00110E75"/>
    <w:rsid w:val="001111BB"/>
    <w:rsid w:val="00113003"/>
    <w:rsid w:val="0011370F"/>
    <w:rsid w:val="00115F60"/>
    <w:rsid w:val="001210D8"/>
    <w:rsid w:val="001219BA"/>
    <w:rsid w:val="00122258"/>
    <w:rsid w:val="0012333E"/>
    <w:rsid w:val="00126060"/>
    <w:rsid w:val="0013525A"/>
    <w:rsid w:val="0014312E"/>
    <w:rsid w:val="0014394F"/>
    <w:rsid w:val="00147CEB"/>
    <w:rsid w:val="00150444"/>
    <w:rsid w:val="00151867"/>
    <w:rsid w:val="0015340B"/>
    <w:rsid w:val="00160E21"/>
    <w:rsid w:val="00162A73"/>
    <w:rsid w:val="001707B0"/>
    <w:rsid w:val="001711B7"/>
    <w:rsid w:val="00171F7F"/>
    <w:rsid w:val="00190D6E"/>
    <w:rsid w:val="00191617"/>
    <w:rsid w:val="00191D2F"/>
    <w:rsid w:val="00192701"/>
    <w:rsid w:val="00194258"/>
    <w:rsid w:val="001A0239"/>
    <w:rsid w:val="001A0679"/>
    <w:rsid w:val="001A2C96"/>
    <w:rsid w:val="001A2D01"/>
    <w:rsid w:val="001A4B31"/>
    <w:rsid w:val="001A6CB7"/>
    <w:rsid w:val="001B0278"/>
    <w:rsid w:val="001B2323"/>
    <w:rsid w:val="001B3DA3"/>
    <w:rsid w:val="001B7C61"/>
    <w:rsid w:val="001C789E"/>
    <w:rsid w:val="001D0273"/>
    <w:rsid w:val="001D31FB"/>
    <w:rsid w:val="001D322A"/>
    <w:rsid w:val="001D52A2"/>
    <w:rsid w:val="001E7755"/>
    <w:rsid w:val="001F0A3E"/>
    <w:rsid w:val="001F17AF"/>
    <w:rsid w:val="001F1DFC"/>
    <w:rsid w:val="001F267F"/>
    <w:rsid w:val="001F30D5"/>
    <w:rsid w:val="001F6963"/>
    <w:rsid w:val="001F7D16"/>
    <w:rsid w:val="002002E4"/>
    <w:rsid w:val="002052D4"/>
    <w:rsid w:val="00207E9E"/>
    <w:rsid w:val="0021084E"/>
    <w:rsid w:val="00211B4A"/>
    <w:rsid w:val="00212A59"/>
    <w:rsid w:val="00214A29"/>
    <w:rsid w:val="00214E7D"/>
    <w:rsid w:val="00216D0B"/>
    <w:rsid w:val="00220A05"/>
    <w:rsid w:val="0022177A"/>
    <w:rsid w:val="00222E25"/>
    <w:rsid w:val="00232E49"/>
    <w:rsid w:val="002411B2"/>
    <w:rsid w:val="00241EBB"/>
    <w:rsid w:val="002431B5"/>
    <w:rsid w:val="002467F8"/>
    <w:rsid w:val="0024734D"/>
    <w:rsid w:val="002474F5"/>
    <w:rsid w:val="0024750A"/>
    <w:rsid w:val="00250B8F"/>
    <w:rsid w:val="002512BE"/>
    <w:rsid w:val="00251425"/>
    <w:rsid w:val="002545C3"/>
    <w:rsid w:val="0025725F"/>
    <w:rsid w:val="00257E63"/>
    <w:rsid w:val="002608E1"/>
    <w:rsid w:val="002619F2"/>
    <w:rsid w:val="00262084"/>
    <w:rsid w:val="00270C1E"/>
    <w:rsid w:val="0027518C"/>
    <w:rsid w:val="002753C1"/>
    <w:rsid w:val="00275828"/>
    <w:rsid w:val="00287116"/>
    <w:rsid w:val="00290C2E"/>
    <w:rsid w:val="002933AE"/>
    <w:rsid w:val="00294C67"/>
    <w:rsid w:val="002A037B"/>
    <w:rsid w:val="002A3D6E"/>
    <w:rsid w:val="002A46EA"/>
    <w:rsid w:val="002B4A32"/>
    <w:rsid w:val="002B50CC"/>
    <w:rsid w:val="002B6E24"/>
    <w:rsid w:val="002B6E7C"/>
    <w:rsid w:val="002B71B0"/>
    <w:rsid w:val="002C0AD5"/>
    <w:rsid w:val="002C4346"/>
    <w:rsid w:val="002C6FD3"/>
    <w:rsid w:val="002C75A2"/>
    <w:rsid w:val="002C7BAB"/>
    <w:rsid w:val="002D12ED"/>
    <w:rsid w:val="002D2367"/>
    <w:rsid w:val="002D4240"/>
    <w:rsid w:val="002D4F8B"/>
    <w:rsid w:val="002D59AF"/>
    <w:rsid w:val="002D6E7E"/>
    <w:rsid w:val="002E5B24"/>
    <w:rsid w:val="002E742A"/>
    <w:rsid w:val="002F15E9"/>
    <w:rsid w:val="002F3B48"/>
    <w:rsid w:val="002F436F"/>
    <w:rsid w:val="002F46EC"/>
    <w:rsid w:val="0030071E"/>
    <w:rsid w:val="00311E7D"/>
    <w:rsid w:val="00313F94"/>
    <w:rsid w:val="00314364"/>
    <w:rsid w:val="003161D7"/>
    <w:rsid w:val="00317121"/>
    <w:rsid w:val="00327A59"/>
    <w:rsid w:val="00330F56"/>
    <w:rsid w:val="00332829"/>
    <w:rsid w:val="003337D1"/>
    <w:rsid w:val="003348CD"/>
    <w:rsid w:val="00336C1A"/>
    <w:rsid w:val="00340359"/>
    <w:rsid w:val="00340838"/>
    <w:rsid w:val="003408B7"/>
    <w:rsid w:val="003414E7"/>
    <w:rsid w:val="0034728D"/>
    <w:rsid w:val="003625E5"/>
    <w:rsid w:val="0036475A"/>
    <w:rsid w:val="003647A5"/>
    <w:rsid w:val="00370411"/>
    <w:rsid w:val="003714CA"/>
    <w:rsid w:val="00372864"/>
    <w:rsid w:val="00372B14"/>
    <w:rsid w:val="00382154"/>
    <w:rsid w:val="00383EAB"/>
    <w:rsid w:val="003855B6"/>
    <w:rsid w:val="00386B79"/>
    <w:rsid w:val="00387CBE"/>
    <w:rsid w:val="00392822"/>
    <w:rsid w:val="0039376A"/>
    <w:rsid w:val="00395BD4"/>
    <w:rsid w:val="00395EAB"/>
    <w:rsid w:val="003960B0"/>
    <w:rsid w:val="003A08E7"/>
    <w:rsid w:val="003A6298"/>
    <w:rsid w:val="003B4D7B"/>
    <w:rsid w:val="003B62D2"/>
    <w:rsid w:val="003B663F"/>
    <w:rsid w:val="003B6E5A"/>
    <w:rsid w:val="003B7542"/>
    <w:rsid w:val="003C14CA"/>
    <w:rsid w:val="003C1DA6"/>
    <w:rsid w:val="003C36A3"/>
    <w:rsid w:val="003C424B"/>
    <w:rsid w:val="003C4351"/>
    <w:rsid w:val="003C5886"/>
    <w:rsid w:val="003C6B0E"/>
    <w:rsid w:val="003D26DC"/>
    <w:rsid w:val="003E2818"/>
    <w:rsid w:val="003E5AA5"/>
    <w:rsid w:val="003E7037"/>
    <w:rsid w:val="003F5A49"/>
    <w:rsid w:val="003F7F5F"/>
    <w:rsid w:val="004007F0"/>
    <w:rsid w:val="0040082D"/>
    <w:rsid w:val="00401260"/>
    <w:rsid w:val="00401812"/>
    <w:rsid w:val="00406856"/>
    <w:rsid w:val="00407BE7"/>
    <w:rsid w:val="0041677F"/>
    <w:rsid w:val="004217A1"/>
    <w:rsid w:val="00421EE6"/>
    <w:rsid w:val="00425EBE"/>
    <w:rsid w:val="00432C11"/>
    <w:rsid w:val="004336D4"/>
    <w:rsid w:val="0043416C"/>
    <w:rsid w:val="00435ED9"/>
    <w:rsid w:val="004362E9"/>
    <w:rsid w:val="00437505"/>
    <w:rsid w:val="00437C98"/>
    <w:rsid w:val="004412C9"/>
    <w:rsid w:val="0044317E"/>
    <w:rsid w:val="00444065"/>
    <w:rsid w:val="00447F46"/>
    <w:rsid w:val="004507DF"/>
    <w:rsid w:val="00452219"/>
    <w:rsid w:val="00454B70"/>
    <w:rsid w:val="00455076"/>
    <w:rsid w:val="00457BB2"/>
    <w:rsid w:val="00462903"/>
    <w:rsid w:val="00462DF5"/>
    <w:rsid w:val="0046557B"/>
    <w:rsid w:val="0046593E"/>
    <w:rsid w:val="0047076F"/>
    <w:rsid w:val="00472824"/>
    <w:rsid w:val="004765FD"/>
    <w:rsid w:val="00480DA6"/>
    <w:rsid w:val="00481A6B"/>
    <w:rsid w:val="00482237"/>
    <w:rsid w:val="004948B1"/>
    <w:rsid w:val="0049614B"/>
    <w:rsid w:val="0049717E"/>
    <w:rsid w:val="0049757C"/>
    <w:rsid w:val="004975F5"/>
    <w:rsid w:val="004A3CA5"/>
    <w:rsid w:val="004A7DA0"/>
    <w:rsid w:val="004B3B3B"/>
    <w:rsid w:val="004B6B87"/>
    <w:rsid w:val="004B7BF6"/>
    <w:rsid w:val="004C1FF6"/>
    <w:rsid w:val="004C299D"/>
    <w:rsid w:val="004C3C4C"/>
    <w:rsid w:val="004C6121"/>
    <w:rsid w:val="004C7281"/>
    <w:rsid w:val="004D1649"/>
    <w:rsid w:val="004D3097"/>
    <w:rsid w:val="004D35BA"/>
    <w:rsid w:val="004D3DCC"/>
    <w:rsid w:val="004D4485"/>
    <w:rsid w:val="004D6022"/>
    <w:rsid w:val="004E2415"/>
    <w:rsid w:val="004E4FF6"/>
    <w:rsid w:val="004F2963"/>
    <w:rsid w:val="004F3C8A"/>
    <w:rsid w:val="004F5E58"/>
    <w:rsid w:val="004F6E8C"/>
    <w:rsid w:val="004F6F32"/>
    <w:rsid w:val="00500952"/>
    <w:rsid w:val="005009AF"/>
    <w:rsid w:val="00501576"/>
    <w:rsid w:val="005034A6"/>
    <w:rsid w:val="00510C55"/>
    <w:rsid w:val="0051669D"/>
    <w:rsid w:val="005202EE"/>
    <w:rsid w:val="005205BE"/>
    <w:rsid w:val="005218A9"/>
    <w:rsid w:val="00522A4A"/>
    <w:rsid w:val="00523F53"/>
    <w:rsid w:val="005242AF"/>
    <w:rsid w:val="00524CA5"/>
    <w:rsid w:val="00531468"/>
    <w:rsid w:val="00532839"/>
    <w:rsid w:val="00532961"/>
    <w:rsid w:val="0053679B"/>
    <w:rsid w:val="0054187B"/>
    <w:rsid w:val="00541B95"/>
    <w:rsid w:val="00543DA2"/>
    <w:rsid w:val="00546A43"/>
    <w:rsid w:val="00546E39"/>
    <w:rsid w:val="0054779C"/>
    <w:rsid w:val="00550410"/>
    <w:rsid w:val="00554EF9"/>
    <w:rsid w:val="00555999"/>
    <w:rsid w:val="005575C4"/>
    <w:rsid w:val="0056009A"/>
    <w:rsid w:val="00563279"/>
    <w:rsid w:val="00563752"/>
    <w:rsid w:val="0057189C"/>
    <w:rsid w:val="00571D8C"/>
    <w:rsid w:val="00573A60"/>
    <w:rsid w:val="00575578"/>
    <w:rsid w:val="00580378"/>
    <w:rsid w:val="00580E70"/>
    <w:rsid w:val="00582BC0"/>
    <w:rsid w:val="00584857"/>
    <w:rsid w:val="00584B95"/>
    <w:rsid w:val="005856F4"/>
    <w:rsid w:val="00585B14"/>
    <w:rsid w:val="00587E66"/>
    <w:rsid w:val="005916B3"/>
    <w:rsid w:val="005939EE"/>
    <w:rsid w:val="005A53B4"/>
    <w:rsid w:val="005A5BB9"/>
    <w:rsid w:val="005A62AA"/>
    <w:rsid w:val="005A644C"/>
    <w:rsid w:val="005A6629"/>
    <w:rsid w:val="005A726B"/>
    <w:rsid w:val="005B14B5"/>
    <w:rsid w:val="005B1B79"/>
    <w:rsid w:val="005B20E7"/>
    <w:rsid w:val="005B4830"/>
    <w:rsid w:val="005C22F3"/>
    <w:rsid w:val="005D1F30"/>
    <w:rsid w:val="005D7598"/>
    <w:rsid w:val="005E1690"/>
    <w:rsid w:val="005F32E3"/>
    <w:rsid w:val="005F57F1"/>
    <w:rsid w:val="005F6E19"/>
    <w:rsid w:val="00600ECB"/>
    <w:rsid w:val="00605C63"/>
    <w:rsid w:val="0061200F"/>
    <w:rsid w:val="00612D3E"/>
    <w:rsid w:val="00612DE0"/>
    <w:rsid w:val="00613D87"/>
    <w:rsid w:val="00615770"/>
    <w:rsid w:val="006200DB"/>
    <w:rsid w:val="00621DAC"/>
    <w:rsid w:val="00621F3D"/>
    <w:rsid w:val="00624BAA"/>
    <w:rsid w:val="006307B0"/>
    <w:rsid w:val="00630C68"/>
    <w:rsid w:val="0063402A"/>
    <w:rsid w:val="0063673F"/>
    <w:rsid w:val="0063734B"/>
    <w:rsid w:val="00642053"/>
    <w:rsid w:val="00645794"/>
    <w:rsid w:val="00646D75"/>
    <w:rsid w:val="006518F4"/>
    <w:rsid w:val="00652FD8"/>
    <w:rsid w:val="0065452E"/>
    <w:rsid w:val="006546E3"/>
    <w:rsid w:val="00657AD2"/>
    <w:rsid w:val="006613D6"/>
    <w:rsid w:val="00661744"/>
    <w:rsid w:val="00661CF6"/>
    <w:rsid w:val="006621BA"/>
    <w:rsid w:val="00662DB0"/>
    <w:rsid w:val="00664498"/>
    <w:rsid w:val="00667E13"/>
    <w:rsid w:val="00675A7E"/>
    <w:rsid w:val="00680D49"/>
    <w:rsid w:val="00684325"/>
    <w:rsid w:val="0068586F"/>
    <w:rsid w:val="006877B6"/>
    <w:rsid w:val="00687CBD"/>
    <w:rsid w:val="00692644"/>
    <w:rsid w:val="006931E0"/>
    <w:rsid w:val="006A0EA7"/>
    <w:rsid w:val="006A1E76"/>
    <w:rsid w:val="006A1FFE"/>
    <w:rsid w:val="006A2484"/>
    <w:rsid w:val="006A2760"/>
    <w:rsid w:val="006A2FA0"/>
    <w:rsid w:val="006B070F"/>
    <w:rsid w:val="006B43DB"/>
    <w:rsid w:val="006B6FEC"/>
    <w:rsid w:val="006C5B2C"/>
    <w:rsid w:val="006C6409"/>
    <w:rsid w:val="006C78AB"/>
    <w:rsid w:val="006D259A"/>
    <w:rsid w:val="006D3505"/>
    <w:rsid w:val="006D400F"/>
    <w:rsid w:val="006E0086"/>
    <w:rsid w:val="006E2EBD"/>
    <w:rsid w:val="006E37DB"/>
    <w:rsid w:val="006F2311"/>
    <w:rsid w:val="006F3070"/>
    <w:rsid w:val="006F4157"/>
    <w:rsid w:val="006F5BC2"/>
    <w:rsid w:val="006F5C73"/>
    <w:rsid w:val="007027B0"/>
    <w:rsid w:val="00703036"/>
    <w:rsid w:val="007035D1"/>
    <w:rsid w:val="00704941"/>
    <w:rsid w:val="00704F98"/>
    <w:rsid w:val="00706425"/>
    <w:rsid w:val="0070689E"/>
    <w:rsid w:val="00707932"/>
    <w:rsid w:val="00716445"/>
    <w:rsid w:val="0072165D"/>
    <w:rsid w:val="007227F1"/>
    <w:rsid w:val="0072289C"/>
    <w:rsid w:val="0072328D"/>
    <w:rsid w:val="00723E07"/>
    <w:rsid w:val="00724247"/>
    <w:rsid w:val="0072528D"/>
    <w:rsid w:val="0072553C"/>
    <w:rsid w:val="00725E8B"/>
    <w:rsid w:val="00730B2F"/>
    <w:rsid w:val="007314A0"/>
    <w:rsid w:val="00731DF8"/>
    <w:rsid w:val="00734638"/>
    <w:rsid w:val="007370B1"/>
    <w:rsid w:val="00737E38"/>
    <w:rsid w:val="007438AA"/>
    <w:rsid w:val="00751E8F"/>
    <w:rsid w:val="00752336"/>
    <w:rsid w:val="00753CFC"/>
    <w:rsid w:val="0076066B"/>
    <w:rsid w:val="00760977"/>
    <w:rsid w:val="00762D24"/>
    <w:rsid w:val="00763047"/>
    <w:rsid w:val="00770C7D"/>
    <w:rsid w:val="0077408F"/>
    <w:rsid w:val="0077439F"/>
    <w:rsid w:val="00774643"/>
    <w:rsid w:val="0077473F"/>
    <w:rsid w:val="00777C8A"/>
    <w:rsid w:val="00782DFE"/>
    <w:rsid w:val="00783833"/>
    <w:rsid w:val="00794B6D"/>
    <w:rsid w:val="00797DCD"/>
    <w:rsid w:val="007B09C3"/>
    <w:rsid w:val="007B34BA"/>
    <w:rsid w:val="007B60B7"/>
    <w:rsid w:val="007B65F8"/>
    <w:rsid w:val="007B75A3"/>
    <w:rsid w:val="007C18C1"/>
    <w:rsid w:val="007C1E7B"/>
    <w:rsid w:val="007C5C82"/>
    <w:rsid w:val="007D1DE9"/>
    <w:rsid w:val="007D3468"/>
    <w:rsid w:val="007D5003"/>
    <w:rsid w:val="007D5B36"/>
    <w:rsid w:val="007E3AE7"/>
    <w:rsid w:val="007E66EB"/>
    <w:rsid w:val="007F1D42"/>
    <w:rsid w:val="007F2245"/>
    <w:rsid w:val="007F33DF"/>
    <w:rsid w:val="007F353B"/>
    <w:rsid w:val="00801172"/>
    <w:rsid w:val="0080312A"/>
    <w:rsid w:val="008033FC"/>
    <w:rsid w:val="00803E72"/>
    <w:rsid w:val="008065F2"/>
    <w:rsid w:val="00812199"/>
    <w:rsid w:val="00813D3D"/>
    <w:rsid w:val="008219B5"/>
    <w:rsid w:val="0082358C"/>
    <w:rsid w:val="008235DD"/>
    <w:rsid w:val="0083048A"/>
    <w:rsid w:val="00830D21"/>
    <w:rsid w:val="00831794"/>
    <w:rsid w:val="008335E7"/>
    <w:rsid w:val="008338F0"/>
    <w:rsid w:val="00834382"/>
    <w:rsid w:val="008425E4"/>
    <w:rsid w:val="00843C22"/>
    <w:rsid w:val="00850524"/>
    <w:rsid w:val="008526D0"/>
    <w:rsid w:val="00853416"/>
    <w:rsid w:val="00856617"/>
    <w:rsid w:val="008615E9"/>
    <w:rsid w:val="008702D1"/>
    <w:rsid w:val="0087230D"/>
    <w:rsid w:val="00875F91"/>
    <w:rsid w:val="00876F37"/>
    <w:rsid w:val="00877EDC"/>
    <w:rsid w:val="00880674"/>
    <w:rsid w:val="008806F4"/>
    <w:rsid w:val="00881394"/>
    <w:rsid w:val="00881A9B"/>
    <w:rsid w:val="00881E04"/>
    <w:rsid w:val="008827A7"/>
    <w:rsid w:val="008837AD"/>
    <w:rsid w:val="00884F8F"/>
    <w:rsid w:val="0089048A"/>
    <w:rsid w:val="00892DE1"/>
    <w:rsid w:val="008959A4"/>
    <w:rsid w:val="008960F5"/>
    <w:rsid w:val="00896568"/>
    <w:rsid w:val="00896902"/>
    <w:rsid w:val="008A081A"/>
    <w:rsid w:val="008A1B2A"/>
    <w:rsid w:val="008A4538"/>
    <w:rsid w:val="008B37A1"/>
    <w:rsid w:val="008B4EE2"/>
    <w:rsid w:val="008B4F44"/>
    <w:rsid w:val="008B55AC"/>
    <w:rsid w:val="008B7877"/>
    <w:rsid w:val="008C056D"/>
    <w:rsid w:val="008C08B2"/>
    <w:rsid w:val="008C5F9A"/>
    <w:rsid w:val="008C71E7"/>
    <w:rsid w:val="008D0C61"/>
    <w:rsid w:val="008D4053"/>
    <w:rsid w:val="008D4BAE"/>
    <w:rsid w:val="008D56D2"/>
    <w:rsid w:val="008D6228"/>
    <w:rsid w:val="008E04FD"/>
    <w:rsid w:val="008E198A"/>
    <w:rsid w:val="008E21B7"/>
    <w:rsid w:val="008E32F7"/>
    <w:rsid w:val="008E3A77"/>
    <w:rsid w:val="008E7D27"/>
    <w:rsid w:val="008F2F62"/>
    <w:rsid w:val="00901E6D"/>
    <w:rsid w:val="00902B5B"/>
    <w:rsid w:val="00903858"/>
    <w:rsid w:val="0090492E"/>
    <w:rsid w:val="00905CE1"/>
    <w:rsid w:val="00906739"/>
    <w:rsid w:val="00907CE6"/>
    <w:rsid w:val="009105CC"/>
    <w:rsid w:val="009139EA"/>
    <w:rsid w:val="00913C4D"/>
    <w:rsid w:val="009149A2"/>
    <w:rsid w:val="00915E33"/>
    <w:rsid w:val="00916CB4"/>
    <w:rsid w:val="00920334"/>
    <w:rsid w:val="0092088E"/>
    <w:rsid w:val="009223B3"/>
    <w:rsid w:val="009238E3"/>
    <w:rsid w:val="00924FD9"/>
    <w:rsid w:val="00932812"/>
    <w:rsid w:val="00933B8E"/>
    <w:rsid w:val="00933C89"/>
    <w:rsid w:val="009368FB"/>
    <w:rsid w:val="00940589"/>
    <w:rsid w:val="009416AA"/>
    <w:rsid w:val="00943AB2"/>
    <w:rsid w:val="00943F38"/>
    <w:rsid w:val="00945DBD"/>
    <w:rsid w:val="00950D7A"/>
    <w:rsid w:val="00951EB2"/>
    <w:rsid w:val="0095241C"/>
    <w:rsid w:val="009525CD"/>
    <w:rsid w:val="00954413"/>
    <w:rsid w:val="009558B8"/>
    <w:rsid w:val="00957494"/>
    <w:rsid w:val="00961E97"/>
    <w:rsid w:val="00962804"/>
    <w:rsid w:val="00962CE5"/>
    <w:rsid w:val="0096374E"/>
    <w:rsid w:val="0096533B"/>
    <w:rsid w:val="00971A8E"/>
    <w:rsid w:val="009723FF"/>
    <w:rsid w:val="00977D7F"/>
    <w:rsid w:val="009818E6"/>
    <w:rsid w:val="00982F09"/>
    <w:rsid w:val="00984171"/>
    <w:rsid w:val="00986411"/>
    <w:rsid w:val="0099246F"/>
    <w:rsid w:val="00995D6F"/>
    <w:rsid w:val="0099655C"/>
    <w:rsid w:val="009A1476"/>
    <w:rsid w:val="009A20F2"/>
    <w:rsid w:val="009A3614"/>
    <w:rsid w:val="009A3D86"/>
    <w:rsid w:val="009A641D"/>
    <w:rsid w:val="009B05C0"/>
    <w:rsid w:val="009B2DB0"/>
    <w:rsid w:val="009B4627"/>
    <w:rsid w:val="009B5CFD"/>
    <w:rsid w:val="009B7224"/>
    <w:rsid w:val="009C15F5"/>
    <w:rsid w:val="009C21F6"/>
    <w:rsid w:val="009C509E"/>
    <w:rsid w:val="009D1882"/>
    <w:rsid w:val="009D2400"/>
    <w:rsid w:val="009D2738"/>
    <w:rsid w:val="009D30D3"/>
    <w:rsid w:val="009D4BD0"/>
    <w:rsid w:val="009D5B4C"/>
    <w:rsid w:val="009D6A44"/>
    <w:rsid w:val="009D79AA"/>
    <w:rsid w:val="009E13F1"/>
    <w:rsid w:val="009E5418"/>
    <w:rsid w:val="009E7BD7"/>
    <w:rsid w:val="009F11DC"/>
    <w:rsid w:val="009F1577"/>
    <w:rsid w:val="009F2034"/>
    <w:rsid w:val="00A024AA"/>
    <w:rsid w:val="00A02600"/>
    <w:rsid w:val="00A027C5"/>
    <w:rsid w:val="00A04469"/>
    <w:rsid w:val="00A046E1"/>
    <w:rsid w:val="00A04ED4"/>
    <w:rsid w:val="00A10B21"/>
    <w:rsid w:val="00A14BFE"/>
    <w:rsid w:val="00A16C78"/>
    <w:rsid w:val="00A20CC3"/>
    <w:rsid w:val="00A23942"/>
    <w:rsid w:val="00A269FF"/>
    <w:rsid w:val="00A368F7"/>
    <w:rsid w:val="00A412B9"/>
    <w:rsid w:val="00A43E97"/>
    <w:rsid w:val="00A44D0E"/>
    <w:rsid w:val="00A46387"/>
    <w:rsid w:val="00A517DA"/>
    <w:rsid w:val="00A51F60"/>
    <w:rsid w:val="00A52404"/>
    <w:rsid w:val="00A54839"/>
    <w:rsid w:val="00A55A8C"/>
    <w:rsid w:val="00A56430"/>
    <w:rsid w:val="00A60425"/>
    <w:rsid w:val="00A63ABE"/>
    <w:rsid w:val="00A63D1D"/>
    <w:rsid w:val="00A66648"/>
    <w:rsid w:val="00A673F4"/>
    <w:rsid w:val="00A73111"/>
    <w:rsid w:val="00A74564"/>
    <w:rsid w:val="00A74B5C"/>
    <w:rsid w:val="00A81D03"/>
    <w:rsid w:val="00A8297E"/>
    <w:rsid w:val="00A82BC8"/>
    <w:rsid w:val="00A83373"/>
    <w:rsid w:val="00A83E6B"/>
    <w:rsid w:val="00A84D44"/>
    <w:rsid w:val="00A86643"/>
    <w:rsid w:val="00A8709B"/>
    <w:rsid w:val="00A8713E"/>
    <w:rsid w:val="00A909F4"/>
    <w:rsid w:val="00A90CBD"/>
    <w:rsid w:val="00A920FB"/>
    <w:rsid w:val="00A9585D"/>
    <w:rsid w:val="00A97C33"/>
    <w:rsid w:val="00AA0F73"/>
    <w:rsid w:val="00AA2BBE"/>
    <w:rsid w:val="00AB1F4C"/>
    <w:rsid w:val="00AB6A2B"/>
    <w:rsid w:val="00AC10F9"/>
    <w:rsid w:val="00AC2A67"/>
    <w:rsid w:val="00AC6AEF"/>
    <w:rsid w:val="00AC7983"/>
    <w:rsid w:val="00AD373F"/>
    <w:rsid w:val="00AD41A0"/>
    <w:rsid w:val="00AD49CA"/>
    <w:rsid w:val="00AE26B4"/>
    <w:rsid w:val="00AE34F0"/>
    <w:rsid w:val="00AE660D"/>
    <w:rsid w:val="00AF53F7"/>
    <w:rsid w:val="00AF7F3E"/>
    <w:rsid w:val="00B0331F"/>
    <w:rsid w:val="00B049A3"/>
    <w:rsid w:val="00B05DB9"/>
    <w:rsid w:val="00B07208"/>
    <w:rsid w:val="00B10E75"/>
    <w:rsid w:val="00B11315"/>
    <w:rsid w:val="00B11CF9"/>
    <w:rsid w:val="00B138E6"/>
    <w:rsid w:val="00B14948"/>
    <w:rsid w:val="00B14B75"/>
    <w:rsid w:val="00B159F2"/>
    <w:rsid w:val="00B21277"/>
    <w:rsid w:val="00B22B7F"/>
    <w:rsid w:val="00B274E4"/>
    <w:rsid w:val="00B27CF7"/>
    <w:rsid w:val="00B307A2"/>
    <w:rsid w:val="00B308F5"/>
    <w:rsid w:val="00B32148"/>
    <w:rsid w:val="00B359B5"/>
    <w:rsid w:val="00B366AB"/>
    <w:rsid w:val="00B40247"/>
    <w:rsid w:val="00B42E2B"/>
    <w:rsid w:val="00B44541"/>
    <w:rsid w:val="00B503AF"/>
    <w:rsid w:val="00B5141D"/>
    <w:rsid w:val="00B52C41"/>
    <w:rsid w:val="00B54D1F"/>
    <w:rsid w:val="00B55F2D"/>
    <w:rsid w:val="00B560CB"/>
    <w:rsid w:val="00B64269"/>
    <w:rsid w:val="00B6616A"/>
    <w:rsid w:val="00B6677C"/>
    <w:rsid w:val="00B66FFF"/>
    <w:rsid w:val="00B71391"/>
    <w:rsid w:val="00B715F3"/>
    <w:rsid w:val="00B73C6D"/>
    <w:rsid w:val="00B77BED"/>
    <w:rsid w:val="00B80C74"/>
    <w:rsid w:val="00B80F8D"/>
    <w:rsid w:val="00B829E2"/>
    <w:rsid w:val="00B841A3"/>
    <w:rsid w:val="00B84826"/>
    <w:rsid w:val="00B85BAA"/>
    <w:rsid w:val="00B90639"/>
    <w:rsid w:val="00B915F3"/>
    <w:rsid w:val="00B963CC"/>
    <w:rsid w:val="00B96877"/>
    <w:rsid w:val="00B96D17"/>
    <w:rsid w:val="00BA2E06"/>
    <w:rsid w:val="00BA44C1"/>
    <w:rsid w:val="00BA51F7"/>
    <w:rsid w:val="00BA5F47"/>
    <w:rsid w:val="00BB16E1"/>
    <w:rsid w:val="00BB79EC"/>
    <w:rsid w:val="00BC06BE"/>
    <w:rsid w:val="00BC140A"/>
    <w:rsid w:val="00BC3E9B"/>
    <w:rsid w:val="00BC7425"/>
    <w:rsid w:val="00BD1463"/>
    <w:rsid w:val="00BE171C"/>
    <w:rsid w:val="00BE34F3"/>
    <w:rsid w:val="00BE5B01"/>
    <w:rsid w:val="00BE601C"/>
    <w:rsid w:val="00BF13E1"/>
    <w:rsid w:val="00BF21E2"/>
    <w:rsid w:val="00BF2F1A"/>
    <w:rsid w:val="00BF3A31"/>
    <w:rsid w:val="00C05011"/>
    <w:rsid w:val="00C05C11"/>
    <w:rsid w:val="00C0608E"/>
    <w:rsid w:val="00C0717A"/>
    <w:rsid w:val="00C07D1D"/>
    <w:rsid w:val="00C131D1"/>
    <w:rsid w:val="00C17ACD"/>
    <w:rsid w:val="00C208FA"/>
    <w:rsid w:val="00C20DE2"/>
    <w:rsid w:val="00C2418E"/>
    <w:rsid w:val="00C306EE"/>
    <w:rsid w:val="00C31078"/>
    <w:rsid w:val="00C31502"/>
    <w:rsid w:val="00C333E7"/>
    <w:rsid w:val="00C3540B"/>
    <w:rsid w:val="00C369AE"/>
    <w:rsid w:val="00C36D93"/>
    <w:rsid w:val="00C57574"/>
    <w:rsid w:val="00C6072F"/>
    <w:rsid w:val="00C60B40"/>
    <w:rsid w:val="00C60FF8"/>
    <w:rsid w:val="00C63295"/>
    <w:rsid w:val="00C667A9"/>
    <w:rsid w:val="00C73DDD"/>
    <w:rsid w:val="00C74C23"/>
    <w:rsid w:val="00C7794D"/>
    <w:rsid w:val="00C8220A"/>
    <w:rsid w:val="00C832AE"/>
    <w:rsid w:val="00C8567D"/>
    <w:rsid w:val="00C87D27"/>
    <w:rsid w:val="00C92D75"/>
    <w:rsid w:val="00C94CB5"/>
    <w:rsid w:val="00C97646"/>
    <w:rsid w:val="00CA0940"/>
    <w:rsid w:val="00CA3D85"/>
    <w:rsid w:val="00CA4231"/>
    <w:rsid w:val="00CA443C"/>
    <w:rsid w:val="00CA53A3"/>
    <w:rsid w:val="00CB359A"/>
    <w:rsid w:val="00CB3F56"/>
    <w:rsid w:val="00CB4688"/>
    <w:rsid w:val="00CB659C"/>
    <w:rsid w:val="00CB7AE9"/>
    <w:rsid w:val="00CC3260"/>
    <w:rsid w:val="00CC3CD1"/>
    <w:rsid w:val="00CC50DE"/>
    <w:rsid w:val="00CD27A4"/>
    <w:rsid w:val="00CD51EA"/>
    <w:rsid w:val="00CD7256"/>
    <w:rsid w:val="00CE2C7E"/>
    <w:rsid w:val="00CE3C55"/>
    <w:rsid w:val="00CE4D59"/>
    <w:rsid w:val="00CF049B"/>
    <w:rsid w:val="00CF5F53"/>
    <w:rsid w:val="00D047AE"/>
    <w:rsid w:val="00D05330"/>
    <w:rsid w:val="00D05F91"/>
    <w:rsid w:val="00D10E17"/>
    <w:rsid w:val="00D11EE2"/>
    <w:rsid w:val="00D12075"/>
    <w:rsid w:val="00D139F8"/>
    <w:rsid w:val="00D20089"/>
    <w:rsid w:val="00D20BDF"/>
    <w:rsid w:val="00D2542D"/>
    <w:rsid w:val="00D309E8"/>
    <w:rsid w:val="00D3213D"/>
    <w:rsid w:val="00D3265B"/>
    <w:rsid w:val="00D33EC8"/>
    <w:rsid w:val="00D36705"/>
    <w:rsid w:val="00D413EB"/>
    <w:rsid w:val="00D41C52"/>
    <w:rsid w:val="00D42264"/>
    <w:rsid w:val="00D45E2E"/>
    <w:rsid w:val="00D47F36"/>
    <w:rsid w:val="00D542E7"/>
    <w:rsid w:val="00D55685"/>
    <w:rsid w:val="00D64305"/>
    <w:rsid w:val="00D70867"/>
    <w:rsid w:val="00D744D4"/>
    <w:rsid w:val="00D74843"/>
    <w:rsid w:val="00D748FF"/>
    <w:rsid w:val="00D8161B"/>
    <w:rsid w:val="00D83A56"/>
    <w:rsid w:val="00D86959"/>
    <w:rsid w:val="00D908C5"/>
    <w:rsid w:val="00D931DD"/>
    <w:rsid w:val="00DA1071"/>
    <w:rsid w:val="00DA3B98"/>
    <w:rsid w:val="00DA3C78"/>
    <w:rsid w:val="00DB0E4E"/>
    <w:rsid w:val="00DB1D78"/>
    <w:rsid w:val="00DB2055"/>
    <w:rsid w:val="00DB2A68"/>
    <w:rsid w:val="00DB376F"/>
    <w:rsid w:val="00DB50B2"/>
    <w:rsid w:val="00DB5A0C"/>
    <w:rsid w:val="00DB6090"/>
    <w:rsid w:val="00DB62AF"/>
    <w:rsid w:val="00DB679F"/>
    <w:rsid w:val="00DC4EAC"/>
    <w:rsid w:val="00DC5A38"/>
    <w:rsid w:val="00DC6403"/>
    <w:rsid w:val="00DC6E93"/>
    <w:rsid w:val="00DD0E10"/>
    <w:rsid w:val="00DE1AB4"/>
    <w:rsid w:val="00DE1E91"/>
    <w:rsid w:val="00DE268F"/>
    <w:rsid w:val="00DE377E"/>
    <w:rsid w:val="00DE59F5"/>
    <w:rsid w:val="00DF127E"/>
    <w:rsid w:val="00DF320B"/>
    <w:rsid w:val="00E00252"/>
    <w:rsid w:val="00E00CAC"/>
    <w:rsid w:val="00E01A44"/>
    <w:rsid w:val="00E02B62"/>
    <w:rsid w:val="00E05523"/>
    <w:rsid w:val="00E104DA"/>
    <w:rsid w:val="00E16562"/>
    <w:rsid w:val="00E260F2"/>
    <w:rsid w:val="00E27DD0"/>
    <w:rsid w:val="00E33400"/>
    <w:rsid w:val="00E3525C"/>
    <w:rsid w:val="00E40D62"/>
    <w:rsid w:val="00E41078"/>
    <w:rsid w:val="00E43C50"/>
    <w:rsid w:val="00E444F1"/>
    <w:rsid w:val="00E44DB8"/>
    <w:rsid w:val="00E50843"/>
    <w:rsid w:val="00E50DD4"/>
    <w:rsid w:val="00E50DD9"/>
    <w:rsid w:val="00E55FE8"/>
    <w:rsid w:val="00E56899"/>
    <w:rsid w:val="00E606DA"/>
    <w:rsid w:val="00E654DC"/>
    <w:rsid w:val="00E75DC2"/>
    <w:rsid w:val="00E82482"/>
    <w:rsid w:val="00E85D3A"/>
    <w:rsid w:val="00E87831"/>
    <w:rsid w:val="00E9004B"/>
    <w:rsid w:val="00E94176"/>
    <w:rsid w:val="00E972E9"/>
    <w:rsid w:val="00EA0DE8"/>
    <w:rsid w:val="00EA1502"/>
    <w:rsid w:val="00EA234A"/>
    <w:rsid w:val="00EA6072"/>
    <w:rsid w:val="00EB2212"/>
    <w:rsid w:val="00EB2764"/>
    <w:rsid w:val="00EB509D"/>
    <w:rsid w:val="00EC376A"/>
    <w:rsid w:val="00EC61F8"/>
    <w:rsid w:val="00EC6385"/>
    <w:rsid w:val="00ED12C4"/>
    <w:rsid w:val="00ED18D5"/>
    <w:rsid w:val="00ED1B32"/>
    <w:rsid w:val="00ED33DF"/>
    <w:rsid w:val="00ED4806"/>
    <w:rsid w:val="00ED51C6"/>
    <w:rsid w:val="00EE0282"/>
    <w:rsid w:val="00EE046C"/>
    <w:rsid w:val="00EE0764"/>
    <w:rsid w:val="00EE0A5E"/>
    <w:rsid w:val="00EE0B3F"/>
    <w:rsid w:val="00EE2E38"/>
    <w:rsid w:val="00EE48F2"/>
    <w:rsid w:val="00EF29A3"/>
    <w:rsid w:val="00EF5586"/>
    <w:rsid w:val="00F032F4"/>
    <w:rsid w:val="00F1222E"/>
    <w:rsid w:val="00F15996"/>
    <w:rsid w:val="00F167A3"/>
    <w:rsid w:val="00F1682E"/>
    <w:rsid w:val="00F221B1"/>
    <w:rsid w:val="00F31B27"/>
    <w:rsid w:val="00F31B5C"/>
    <w:rsid w:val="00F32A9C"/>
    <w:rsid w:val="00F32F6B"/>
    <w:rsid w:val="00F35485"/>
    <w:rsid w:val="00F35BA2"/>
    <w:rsid w:val="00F37977"/>
    <w:rsid w:val="00F40CB5"/>
    <w:rsid w:val="00F42CBE"/>
    <w:rsid w:val="00F433EC"/>
    <w:rsid w:val="00F5496E"/>
    <w:rsid w:val="00F55BD4"/>
    <w:rsid w:val="00F56B70"/>
    <w:rsid w:val="00F6479F"/>
    <w:rsid w:val="00F716F0"/>
    <w:rsid w:val="00F73785"/>
    <w:rsid w:val="00F7414B"/>
    <w:rsid w:val="00F748A9"/>
    <w:rsid w:val="00F7666E"/>
    <w:rsid w:val="00F82B90"/>
    <w:rsid w:val="00F86DFF"/>
    <w:rsid w:val="00F95F7C"/>
    <w:rsid w:val="00FA244F"/>
    <w:rsid w:val="00FA29CE"/>
    <w:rsid w:val="00FA2BF0"/>
    <w:rsid w:val="00FA4FB1"/>
    <w:rsid w:val="00FB1907"/>
    <w:rsid w:val="00FB1E4D"/>
    <w:rsid w:val="00FB2214"/>
    <w:rsid w:val="00FB2331"/>
    <w:rsid w:val="00FB5969"/>
    <w:rsid w:val="00FB66F4"/>
    <w:rsid w:val="00FB7B4F"/>
    <w:rsid w:val="00FC0522"/>
    <w:rsid w:val="00FC2CE7"/>
    <w:rsid w:val="00FC2E3D"/>
    <w:rsid w:val="00FC39B1"/>
    <w:rsid w:val="00FC4213"/>
    <w:rsid w:val="00FC72F7"/>
    <w:rsid w:val="00FD32E0"/>
    <w:rsid w:val="00FD42DC"/>
    <w:rsid w:val="00FD5616"/>
    <w:rsid w:val="00FE5887"/>
    <w:rsid w:val="00FF30AB"/>
    <w:rsid w:val="00FF4AE4"/>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A4DB"/>
  <w15:chartTrackingRefBased/>
  <w15:docId w15:val="{4718744A-1478-4554-9725-7F766266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75"/>
    <w:pPr>
      <w:spacing w:after="0" w:line="240" w:lineRule="auto"/>
    </w:pPr>
    <w:rPr>
      <w:sz w:val="24"/>
      <w:szCs w:val="24"/>
    </w:rPr>
  </w:style>
  <w:style w:type="paragraph" w:styleId="Heading1">
    <w:name w:val="heading 1"/>
    <w:basedOn w:val="Normal"/>
    <w:next w:val="Normal"/>
    <w:link w:val="Heading1Char"/>
    <w:uiPriority w:val="9"/>
    <w:qFormat/>
    <w:rsid w:val="00B14B7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B14B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5F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B75"/>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B14B75"/>
    <w:rPr>
      <w:rFonts w:asciiTheme="majorHAnsi" w:eastAsiaTheme="majorEastAsia" w:hAnsiTheme="majorHAnsi" w:cstheme="majorBidi"/>
      <w:color w:val="2E74B5" w:themeColor="accent1" w:themeShade="BF"/>
      <w:sz w:val="26"/>
      <w:szCs w:val="26"/>
    </w:rPr>
  </w:style>
  <w:style w:type="paragraph" w:styleId="ListParagraph">
    <w:name w:val="List Paragraph"/>
    <w:aliases w:val="Párrafo de lista1,Colorful List - Accent 11"/>
    <w:basedOn w:val="Normal"/>
    <w:link w:val="ListParagraphChar"/>
    <w:uiPriority w:val="34"/>
    <w:qFormat/>
    <w:rsid w:val="00B14B75"/>
    <w:pPr>
      <w:ind w:left="720"/>
      <w:contextualSpacing/>
    </w:pPr>
  </w:style>
  <w:style w:type="paragraph" w:styleId="HTMLPreformatted">
    <w:name w:val="HTML Preformatted"/>
    <w:basedOn w:val="Normal"/>
    <w:link w:val="HTMLPreformattedChar"/>
    <w:uiPriority w:val="99"/>
    <w:unhideWhenUsed/>
    <w:rsid w:val="00B1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14B75"/>
    <w:rPr>
      <w:rFonts w:ascii="Courier New" w:eastAsia="Times New Roman" w:hAnsi="Courier New" w:cs="Courier New"/>
      <w:sz w:val="20"/>
      <w:szCs w:val="20"/>
      <w:lang w:val="en-US"/>
    </w:rPr>
  </w:style>
  <w:style w:type="character" w:customStyle="1" w:styleId="ListParagraphChar">
    <w:name w:val="List Paragraph Char"/>
    <w:aliases w:val="Párrafo de lista1 Char,Colorful List - Accent 11 Char"/>
    <w:link w:val="ListParagraph"/>
    <w:uiPriority w:val="34"/>
    <w:qFormat/>
    <w:locked/>
    <w:rsid w:val="00B14B75"/>
    <w:rPr>
      <w:sz w:val="24"/>
      <w:szCs w:val="24"/>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
    <w:basedOn w:val="Normal"/>
    <w:link w:val="FootnoteTextChar"/>
    <w:uiPriority w:val="99"/>
    <w:unhideWhenUsed/>
    <w:qFormat/>
    <w:rsid w:val="00B14B75"/>
    <w:rPr>
      <w:sz w:val="20"/>
      <w:szCs w:val="20"/>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rsid w:val="00B14B75"/>
    <w:rPr>
      <w:sz w:val="20"/>
      <w:szCs w:val="20"/>
      <w:lang w:val="en-US"/>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
    <w:basedOn w:val="DefaultParagraphFont"/>
    <w:link w:val="AppelnotedebasdepageCharCharCharCharCharCharChar"/>
    <w:uiPriority w:val="99"/>
    <w:unhideWhenUsed/>
    <w:qFormat/>
    <w:rsid w:val="00B14B75"/>
    <w:rPr>
      <w:vertAlign w:val="superscript"/>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B14B75"/>
    <w:pPr>
      <w:jc w:val="both"/>
    </w:pPr>
    <w:rPr>
      <w:sz w:val="22"/>
      <w:szCs w:val="22"/>
      <w:vertAlign w:val="superscript"/>
    </w:rPr>
  </w:style>
  <w:style w:type="paragraph" w:styleId="NoSpacing">
    <w:name w:val="No Spacing"/>
    <w:link w:val="NoSpacingChar"/>
    <w:uiPriority w:val="1"/>
    <w:qFormat/>
    <w:rsid w:val="00B14B75"/>
    <w:pPr>
      <w:spacing w:after="0" w:line="240" w:lineRule="auto"/>
    </w:pPr>
  </w:style>
  <w:style w:type="character" w:customStyle="1" w:styleId="NoSpacingChar">
    <w:name w:val="No Spacing Char"/>
    <w:basedOn w:val="DefaultParagraphFont"/>
    <w:link w:val="NoSpacing"/>
    <w:uiPriority w:val="1"/>
    <w:rsid w:val="00B14B75"/>
  </w:style>
  <w:style w:type="character" w:customStyle="1" w:styleId="tlid-translation">
    <w:name w:val="tlid-translation"/>
    <w:basedOn w:val="DefaultParagraphFont"/>
    <w:rsid w:val="00B14B75"/>
  </w:style>
  <w:style w:type="paragraph" w:styleId="Footer">
    <w:name w:val="footer"/>
    <w:basedOn w:val="Normal"/>
    <w:link w:val="FooterChar"/>
    <w:uiPriority w:val="99"/>
    <w:unhideWhenUsed/>
    <w:rsid w:val="00B14B75"/>
    <w:pPr>
      <w:tabs>
        <w:tab w:val="center" w:pos="4513"/>
        <w:tab w:val="right" w:pos="9026"/>
      </w:tabs>
    </w:pPr>
  </w:style>
  <w:style w:type="character" w:customStyle="1" w:styleId="FooterChar">
    <w:name w:val="Footer Char"/>
    <w:basedOn w:val="DefaultParagraphFont"/>
    <w:link w:val="Footer"/>
    <w:uiPriority w:val="99"/>
    <w:rsid w:val="00B14B75"/>
    <w:rPr>
      <w:sz w:val="24"/>
      <w:szCs w:val="24"/>
    </w:rPr>
  </w:style>
  <w:style w:type="paragraph" w:styleId="TOC1">
    <w:name w:val="toc 1"/>
    <w:basedOn w:val="Normal"/>
    <w:next w:val="Normal"/>
    <w:autoRedefine/>
    <w:uiPriority w:val="39"/>
    <w:unhideWhenUsed/>
    <w:qFormat/>
    <w:rsid w:val="00EA6072"/>
    <w:pPr>
      <w:tabs>
        <w:tab w:val="right" w:leader="dot" w:pos="9350"/>
      </w:tabs>
      <w:spacing w:line="360" w:lineRule="auto"/>
      <w:ind w:left="567" w:hanging="567"/>
    </w:pPr>
    <w:rPr>
      <w:rFonts w:ascii="Arial" w:hAnsi="Arial"/>
      <w:b/>
      <w:bCs/>
      <w:iCs/>
      <w:lang w:val="en-US"/>
    </w:rPr>
  </w:style>
  <w:style w:type="paragraph" w:styleId="Header">
    <w:name w:val="header"/>
    <w:basedOn w:val="Normal"/>
    <w:link w:val="HeaderChar"/>
    <w:uiPriority w:val="99"/>
    <w:unhideWhenUsed/>
    <w:rsid w:val="00582BC0"/>
    <w:pPr>
      <w:tabs>
        <w:tab w:val="center" w:pos="4513"/>
        <w:tab w:val="right" w:pos="9026"/>
      </w:tabs>
    </w:pPr>
  </w:style>
  <w:style w:type="character" w:customStyle="1" w:styleId="HeaderChar">
    <w:name w:val="Header Char"/>
    <w:basedOn w:val="DefaultParagraphFont"/>
    <w:link w:val="Header"/>
    <w:uiPriority w:val="99"/>
    <w:rsid w:val="00582BC0"/>
    <w:rPr>
      <w:sz w:val="24"/>
      <w:szCs w:val="24"/>
    </w:rPr>
  </w:style>
  <w:style w:type="character" w:customStyle="1" w:styleId="Heading3Char">
    <w:name w:val="Heading 3 Char"/>
    <w:basedOn w:val="DefaultParagraphFont"/>
    <w:link w:val="Heading3"/>
    <w:uiPriority w:val="9"/>
    <w:rsid w:val="00F95F7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44DB8"/>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211B4A"/>
    <w:pPr>
      <w:tabs>
        <w:tab w:val="left" w:pos="1134"/>
        <w:tab w:val="right" w:leader="dot" w:pos="9060"/>
      </w:tabs>
      <w:spacing w:line="360" w:lineRule="auto"/>
      <w:ind w:left="1134" w:hanging="567"/>
      <w:contextualSpacing/>
    </w:pPr>
    <w:rPr>
      <w:rFonts w:ascii="Arial" w:eastAsia="Calibri" w:hAnsi="Arial" w:cs="Arial"/>
      <w:b/>
      <w:noProof/>
      <w:u w:color="000000"/>
      <w:bdr w:val="nil"/>
      <w:lang w:eastAsia="en-GB"/>
    </w:rPr>
  </w:style>
  <w:style w:type="paragraph" w:styleId="TOC3">
    <w:name w:val="toc 3"/>
    <w:basedOn w:val="Normal"/>
    <w:next w:val="Normal"/>
    <w:autoRedefine/>
    <w:uiPriority w:val="39"/>
    <w:unhideWhenUsed/>
    <w:rsid w:val="00BF13E1"/>
    <w:pPr>
      <w:tabs>
        <w:tab w:val="right" w:leader="dot" w:pos="9060"/>
      </w:tabs>
      <w:spacing w:line="360" w:lineRule="auto"/>
      <w:ind w:left="1560" w:hanging="426"/>
    </w:pPr>
  </w:style>
  <w:style w:type="character" w:styleId="Hyperlink">
    <w:name w:val="Hyperlink"/>
    <w:basedOn w:val="DefaultParagraphFont"/>
    <w:uiPriority w:val="99"/>
    <w:unhideWhenUsed/>
    <w:rsid w:val="00E44DB8"/>
    <w:rPr>
      <w:color w:val="0563C1" w:themeColor="hyperlink"/>
      <w:u w:val="single"/>
    </w:rPr>
  </w:style>
  <w:style w:type="paragraph" w:styleId="BalloonText">
    <w:name w:val="Balloon Text"/>
    <w:basedOn w:val="Normal"/>
    <w:link w:val="BalloonTextChar"/>
    <w:uiPriority w:val="99"/>
    <w:semiHidden/>
    <w:unhideWhenUsed/>
    <w:rsid w:val="007B7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A3"/>
    <w:rPr>
      <w:rFonts w:ascii="Segoe UI" w:hAnsi="Segoe UI" w:cs="Segoe UI"/>
      <w:sz w:val="18"/>
      <w:szCs w:val="18"/>
    </w:rPr>
  </w:style>
  <w:style w:type="paragraph" w:styleId="Revision">
    <w:name w:val="Revision"/>
    <w:hidden/>
    <w:uiPriority w:val="99"/>
    <w:semiHidden/>
    <w:rsid w:val="004507DF"/>
    <w:pPr>
      <w:spacing w:after="0" w:line="240" w:lineRule="auto"/>
    </w:pPr>
    <w:rPr>
      <w:sz w:val="24"/>
      <w:szCs w:val="24"/>
    </w:rPr>
  </w:style>
  <w:style w:type="character" w:styleId="CommentReference">
    <w:name w:val="annotation reference"/>
    <w:basedOn w:val="DefaultParagraphFont"/>
    <w:uiPriority w:val="99"/>
    <w:semiHidden/>
    <w:unhideWhenUsed/>
    <w:rsid w:val="005205BE"/>
    <w:rPr>
      <w:sz w:val="16"/>
      <w:szCs w:val="16"/>
    </w:rPr>
  </w:style>
  <w:style w:type="paragraph" w:styleId="CommentText">
    <w:name w:val="annotation text"/>
    <w:basedOn w:val="Normal"/>
    <w:link w:val="CommentTextChar"/>
    <w:uiPriority w:val="99"/>
    <w:unhideWhenUsed/>
    <w:rsid w:val="005205BE"/>
    <w:rPr>
      <w:sz w:val="20"/>
      <w:szCs w:val="20"/>
    </w:rPr>
  </w:style>
  <w:style w:type="character" w:customStyle="1" w:styleId="CommentTextChar">
    <w:name w:val="Comment Text Char"/>
    <w:basedOn w:val="DefaultParagraphFont"/>
    <w:link w:val="CommentText"/>
    <w:uiPriority w:val="99"/>
    <w:rsid w:val="005205BE"/>
    <w:rPr>
      <w:sz w:val="20"/>
      <w:szCs w:val="20"/>
    </w:rPr>
  </w:style>
  <w:style w:type="paragraph" w:styleId="CommentSubject">
    <w:name w:val="annotation subject"/>
    <w:basedOn w:val="CommentText"/>
    <w:next w:val="CommentText"/>
    <w:link w:val="CommentSubjectChar"/>
    <w:uiPriority w:val="99"/>
    <w:semiHidden/>
    <w:unhideWhenUsed/>
    <w:rsid w:val="005205BE"/>
    <w:rPr>
      <w:b/>
      <w:bCs/>
    </w:rPr>
  </w:style>
  <w:style w:type="character" w:customStyle="1" w:styleId="CommentSubjectChar">
    <w:name w:val="Comment Subject Char"/>
    <w:basedOn w:val="CommentTextChar"/>
    <w:link w:val="CommentSubject"/>
    <w:uiPriority w:val="99"/>
    <w:semiHidden/>
    <w:rsid w:val="005205BE"/>
    <w:rPr>
      <w:b/>
      <w:bCs/>
      <w:sz w:val="20"/>
      <w:szCs w:val="20"/>
    </w:rPr>
  </w:style>
  <w:style w:type="paragraph" w:styleId="BodyText">
    <w:name w:val="Body Text"/>
    <w:basedOn w:val="Normal"/>
    <w:link w:val="BodyTextChar"/>
    <w:uiPriority w:val="1"/>
    <w:qFormat/>
    <w:rsid w:val="00853416"/>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853416"/>
    <w:rPr>
      <w:rFonts w:ascii="Arial" w:eastAsia="Arial" w:hAnsi="Arial" w:cs="Arial"/>
      <w:sz w:val="24"/>
      <w:szCs w:val="24"/>
    </w:rPr>
  </w:style>
  <w:style w:type="character" w:styleId="Strong">
    <w:name w:val="Strong"/>
    <w:basedOn w:val="DefaultParagraphFont"/>
    <w:uiPriority w:val="22"/>
    <w:qFormat/>
    <w:rsid w:val="00A73111"/>
    <w:rPr>
      <w:b/>
      <w:bCs/>
    </w:rPr>
  </w:style>
  <w:style w:type="paragraph" w:customStyle="1" w:styleId="Default">
    <w:name w:val="Default"/>
    <w:rsid w:val="00392822"/>
    <w:pPr>
      <w:autoSpaceDE w:val="0"/>
      <w:autoSpaceDN w:val="0"/>
      <w:adjustRightInd w:val="0"/>
      <w:spacing w:after="0" w:line="240" w:lineRule="auto"/>
    </w:pPr>
    <w:rPr>
      <w:rFonts w:ascii="Arial" w:hAnsi="Arial" w:cs="Arial"/>
      <w:color w:val="000000"/>
      <w:sz w:val="24"/>
      <w:szCs w:val="24"/>
      <w:lang w:val="en-IN"/>
    </w:rPr>
  </w:style>
  <w:style w:type="paragraph" w:styleId="NormalWeb">
    <w:name w:val="Normal (Web)"/>
    <w:basedOn w:val="Normal"/>
    <w:uiPriority w:val="99"/>
    <w:unhideWhenUsed/>
    <w:rsid w:val="002F436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qFormat/>
    <w:rsid w:val="00C208FA"/>
    <w:pPr>
      <w:spacing w:after="0" w:line="240" w:lineRule="auto"/>
    </w:pPr>
    <w:rPr>
      <w:rFonts w:ascii="Arial" w:hAnsi="Arial" w:cs="Leelawadee UI Semilight"/>
      <w:sz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AC6AEF"/>
    <w:pPr>
      <w:spacing w:after="120" w:line="480" w:lineRule="auto"/>
      <w:ind w:left="360"/>
    </w:pPr>
  </w:style>
  <w:style w:type="character" w:customStyle="1" w:styleId="BodyTextIndent2Char">
    <w:name w:val="Body Text Indent 2 Char"/>
    <w:basedOn w:val="DefaultParagraphFont"/>
    <w:link w:val="BodyTextIndent2"/>
    <w:uiPriority w:val="99"/>
    <w:semiHidden/>
    <w:rsid w:val="00AC6AEF"/>
    <w:rPr>
      <w:sz w:val="24"/>
      <w:szCs w:val="24"/>
    </w:rPr>
  </w:style>
  <w:style w:type="character" w:styleId="LineNumber">
    <w:name w:val="line number"/>
    <w:basedOn w:val="DefaultParagraphFont"/>
    <w:uiPriority w:val="99"/>
    <w:semiHidden/>
    <w:unhideWhenUsed/>
    <w:rsid w:val="00EE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77">
      <w:bodyDiv w:val="1"/>
      <w:marLeft w:val="0"/>
      <w:marRight w:val="0"/>
      <w:marTop w:val="0"/>
      <w:marBottom w:val="0"/>
      <w:divBdr>
        <w:top w:val="none" w:sz="0" w:space="0" w:color="auto"/>
        <w:left w:val="none" w:sz="0" w:space="0" w:color="auto"/>
        <w:bottom w:val="none" w:sz="0" w:space="0" w:color="auto"/>
        <w:right w:val="none" w:sz="0" w:space="0" w:color="auto"/>
      </w:divBdr>
    </w:div>
    <w:div w:id="14899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CC89-8719-4245-ABC3-B46A3E43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7311</Words>
  <Characters>41675</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African Union</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Kathleen</dc:creator>
  <cp:keywords/>
  <dc:description/>
  <cp:lastModifiedBy>sathish mohan</cp:lastModifiedBy>
  <cp:revision>5</cp:revision>
  <cp:lastPrinted>2023-03-03T10:19:00Z</cp:lastPrinted>
  <dcterms:created xsi:type="dcterms:W3CDTF">2023-06-09T08:29:00Z</dcterms:created>
  <dcterms:modified xsi:type="dcterms:W3CDTF">2025-06-28T21:38:00Z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6ef615836476ae0e7ca2fce50e9f18ff48a950b10e8a02463510f268746b82d6</vt:lpwstr>
  </property>
</Properties>
</file>