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114"/>
        <w:gridCol w:w="2835"/>
        <w:gridCol w:w="2977"/>
      </w:tblGrid>
      <w:tr w:rsidR="00C208FA" w:rsidRPr="005470AD" w14:paraId="486AFB57" w14:textId="77777777" w:rsidTr="00821257">
        <w:trPr>
          <w:trHeight w:val="283"/>
          <w:jc w:val="center"/>
        </w:trPr>
        <w:tc>
          <w:tcPr>
            <w:tcW w:w="3114" w:type="dxa"/>
            <w:tcBorders>
              <w:top w:val="single" w:sz="4" w:space="0" w:color="auto"/>
              <w:right w:val="single" w:sz="4" w:space="0" w:color="auto"/>
            </w:tcBorders>
            <w:vAlign w:val="center"/>
          </w:tcPr>
          <w:p w14:paraId="5B440755" w14:textId="50E77435" w:rsidR="00C208FA" w:rsidRPr="00681BBC" w:rsidRDefault="00C208FA" w:rsidP="002624E4"/>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BDA3DD1" w14:textId="77777777" w:rsidR="00C208FA" w:rsidRPr="005470AD" w:rsidRDefault="00E97398" w:rsidP="002624E4">
            <w:r w:rsidRPr="005470AD">
              <w:rPr>
                <w:rFonts w:asciiTheme="minorHAnsi" w:hAnsiTheme="minorHAnsi" w:cstheme="minorBidi"/>
                <w:noProof/>
                <w:sz w:val="22"/>
              </w:rPr>
              <w:object w:dxaOrig="8282" w:dyaOrig="8282" w14:anchorId="65EC7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7.2pt;height:96pt;mso-width-percent:0;mso-height-percent:0;mso-width-percent:0;mso-height-percent:0" o:ole="">
                  <v:imagedata r:id="rId8" o:title=""/>
                </v:shape>
                <o:OLEObject Type="Embed" ProgID="CorelDRAW.Graphic.11" ShapeID="_x0000_i1025" DrawAspect="Content" ObjectID="_1812655487" r:id="rId9"/>
              </w:object>
            </w:r>
          </w:p>
        </w:tc>
        <w:tc>
          <w:tcPr>
            <w:tcW w:w="2977" w:type="dxa"/>
            <w:tcBorders>
              <w:top w:val="single" w:sz="4" w:space="0" w:color="auto"/>
              <w:left w:val="single" w:sz="4" w:space="0" w:color="auto"/>
            </w:tcBorders>
            <w:vAlign w:val="center"/>
          </w:tcPr>
          <w:p w14:paraId="5E825104" w14:textId="77777777" w:rsidR="00C208FA" w:rsidRPr="005470AD" w:rsidRDefault="00C208FA" w:rsidP="002624E4"/>
        </w:tc>
      </w:tr>
      <w:tr w:rsidR="00C208FA" w:rsidRPr="005470AD" w14:paraId="4F834D23" w14:textId="77777777" w:rsidTr="00821257">
        <w:trPr>
          <w:trHeight w:val="283"/>
          <w:jc w:val="center"/>
        </w:trPr>
        <w:tc>
          <w:tcPr>
            <w:tcW w:w="3114" w:type="dxa"/>
            <w:tcBorders>
              <w:bottom w:val="nil"/>
              <w:right w:val="single" w:sz="4" w:space="0" w:color="auto"/>
            </w:tcBorders>
            <w:vAlign w:val="center"/>
          </w:tcPr>
          <w:p w14:paraId="4B39203B" w14:textId="77777777" w:rsidR="00C208FA" w:rsidRPr="005470AD" w:rsidRDefault="00C208FA" w:rsidP="002624E4">
            <w:r w:rsidRPr="005470AD">
              <w:t>AFRICAN UNION</w:t>
            </w:r>
          </w:p>
        </w:tc>
        <w:tc>
          <w:tcPr>
            <w:tcW w:w="2835" w:type="dxa"/>
            <w:vMerge/>
            <w:tcBorders>
              <w:left w:val="single" w:sz="4" w:space="0" w:color="auto"/>
              <w:bottom w:val="single" w:sz="4" w:space="0" w:color="auto"/>
              <w:right w:val="single" w:sz="4" w:space="0" w:color="auto"/>
            </w:tcBorders>
            <w:vAlign w:val="center"/>
          </w:tcPr>
          <w:p w14:paraId="6996594A" w14:textId="77777777" w:rsidR="00C208FA" w:rsidRPr="005470AD" w:rsidRDefault="00C208FA" w:rsidP="002624E4"/>
        </w:tc>
        <w:tc>
          <w:tcPr>
            <w:tcW w:w="2977" w:type="dxa"/>
            <w:tcBorders>
              <w:left w:val="single" w:sz="4" w:space="0" w:color="auto"/>
              <w:bottom w:val="nil"/>
            </w:tcBorders>
            <w:vAlign w:val="center"/>
          </w:tcPr>
          <w:p w14:paraId="47EC4E43" w14:textId="77777777" w:rsidR="00C208FA" w:rsidRPr="005470AD" w:rsidRDefault="00C208FA" w:rsidP="002624E4">
            <w:r w:rsidRPr="005470AD">
              <w:t>UNION AFRICAINE</w:t>
            </w:r>
          </w:p>
        </w:tc>
      </w:tr>
      <w:tr w:rsidR="00C208FA" w:rsidRPr="005470AD" w14:paraId="1099E86E" w14:textId="77777777" w:rsidTr="00821257">
        <w:trPr>
          <w:trHeight w:val="283"/>
          <w:jc w:val="center"/>
        </w:trPr>
        <w:tc>
          <w:tcPr>
            <w:tcW w:w="3114" w:type="dxa"/>
            <w:tcBorders>
              <w:top w:val="nil"/>
              <w:bottom w:val="single" w:sz="4" w:space="0" w:color="auto"/>
              <w:right w:val="single" w:sz="4" w:space="0" w:color="auto"/>
            </w:tcBorders>
            <w:vAlign w:val="center"/>
          </w:tcPr>
          <w:p w14:paraId="7B3307A9" w14:textId="77777777" w:rsidR="00C208FA" w:rsidRPr="005470AD" w:rsidRDefault="00C208FA" w:rsidP="002624E4"/>
        </w:tc>
        <w:tc>
          <w:tcPr>
            <w:tcW w:w="2835" w:type="dxa"/>
            <w:vMerge/>
            <w:tcBorders>
              <w:top w:val="nil"/>
              <w:left w:val="single" w:sz="4" w:space="0" w:color="auto"/>
              <w:bottom w:val="single" w:sz="4" w:space="0" w:color="auto"/>
              <w:right w:val="single" w:sz="4" w:space="0" w:color="auto"/>
            </w:tcBorders>
            <w:vAlign w:val="center"/>
          </w:tcPr>
          <w:p w14:paraId="6FB9D754" w14:textId="77777777" w:rsidR="00C208FA" w:rsidRPr="005470AD" w:rsidRDefault="00C208FA" w:rsidP="002624E4"/>
        </w:tc>
        <w:tc>
          <w:tcPr>
            <w:tcW w:w="2977" w:type="dxa"/>
            <w:tcBorders>
              <w:top w:val="nil"/>
              <w:left w:val="single" w:sz="4" w:space="0" w:color="auto"/>
              <w:bottom w:val="single" w:sz="4" w:space="0" w:color="auto"/>
            </w:tcBorders>
            <w:vAlign w:val="center"/>
          </w:tcPr>
          <w:p w14:paraId="478691F3" w14:textId="77777777" w:rsidR="00C208FA" w:rsidRPr="005470AD" w:rsidRDefault="00C208FA" w:rsidP="002624E4"/>
        </w:tc>
      </w:tr>
      <w:tr w:rsidR="00C208FA" w:rsidRPr="005470AD" w14:paraId="1FE68342" w14:textId="77777777" w:rsidTr="00821257">
        <w:trPr>
          <w:trHeight w:val="283"/>
          <w:jc w:val="center"/>
        </w:trPr>
        <w:tc>
          <w:tcPr>
            <w:tcW w:w="3114" w:type="dxa"/>
            <w:tcBorders>
              <w:top w:val="single" w:sz="4" w:space="0" w:color="auto"/>
              <w:right w:val="single" w:sz="4" w:space="0" w:color="auto"/>
            </w:tcBorders>
            <w:vAlign w:val="center"/>
          </w:tcPr>
          <w:p w14:paraId="7B766C92" w14:textId="77777777" w:rsidR="00C208FA" w:rsidRPr="005470AD" w:rsidRDefault="00C208FA" w:rsidP="002624E4"/>
        </w:tc>
        <w:tc>
          <w:tcPr>
            <w:tcW w:w="2835" w:type="dxa"/>
            <w:vMerge/>
            <w:tcBorders>
              <w:top w:val="single" w:sz="4" w:space="0" w:color="auto"/>
              <w:left w:val="single" w:sz="4" w:space="0" w:color="auto"/>
              <w:bottom w:val="single" w:sz="4" w:space="0" w:color="auto"/>
              <w:right w:val="single" w:sz="4" w:space="0" w:color="auto"/>
            </w:tcBorders>
            <w:vAlign w:val="center"/>
          </w:tcPr>
          <w:p w14:paraId="0930081E" w14:textId="77777777" w:rsidR="00C208FA" w:rsidRPr="005470AD" w:rsidRDefault="00C208FA" w:rsidP="002624E4"/>
        </w:tc>
        <w:tc>
          <w:tcPr>
            <w:tcW w:w="2977" w:type="dxa"/>
            <w:tcBorders>
              <w:top w:val="single" w:sz="4" w:space="0" w:color="auto"/>
              <w:left w:val="single" w:sz="4" w:space="0" w:color="auto"/>
            </w:tcBorders>
            <w:vAlign w:val="center"/>
          </w:tcPr>
          <w:p w14:paraId="12B409BE" w14:textId="77777777" w:rsidR="00C208FA" w:rsidRPr="005470AD" w:rsidRDefault="00C208FA" w:rsidP="002624E4"/>
        </w:tc>
      </w:tr>
      <w:tr w:rsidR="00C208FA" w:rsidRPr="005470AD" w14:paraId="7608DAA6" w14:textId="77777777" w:rsidTr="00821257">
        <w:trPr>
          <w:trHeight w:val="283"/>
          <w:jc w:val="center"/>
        </w:trPr>
        <w:tc>
          <w:tcPr>
            <w:tcW w:w="3114" w:type="dxa"/>
            <w:tcBorders>
              <w:bottom w:val="nil"/>
              <w:right w:val="single" w:sz="4" w:space="0" w:color="auto"/>
            </w:tcBorders>
            <w:vAlign w:val="center"/>
          </w:tcPr>
          <w:p w14:paraId="69464E85" w14:textId="77777777" w:rsidR="00C208FA" w:rsidRPr="005470AD" w:rsidRDefault="00C208FA" w:rsidP="002624E4">
            <w:pPr>
              <w:rPr>
                <w:rFonts w:ascii="Simplified Arabic" w:hAnsi="Simplified Arabic" w:cs="Simplified Arabic"/>
                <w:bCs/>
              </w:rPr>
            </w:pPr>
            <w:r w:rsidRPr="005470AD">
              <w:rPr>
                <w:noProof/>
                <w:lang w:eastAsia="fr-FR"/>
              </w:rPr>
              <w:drawing>
                <wp:inline distT="0" distB="0" distL="0" distR="0" wp14:anchorId="03769EB5" wp14:editId="78B33C26">
                  <wp:extent cx="1169155" cy="234466"/>
                  <wp:effectExtent l="0" t="0" r="0" b="0"/>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rotWithShape="1">
                          <a:blip r:embed="rId10"/>
                          <a:srcRect l="16492" t="31433" r="27407" b="44489"/>
                          <a:stretch/>
                        </pic:blipFill>
                        <pic:spPr bwMode="auto">
                          <a:xfrm>
                            <a:off x="0" y="0"/>
                            <a:ext cx="1191424" cy="238932"/>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Merge/>
            <w:tcBorders>
              <w:left w:val="single" w:sz="4" w:space="0" w:color="auto"/>
              <w:bottom w:val="single" w:sz="4" w:space="0" w:color="auto"/>
              <w:right w:val="single" w:sz="4" w:space="0" w:color="auto"/>
            </w:tcBorders>
            <w:vAlign w:val="center"/>
          </w:tcPr>
          <w:p w14:paraId="493F3276" w14:textId="77777777" w:rsidR="00C208FA" w:rsidRPr="005470AD" w:rsidRDefault="00C208FA" w:rsidP="002624E4"/>
        </w:tc>
        <w:tc>
          <w:tcPr>
            <w:tcW w:w="2977" w:type="dxa"/>
            <w:tcBorders>
              <w:left w:val="single" w:sz="4" w:space="0" w:color="auto"/>
              <w:bottom w:val="nil"/>
            </w:tcBorders>
            <w:vAlign w:val="center"/>
          </w:tcPr>
          <w:p w14:paraId="187FB329" w14:textId="77777777" w:rsidR="00C208FA" w:rsidRPr="005470AD" w:rsidRDefault="00C208FA" w:rsidP="002624E4">
            <w:r w:rsidRPr="005470AD">
              <w:t>UNIÃO AFRICANA</w:t>
            </w:r>
          </w:p>
        </w:tc>
      </w:tr>
      <w:tr w:rsidR="00C208FA" w:rsidRPr="005470AD" w14:paraId="5F834E0C" w14:textId="77777777" w:rsidTr="00E77C8E">
        <w:trPr>
          <w:trHeight w:val="70"/>
          <w:jc w:val="center"/>
        </w:trPr>
        <w:tc>
          <w:tcPr>
            <w:tcW w:w="3114" w:type="dxa"/>
            <w:tcBorders>
              <w:top w:val="nil"/>
              <w:bottom w:val="single" w:sz="4" w:space="0" w:color="auto"/>
              <w:right w:val="single" w:sz="4" w:space="0" w:color="auto"/>
            </w:tcBorders>
            <w:vAlign w:val="center"/>
          </w:tcPr>
          <w:p w14:paraId="4CB8F955" w14:textId="77777777" w:rsidR="00C208FA" w:rsidRPr="005470AD" w:rsidRDefault="00C208FA" w:rsidP="002624E4"/>
        </w:tc>
        <w:tc>
          <w:tcPr>
            <w:tcW w:w="2835" w:type="dxa"/>
            <w:vMerge/>
            <w:tcBorders>
              <w:left w:val="single" w:sz="4" w:space="0" w:color="auto"/>
              <w:bottom w:val="single" w:sz="4" w:space="0" w:color="auto"/>
              <w:right w:val="single" w:sz="4" w:space="0" w:color="auto"/>
            </w:tcBorders>
            <w:vAlign w:val="center"/>
          </w:tcPr>
          <w:p w14:paraId="6F42026D" w14:textId="77777777" w:rsidR="00C208FA" w:rsidRPr="005470AD" w:rsidRDefault="00C208FA" w:rsidP="002624E4"/>
        </w:tc>
        <w:tc>
          <w:tcPr>
            <w:tcW w:w="2977" w:type="dxa"/>
            <w:tcBorders>
              <w:top w:val="nil"/>
              <w:left w:val="single" w:sz="4" w:space="0" w:color="auto"/>
              <w:bottom w:val="single" w:sz="4" w:space="0" w:color="auto"/>
            </w:tcBorders>
            <w:vAlign w:val="center"/>
          </w:tcPr>
          <w:p w14:paraId="5263F38D" w14:textId="77777777" w:rsidR="00C208FA" w:rsidRPr="005470AD" w:rsidRDefault="00C208FA" w:rsidP="002624E4"/>
        </w:tc>
      </w:tr>
      <w:tr w:rsidR="00C208FA" w:rsidRPr="005470AD" w14:paraId="589848CC" w14:textId="77777777" w:rsidTr="00821257">
        <w:trPr>
          <w:trHeight w:val="283"/>
          <w:jc w:val="center"/>
        </w:trPr>
        <w:tc>
          <w:tcPr>
            <w:tcW w:w="3114" w:type="dxa"/>
            <w:tcBorders>
              <w:top w:val="single" w:sz="4" w:space="0" w:color="auto"/>
            </w:tcBorders>
            <w:vAlign w:val="center"/>
          </w:tcPr>
          <w:p w14:paraId="4B561CCB" w14:textId="77777777" w:rsidR="00C208FA" w:rsidRPr="005470AD" w:rsidRDefault="00C208FA" w:rsidP="002624E4"/>
        </w:tc>
        <w:tc>
          <w:tcPr>
            <w:tcW w:w="2835" w:type="dxa"/>
            <w:tcBorders>
              <w:top w:val="single" w:sz="4" w:space="0" w:color="auto"/>
            </w:tcBorders>
            <w:vAlign w:val="center"/>
          </w:tcPr>
          <w:p w14:paraId="419B69F1" w14:textId="77777777" w:rsidR="00C208FA" w:rsidRPr="005470AD" w:rsidRDefault="00C208FA" w:rsidP="002624E4"/>
        </w:tc>
        <w:tc>
          <w:tcPr>
            <w:tcW w:w="2977" w:type="dxa"/>
            <w:tcBorders>
              <w:top w:val="single" w:sz="4" w:space="0" w:color="auto"/>
            </w:tcBorders>
            <w:vAlign w:val="center"/>
          </w:tcPr>
          <w:p w14:paraId="023C265C" w14:textId="77777777" w:rsidR="00C208FA" w:rsidRPr="005470AD" w:rsidRDefault="00C208FA" w:rsidP="002624E4"/>
        </w:tc>
      </w:tr>
      <w:tr w:rsidR="00C208FA" w:rsidRPr="005470AD" w14:paraId="2499AB87" w14:textId="77777777" w:rsidTr="00821257">
        <w:trPr>
          <w:trHeight w:val="283"/>
          <w:jc w:val="center"/>
        </w:trPr>
        <w:tc>
          <w:tcPr>
            <w:tcW w:w="8926" w:type="dxa"/>
            <w:gridSpan w:val="3"/>
            <w:vAlign w:val="center"/>
          </w:tcPr>
          <w:p w14:paraId="652DAED9" w14:textId="4694D51A" w:rsidR="00C208FA" w:rsidRPr="005470AD" w:rsidRDefault="00C208FA" w:rsidP="002624E4">
            <w:pPr>
              <w:rPr>
                <w:bCs/>
                <w:lang w:val="en-US"/>
              </w:rPr>
            </w:pPr>
            <w:r w:rsidRPr="005470AD">
              <w:rPr>
                <w:lang w:val="en-US"/>
              </w:rPr>
              <w:t>AFRICAN COURT ON HUMAN AND PEOPLES</w:t>
            </w:r>
            <w:r w:rsidR="00A95CF8" w:rsidRPr="005470AD">
              <w:rPr>
                <w:lang w:val="en-US"/>
              </w:rPr>
              <w:t>’</w:t>
            </w:r>
            <w:r w:rsidRPr="005470AD">
              <w:rPr>
                <w:lang w:val="en-US"/>
              </w:rPr>
              <w:t xml:space="preserve"> RIGHTS</w:t>
            </w:r>
          </w:p>
        </w:tc>
      </w:tr>
      <w:tr w:rsidR="00C208FA" w:rsidRPr="005470AD" w14:paraId="1F656C93" w14:textId="77777777" w:rsidTr="00821257">
        <w:trPr>
          <w:trHeight w:val="283"/>
          <w:jc w:val="center"/>
        </w:trPr>
        <w:tc>
          <w:tcPr>
            <w:tcW w:w="8926" w:type="dxa"/>
            <w:gridSpan w:val="3"/>
            <w:vAlign w:val="center"/>
          </w:tcPr>
          <w:p w14:paraId="365614B6" w14:textId="20E8E19F" w:rsidR="00C208FA" w:rsidRPr="005470AD" w:rsidRDefault="00C208FA" w:rsidP="002624E4">
            <w:pPr>
              <w:rPr>
                <w:bCs/>
              </w:rPr>
            </w:pPr>
            <w:r w:rsidRPr="005470AD">
              <w:t>COUR AFRICAINE DES DROITS DE L</w:t>
            </w:r>
            <w:r w:rsidR="00A95CF8" w:rsidRPr="005470AD">
              <w:t>’</w:t>
            </w:r>
            <w:r w:rsidRPr="005470AD">
              <w:t>HOMME ET DES PEUPLES</w:t>
            </w:r>
          </w:p>
        </w:tc>
      </w:tr>
      <w:tr w:rsidR="00C208FA" w:rsidRPr="005470AD" w14:paraId="3DA87AAA" w14:textId="77777777" w:rsidTr="00E77C8E">
        <w:trPr>
          <w:trHeight w:val="80"/>
          <w:jc w:val="center"/>
        </w:trPr>
        <w:tc>
          <w:tcPr>
            <w:tcW w:w="8926" w:type="dxa"/>
            <w:gridSpan w:val="3"/>
            <w:vAlign w:val="center"/>
          </w:tcPr>
          <w:p w14:paraId="110310CE" w14:textId="77777777" w:rsidR="00C208FA" w:rsidRPr="005470AD" w:rsidRDefault="00C208FA" w:rsidP="002624E4">
            <w:pPr>
              <w:rPr>
                <w:bCs/>
              </w:rPr>
            </w:pPr>
          </w:p>
        </w:tc>
      </w:tr>
    </w:tbl>
    <w:p w14:paraId="2E5F43F3" w14:textId="77777777" w:rsidR="00E77C8E" w:rsidRPr="005470AD" w:rsidRDefault="00E77C8E" w:rsidP="002624E4"/>
    <w:p w14:paraId="321223A9" w14:textId="77777777" w:rsidR="00E77C8E" w:rsidRPr="005470AD" w:rsidRDefault="00E77C8E" w:rsidP="002624E4"/>
    <w:p w14:paraId="50617C73" w14:textId="77777777" w:rsidR="00B14B75" w:rsidRPr="005470AD" w:rsidRDefault="00B14B75" w:rsidP="002624E4"/>
    <w:p w14:paraId="07548468" w14:textId="77777777" w:rsidR="00B14B75" w:rsidRPr="005470AD" w:rsidRDefault="00B14B75" w:rsidP="002624E4">
      <w:r w:rsidRPr="005470AD">
        <w:t>AFFAIRE</w:t>
      </w:r>
    </w:p>
    <w:p w14:paraId="4BE8A8CB" w14:textId="77777777" w:rsidR="00B14B75" w:rsidRPr="005470AD" w:rsidRDefault="00B14B75" w:rsidP="002624E4"/>
    <w:p w14:paraId="37A04738" w14:textId="51803A59" w:rsidR="00B14B75" w:rsidRPr="005470AD" w:rsidRDefault="00B11315" w:rsidP="002624E4">
      <w:r w:rsidRPr="005470AD">
        <w:t xml:space="preserve">UMALO MUSSA </w:t>
      </w:r>
    </w:p>
    <w:p w14:paraId="1AD8F029" w14:textId="77777777" w:rsidR="00B14B75" w:rsidRPr="005470AD" w:rsidRDefault="00B14B75" w:rsidP="002624E4"/>
    <w:p w14:paraId="09956748" w14:textId="77777777" w:rsidR="00C208FA" w:rsidRPr="005470AD" w:rsidRDefault="00C208FA" w:rsidP="002624E4"/>
    <w:p w14:paraId="0F820CF2" w14:textId="7487675E" w:rsidR="00B14B75" w:rsidRPr="005470AD" w:rsidRDefault="00B14B75" w:rsidP="002624E4">
      <w:r w:rsidRPr="005470AD">
        <w:t>C.</w:t>
      </w:r>
    </w:p>
    <w:p w14:paraId="0B374E4C" w14:textId="77777777" w:rsidR="00B14B75" w:rsidRPr="005470AD" w:rsidRDefault="00B14B75" w:rsidP="002624E4"/>
    <w:p w14:paraId="20E5856A" w14:textId="77777777" w:rsidR="00ED0C66" w:rsidRPr="005470AD" w:rsidRDefault="00ED0C66" w:rsidP="002624E4"/>
    <w:p w14:paraId="528EAEC4" w14:textId="7D1AFA97" w:rsidR="00B14B75" w:rsidRPr="005470AD" w:rsidRDefault="00B11315" w:rsidP="002624E4">
      <w:r w:rsidRPr="005470AD">
        <w:t>RÉPUBLIQUE-UNIE DE TANZANIE</w:t>
      </w:r>
    </w:p>
    <w:p w14:paraId="46D36A3F" w14:textId="77777777" w:rsidR="00B14B75" w:rsidRPr="005470AD" w:rsidRDefault="00B14B75" w:rsidP="002624E4"/>
    <w:p w14:paraId="58433A6A" w14:textId="77777777" w:rsidR="00843C22" w:rsidRPr="005470AD" w:rsidRDefault="00843C22" w:rsidP="002624E4"/>
    <w:p w14:paraId="379FD2F2" w14:textId="3368D86A" w:rsidR="00B14B75" w:rsidRPr="005470AD" w:rsidRDefault="00035C8C" w:rsidP="002624E4">
      <w:r w:rsidRPr="005470AD">
        <w:t>REQUÊTE N° 031/2016</w:t>
      </w:r>
    </w:p>
    <w:p w14:paraId="096C6283" w14:textId="77777777" w:rsidR="00B14B75" w:rsidRPr="005470AD" w:rsidRDefault="00B14B75" w:rsidP="002624E4"/>
    <w:p w14:paraId="4B498C10" w14:textId="77777777" w:rsidR="00B14B75" w:rsidRPr="005470AD" w:rsidRDefault="00B14B75" w:rsidP="002624E4"/>
    <w:p w14:paraId="1038C670" w14:textId="2D9B5F88" w:rsidR="00B14B75" w:rsidRPr="005470AD" w:rsidRDefault="00B10E75" w:rsidP="002624E4">
      <w:r w:rsidRPr="005470AD">
        <w:t>ARRÊT</w:t>
      </w:r>
    </w:p>
    <w:p w14:paraId="6D21733A" w14:textId="66A8CE5F" w:rsidR="008235DD" w:rsidRPr="005470AD" w:rsidRDefault="008235DD" w:rsidP="002624E4">
      <w:r w:rsidRPr="005470AD">
        <w:t xml:space="preserve"> </w:t>
      </w:r>
    </w:p>
    <w:p w14:paraId="04DF1688" w14:textId="77777777" w:rsidR="00B14B75" w:rsidRPr="005470AD" w:rsidRDefault="00B14B75" w:rsidP="002624E4"/>
    <w:p w14:paraId="4D9A3068" w14:textId="77777777" w:rsidR="00B14B75" w:rsidRPr="005470AD" w:rsidRDefault="00B14B75" w:rsidP="002624E4"/>
    <w:p w14:paraId="3F3C3667" w14:textId="45FE3AFC" w:rsidR="00B14B75" w:rsidRPr="005470AD" w:rsidRDefault="000F1A7A" w:rsidP="002624E4">
      <w:r w:rsidRPr="005470AD">
        <w:t>13</w:t>
      </w:r>
      <w:r w:rsidR="00535EDE" w:rsidRPr="005470AD">
        <w:t xml:space="preserve"> </w:t>
      </w:r>
      <w:r w:rsidR="00D7172B" w:rsidRPr="005470AD">
        <w:t>JUIN</w:t>
      </w:r>
      <w:r w:rsidR="00BC06BE" w:rsidRPr="005470AD">
        <w:t> 2023</w:t>
      </w:r>
    </w:p>
    <w:p w14:paraId="35689F19" w14:textId="77777777" w:rsidR="00EE0A5E" w:rsidRPr="005470AD" w:rsidRDefault="00EE0A5E" w:rsidP="002624E4">
      <w:pPr>
        <w:sectPr w:rsidR="00EE0A5E" w:rsidRPr="005470AD" w:rsidSect="002607EE">
          <w:footerReference w:type="default" r:id="rId11"/>
          <w:headerReference w:type="first" r:id="rId12"/>
          <w:pgSz w:w="11906" w:h="16838" w:code="9"/>
          <w:pgMar w:top="1418" w:right="1418" w:bottom="1418" w:left="1418" w:header="709" w:footer="709" w:gutter="0"/>
          <w:pgNumType w:start="0"/>
          <w:cols w:space="708"/>
          <w:titlePg/>
          <w:docGrid w:linePitch="360"/>
        </w:sectPr>
      </w:pPr>
    </w:p>
    <w:p w14:paraId="08FBFBCF" w14:textId="77777777" w:rsidR="00B14B75" w:rsidRPr="005470AD" w:rsidRDefault="00B14B75" w:rsidP="002624E4">
      <w:bookmarkStart w:id="0" w:name="_Toc136592689"/>
      <w:r w:rsidRPr="005470AD">
        <w:lastRenderedPageBreak/>
        <w:t>SOMMAIRE</w:t>
      </w:r>
      <w:bookmarkEnd w:id="0"/>
    </w:p>
    <w:sdt>
      <w:sdtPr>
        <w:id w:val="-103195515"/>
        <w:docPartObj>
          <w:docPartGallery w:val="Table of Contents"/>
          <w:docPartUnique/>
        </w:docPartObj>
      </w:sdtPr>
      <w:sdtEndPr>
        <w:rPr>
          <w:noProof/>
        </w:rPr>
      </w:sdtEndPr>
      <w:sdtContent>
        <w:p w14:paraId="55A4854F" w14:textId="77777777" w:rsidR="00E44DB8" w:rsidRPr="005470AD" w:rsidRDefault="00E44DB8" w:rsidP="002624E4">
          <w:pPr>
            <w:rPr>
              <w:sz w:val="8"/>
            </w:rPr>
          </w:pPr>
        </w:p>
        <w:p w14:paraId="3D61C7A2" w14:textId="77777777" w:rsidR="0048624C" w:rsidRPr="005470AD" w:rsidRDefault="00E44DB8" w:rsidP="002624E4">
          <w:pPr>
            <w:rPr>
              <w:rFonts w:eastAsiaTheme="minorEastAsia"/>
              <w:bCs/>
              <w:iCs/>
              <w:noProof/>
              <w:sz w:val="22"/>
              <w:szCs w:val="22"/>
              <w:lang w:eastAsia="fr-FR"/>
            </w:rPr>
          </w:pPr>
          <w:r w:rsidRPr="005470AD">
            <w:rPr>
              <w:bCs/>
              <w:iCs/>
            </w:rPr>
            <w:fldChar w:fldCharType="begin"/>
          </w:r>
          <w:r w:rsidRPr="005470AD">
            <w:instrText xml:space="preserve"> TOC \o "1-3" \h \z \u </w:instrText>
          </w:r>
          <w:r w:rsidRPr="005470AD">
            <w:rPr>
              <w:bCs/>
              <w:iCs/>
            </w:rPr>
            <w:fldChar w:fldCharType="separate"/>
          </w:r>
          <w:hyperlink w:anchor="_Toc136592689" w:history="1">
            <w:r w:rsidR="0048624C" w:rsidRPr="005470AD">
              <w:rPr>
                <w:rStyle w:val="Hyperlink"/>
                <w:rFonts w:cs="Arial"/>
                <w:noProof/>
              </w:rPr>
              <w:t>SOMMAIRE</w:t>
            </w:r>
            <w:r w:rsidR="0048624C" w:rsidRPr="005470AD">
              <w:rPr>
                <w:noProof/>
                <w:webHidden/>
              </w:rPr>
              <w:tab/>
            </w:r>
            <w:r w:rsidR="0048624C" w:rsidRPr="005470AD">
              <w:rPr>
                <w:noProof/>
                <w:webHidden/>
              </w:rPr>
              <w:fldChar w:fldCharType="begin"/>
            </w:r>
            <w:r w:rsidR="0048624C" w:rsidRPr="005470AD">
              <w:rPr>
                <w:noProof/>
                <w:webHidden/>
              </w:rPr>
              <w:instrText xml:space="preserve"> PAGEREF _Toc136592689 \h </w:instrText>
            </w:r>
            <w:r w:rsidR="0048624C" w:rsidRPr="005470AD">
              <w:rPr>
                <w:noProof/>
                <w:webHidden/>
              </w:rPr>
            </w:r>
            <w:r w:rsidR="0048624C" w:rsidRPr="005470AD">
              <w:rPr>
                <w:noProof/>
                <w:webHidden/>
              </w:rPr>
              <w:fldChar w:fldCharType="separate"/>
            </w:r>
            <w:r w:rsidR="0048624C" w:rsidRPr="005470AD">
              <w:rPr>
                <w:noProof/>
                <w:webHidden/>
              </w:rPr>
              <w:t>i</w:t>
            </w:r>
            <w:r w:rsidR="0048624C" w:rsidRPr="005470AD">
              <w:rPr>
                <w:noProof/>
                <w:webHidden/>
              </w:rPr>
              <w:fldChar w:fldCharType="end"/>
            </w:r>
          </w:hyperlink>
        </w:p>
        <w:p w14:paraId="6B345CA1" w14:textId="77777777" w:rsidR="0048624C" w:rsidRPr="005470AD" w:rsidRDefault="0048624C" w:rsidP="002624E4">
          <w:pPr>
            <w:rPr>
              <w:rFonts w:eastAsiaTheme="minorEastAsia"/>
              <w:bCs/>
              <w:iCs/>
              <w:noProof/>
              <w:sz w:val="22"/>
              <w:szCs w:val="22"/>
              <w:lang w:eastAsia="fr-FR"/>
            </w:rPr>
          </w:pPr>
          <w:hyperlink w:anchor="_Toc136592690" w:history="1">
            <w:r w:rsidRPr="005470AD">
              <w:rPr>
                <w:rStyle w:val="Hyperlink"/>
                <w:rFonts w:cs="Arial"/>
                <w:noProof/>
              </w:rPr>
              <w:t>I.</w:t>
            </w:r>
            <w:r w:rsidRPr="005470AD">
              <w:rPr>
                <w:rFonts w:eastAsiaTheme="minorEastAsia"/>
                <w:noProof/>
                <w:sz w:val="22"/>
                <w:szCs w:val="22"/>
                <w:lang w:eastAsia="fr-FR"/>
              </w:rPr>
              <w:tab/>
            </w:r>
            <w:r w:rsidRPr="005470AD">
              <w:rPr>
                <w:rStyle w:val="Hyperlink"/>
                <w:rFonts w:cs="Arial"/>
                <w:noProof/>
              </w:rPr>
              <w:t>LES PARTIES</w:t>
            </w:r>
            <w:r w:rsidRPr="005470AD">
              <w:rPr>
                <w:noProof/>
                <w:webHidden/>
              </w:rPr>
              <w:tab/>
            </w:r>
            <w:r w:rsidRPr="005470AD">
              <w:rPr>
                <w:noProof/>
                <w:webHidden/>
              </w:rPr>
              <w:fldChar w:fldCharType="begin"/>
            </w:r>
            <w:r w:rsidRPr="005470AD">
              <w:rPr>
                <w:noProof/>
                <w:webHidden/>
              </w:rPr>
              <w:instrText xml:space="preserve"> PAGEREF _Toc136592690 \h </w:instrText>
            </w:r>
            <w:r w:rsidRPr="005470AD">
              <w:rPr>
                <w:noProof/>
                <w:webHidden/>
              </w:rPr>
            </w:r>
            <w:r w:rsidRPr="005470AD">
              <w:rPr>
                <w:noProof/>
                <w:webHidden/>
              </w:rPr>
              <w:fldChar w:fldCharType="separate"/>
            </w:r>
            <w:r w:rsidRPr="005470AD">
              <w:rPr>
                <w:noProof/>
                <w:webHidden/>
              </w:rPr>
              <w:t>2</w:t>
            </w:r>
            <w:r w:rsidRPr="005470AD">
              <w:rPr>
                <w:noProof/>
                <w:webHidden/>
              </w:rPr>
              <w:fldChar w:fldCharType="end"/>
            </w:r>
          </w:hyperlink>
        </w:p>
        <w:p w14:paraId="52D270F7" w14:textId="77777777" w:rsidR="0048624C" w:rsidRPr="005470AD" w:rsidRDefault="0048624C" w:rsidP="002624E4">
          <w:pPr>
            <w:rPr>
              <w:rFonts w:eastAsiaTheme="minorEastAsia"/>
              <w:bCs/>
              <w:iCs/>
              <w:noProof/>
              <w:sz w:val="22"/>
              <w:szCs w:val="22"/>
              <w:lang w:eastAsia="fr-FR"/>
            </w:rPr>
          </w:pPr>
          <w:hyperlink w:anchor="_Toc136592691" w:history="1">
            <w:r w:rsidRPr="005470AD">
              <w:rPr>
                <w:rStyle w:val="Hyperlink"/>
                <w:rFonts w:cs="Arial"/>
                <w:noProof/>
              </w:rPr>
              <w:t>II.</w:t>
            </w:r>
            <w:r w:rsidRPr="005470AD">
              <w:rPr>
                <w:rFonts w:eastAsiaTheme="minorEastAsia"/>
                <w:noProof/>
                <w:sz w:val="22"/>
                <w:szCs w:val="22"/>
                <w:lang w:eastAsia="fr-FR"/>
              </w:rPr>
              <w:tab/>
            </w:r>
            <w:r w:rsidRPr="005470AD">
              <w:rPr>
                <w:rStyle w:val="Hyperlink"/>
                <w:rFonts w:cs="Arial"/>
                <w:noProof/>
              </w:rPr>
              <w:t>OBJET DE LA REQUÊTE</w:t>
            </w:r>
            <w:r w:rsidRPr="005470AD">
              <w:rPr>
                <w:noProof/>
                <w:webHidden/>
              </w:rPr>
              <w:tab/>
            </w:r>
            <w:r w:rsidRPr="005470AD">
              <w:rPr>
                <w:noProof/>
                <w:webHidden/>
              </w:rPr>
              <w:fldChar w:fldCharType="begin"/>
            </w:r>
            <w:r w:rsidRPr="005470AD">
              <w:rPr>
                <w:noProof/>
                <w:webHidden/>
              </w:rPr>
              <w:instrText xml:space="preserve"> PAGEREF _Toc136592691 \h </w:instrText>
            </w:r>
            <w:r w:rsidRPr="005470AD">
              <w:rPr>
                <w:noProof/>
                <w:webHidden/>
              </w:rPr>
            </w:r>
            <w:r w:rsidRPr="005470AD">
              <w:rPr>
                <w:noProof/>
                <w:webHidden/>
              </w:rPr>
              <w:fldChar w:fldCharType="separate"/>
            </w:r>
            <w:r w:rsidRPr="005470AD">
              <w:rPr>
                <w:noProof/>
                <w:webHidden/>
              </w:rPr>
              <w:t>3</w:t>
            </w:r>
            <w:r w:rsidRPr="005470AD">
              <w:rPr>
                <w:noProof/>
                <w:webHidden/>
              </w:rPr>
              <w:fldChar w:fldCharType="end"/>
            </w:r>
          </w:hyperlink>
        </w:p>
        <w:p w14:paraId="6E44A3E5" w14:textId="77777777" w:rsidR="0048624C" w:rsidRPr="005470AD" w:rsidRDefault="0048624C" w:rsidP="002624E4">
          <w:pPr>
            <w:rPr>
              <w:rFonts w:eastAsiaTheme="minorEastAsia"/>
              <w:noProof/>
              <w:sz w:val="22"/>
              <w:szCs w:val="22"/>
              <w:lang w:eastAsia="fr-FR"/>
            </w:rPr>
          </w:pPr>
          <w:hyperlink w:anchor="_Toc136592692" w:history="1">
            <w:r w:rsidRPr="005470AD">
              <w:rPr>
                <w:rStyle w:val="Hyperlink"/>
                <w:rFonts w:ascii="Arial" w:hAnsi="Arial" w:cs="Arial"/>
                <w:noProof/>
              </w:rPr>
              <w:t>A.</w:t>
            </w:r>
            <w:r w:rsidRPr="005470AD">
              <w:rPr>
                <w:rFonts w:eastAsiaTheme="minorEastAsia"/>
                <w:noProof/>
                <w:sz w:val="22"/>
                <w:szCs w:val="22"/>
                <w:lang w:eastAsia="fr-FR"/>
              </w:rPr>
              <w:tab/>
            </w:r>
            <w:r w:rsidRPr="005470AD">
              <w:rPr>
                <w:rStyle w:val="Hyperlink"/>
                <w:rFonts w:ascii="Arial" w:hAnsi="Arial" w:cs="Arial"/>
                <w:noProof/>
              </w:rPr>
              <w:t>Faits de la cause</w:t>
            </w:r>
            <w:r w:rsidRPr="005470AD">
              <w:rPr>
                <w:noProof/>
                <w:webHidden/>
              </w:rPr>
              <w:tab/>
            </w:r>
            <w:r w:rsidRPr="005470AD">
              <w:rPr>
                <w:noProof/>
                <w:webHidden/>
              </w:rPr>
              <w:fldChar w:fldCharType="begin"/>
            </w:r>
            <w:r w:rsidRPr="005470AD">
              <w:rPr>
                <w:noProof/>
                <w:webHidden/>
              </w:rPr>
              <w:instrText xml:space="preserve"> PAGEREF _Toc136592692 \h </w:instrText>
            </w:r>
            <w:r w:rsidRPr="005470AD">
              <w:rPr>
                <w:noProof/>
                <w:webHidden/>
              </w:rPr>
            </w:r>
            <w:r w:rsidRPr="005470AD">
              <w:rPr>
                <w:noProof/>
                <w:webHidden/>
              </w:rPr>
              <w:fldChar w:fldCharType="separate"/>
            </w:r>
            <w:r w:rsidRPr="005470AD">
              <w:rPr>
                <w:noProof/>
                <w:webHidden/>
              </w:rPr>
              <w:t>3</w:t>
            </w:r>
            <w:r w:rsidRPr="005470AD">
              <w:rPr>
                <w:noProof/>
                <w:webHidden/>
              </w:rPr>
              <w:fldChar w:fldCharType="end"/>
            </w:r>
          </w:hyperlink>
        </w:p>
        <w:p w14:paraId="5A50852C" w14:textId="77777777" w:rsidR="0048624C" w:rsidRPr="005470AD" w:rsidRDefault="0048624C" w:rsidP="002624E4">
          <w:pPr>
            <w:rPr>
              <w:rFonts w:eastAsiaTheme="minorEastAsia"/>
              <w:noProof/>
              <w:sz w:val="22"/>
              <w:szCs w:val="22"/>
              <w:lang w:eastAsia="fr-FR"/>
            </w:rPr>
          </w:pPr>
          <w:hyperlink w:anchor="_Toc136592693" w:history="1">
            <w:r w:rsidRPr="005470AD">
              <w:rPr>
                <w:rStyle w:val="Hyperlink"/>
                <w:rFonts w:ascii="Arial" w:hAnsi="Arial" w:cs="Arial"/>
                <w:noProof/>
              </w:rPr>
              <w:t>B.</w:t>
            </w:r>
            <w:r w:rsidRPr="005470AD">
              <w:rPr>
                <w:rFonts w:eastAsiaTheme="minorEastAsia"/>
                <w:noProof/>
                <w:sz w:val="22"/>
                <w:szCs w:val="22"/>
                <w:lang w:eastAsia="fr-FR"/>
              </w:rPr>
              <w:tab/>
            </w:r>
            <w:r w:rsidRPr="005470AD">
              <w:rPr>
                <w:rStyle w:val="Hyperlink"/>
                <w:rFonts w:ascii="Arial" w:hAnsi="Arial" w:cs="Arial"/>
                <w:noProof/>
              </w:rPr>
              <w:t>Violations alléguées</w:t>
            </w:r>
            <w:r w:rsidRPr="005470AD">
              <w:rPr>
                <w:noProof/>
                <w:webHidden/>
              </w:rPr>
              <w:tab/>
            </w:r>
            <w:r w:rsidRPr="005470AD">
              <w:rPr>
                <w:noProof/>
                <w:webHidden/>
              </w:rPr>
              <w:fldChar w:fldCharType="begin"/>
            </w:r>
            <w:r w:rsidRPr="005470AD">
              <w:rPr>
                <w:noProof/>
                <w:webHidden/>
              </w:rPr>
              <w:instrText xml:space="preserve"> PAGEREF _Toc136592693 \h </w:instrText>
            </w:r>
            <w:r w:rsidRPr="005470AD">
              <w:rPr>
                <w:noProof/>
                <w:webHidden/>
              </w:rPr>
            </w:r>
            <w:r w:rsidRPr="005470AD">
              <w:rPr>
                <w:noProof/>
                <w:webHidden/>
              </w:rPr>
              <w:fldChar w:fldCharType="separate"/>
            </w:r>
            <w:r w:rsidRPr="005470AD">
              <w:rPr>
                <w:noProof/>
                <w:webHidden/>
              </w:rPr>
              <w:t>3</w:t>
            </w:r>
            <w:r w:rsidRPr="005470AD">
              <w:rPr>
                <w:noProof/>
                <w:webHidden/>
              </w:rPr>
              <w:fldChar w:fldCharType="end"/>
            </w:r>
          </w:hyperlink>
        </w:p>
        <w:p w14:paraId="5E11C1EC" w14:textId="77777777" w:rsidR="0048624C" w:rsidRPr="005470AD" w:rsidRDefault="0048624C" w:rsidP="002624E4">
          <w:pPr>
            <w:rPr>
              <w:rFonts w:eastAsiaTheme="minorEastAsia"/>
              <w:bCs/>
              <w:iCs/>
              <w:noProof/>
              <w:sz w:val="22"/>
              <w:szCs w:val="22"/>
              <w:lang w:eastAsia="fr-FR"/>
            </w:rPr>
          </w:pPr>
          <w:hyperlink w:anchor="_Toc136592694" w:history="1">
            <w:r w:rsidRPr="005470AD">
              <w:rPr>
                <w:rStyle w:val="Hyperlink"/>
                <w:rFonts w:cs="Arial"/>
                <w:noProof/>
              </w:rPr>
              <w:t>III.</w:t>
            </w:r>
            <w:r w:rsidRPr="005470AD">
              <w:rPr>
                <w:rFonts w:eastAsiaTheme="minorEastAsia"/>
                <w:noProof/>
                <w:sz w:val="22"/>
                <w:szCs w:val="22"/>
                <w:lang w:eastAsia="fr-FR"/>
              </w:rPr>
              <w:tab/>
            </w:r>
            <w:r w:rsidRPr="005470AD">
              <w:rPr>
                <w:rStyle w:val="Hyperlink"/>
                <w:rFonts w:cs="Arial"/>
                <w:noProof/>
              </w:rPr>
              <w:t>RÉSUMÉ DE LA PROCÉDURE DEVANT LA COUR DE CÉANS</w:t>
            </w:r>
            <w:r w:rsidRPr="005470AD">
              <w:rPr>
                <w:noProof/>
                <w:webHidden/>
              </w:rPr>
              <w:tab/>
            </w:r>
            <w:r w:rsidRPr="005470AD">
              <w:rPr>
                <w:noProof/>
                <w:webHidden/>
              </w:rPr>
              <w:fldChar w:fldCharType="begin"/>
            </w:r>
            <w:r w:rsidRPr="005470AD">
              <w:rPr>
                <w:noProof/>
                <w:webHidden/>
              </w:rPr>
              <w:instrText xml:space="preserve"> PAGEREF _Toc136592694 \h </w:instrText>
            </w:r>
            <w:r w:rsidRPr="005470AD">
              <w:rPr>
                <w:noProof/>
                <w:webHidden/>
              </w:rPr>
            </w:r>
            <w:r w:rsidRPr="005470AD">
              <w:rPr>
                <w:noProof/>
                <w:webHidden/>
              </w:rPr>
              <w:fldChar w:fldCharType="separate"/>
            </w:r>
            <w:r w:rsidRPr="005470AD">
              <w:rPr>
                <w:noProof/>
                <w:webHidden/>
              </w:rPr>
              <w:t>4</w:t>
            </w:r>
            <w:r w:rsidRPr="005470AD">
              <w:rPr>
                <w:noProof/>
                <w:webHidden/>
              </w:rPr>
              <w:fldChar w:fldCharType="end"/>
            </w:r>
          </w:hyperlink>
        </w:p>
        <w:p w14:paraId="6A496BE0" w14:textId="77777777" w:rsidR="0048624C" w:rsidRPr="005470AD" w:rsidRDefault="0048624C" w:rsidP="002624E4">
          <w:pPr>
            <w:rPr>
              <w:rFonts w:eastAsiaTheme="minorEastAsia"/>
              <w:bCs/>
              <w:iCs/>
              <w:noProof/>
              <w:sz w:val="22"/>
              <w:szCs w:val="22"/>
              <w:lang w:eastAsia="fr-FR"/>
            </w:rPr>
          </w:pPr>
          <w:hyperlink w:anchor="_Toc136592695" w:history="1">
            <w:r w:rsidRPr="005470AD">
              <w:rPr>
                <w:rStyle w:val="Hyperlink"/>
                <w:rFonts w:cs="Arial"/>
                <w:noProof/>
              </w:rPr>
              <w:t>IV.</w:t>
            </w:r>
            <w:r w:rsidRPr="005470AD">
              <w:rPr>
                <w:rFonts w:eastAsiaTheme="minorEastAsia"/>
                <w:noProof/>
                <w:sz w:val="22"/>
                <w:szCs w:val="22"/>
                <w:lang w:eastAsia="fr-FR"/>
              </w:rPr>
              <w:tab/>
            </w:r>
            <w:r w:rsidRPr="005470AD">
              <w:rPr>
                <w:rStyle w:val="Hyperlink"/>
                <w:rFonts w:cs="Arial"/>
                <w:noProof/>
              </w:rPr>
              <w:t>DEMANDES DES PARTIES</w:t>
            </w:r>
            <w:r w:rsidRPr="005470AD">
              <w:rPr>
                <w:noProof/>
                <w:webHidden/>
              </w:rPr>
              <w:tab/>
            </w:r>
            <w:r w:rsidRPr="005470AD">
              <w:rPr>
                <w:noProof/>
                <w:webHidden/>
              </w:rPr>
              <w:fldChar w:fldCharType="begin"/>
            </w:r>
            <w:r w:rsidRPr="005470AD">
              <w:rPr>
                <w:noProof/>
                <w:webHidden/>
              </w:rPr>
              <w:instrText xml:space="preserve"> PAGEREF _Toc136592695 \h </w:instrText>
            </w:r>
            <w:r w:rsidRPr="005470AD">
              <w:rPr>
                <w:noProof/>
                <w:webHidden/>
              </w:rPr>
            </w:r>
            <w:r w:rsidRPr="005470AD">
              <w:rPr>
                <w:noProof/>
                <w:webHidden/>
              </w:rPr>
              <w:fldChar w:fldCharType="separate"/>
            </w:r>
            <w:r w:rsidRPr="005470AD">
              <w:rPr>
                <w:noProof/>
                <w:webHidden/>
              </w:rPr>
              <w:t>4</w:t>
            </w:r>
            <w:r w:rsidRPr="005470AD">
              <w:rPr>
                <w:noProof/>
                <w:webHidden/>
              </w:rPr>
              <w:fldChar w:fldCharType="end"/>
            </w:r>
          </w:hyperlink>
        </w:p>
        <w:p w14:paraId="1DBC54DB" w14:textId="77777777" w:rsidR="0048624C" w:rsidRPr="005470AD" w:rsidRDefault="0048624C" w:rsidP="002624E4">
          <w:pPr>
            <w:rPr>
              <w:rFonts w:eastAsiaTheme="minorEastAsia"/>
              <w:bCs/>
              <w:iCs/>
              <w:noProof/>
              <w:sz w:val="22"/>
              <w:szCs w:val="22"/>
              <w:lang w:eastAsia="fr-FR"/>
            </w:rPr>
          </w:pPr>
          <w:hyperlink w:anchor="_Toc136592696" w:history="1">
            <w:r w:rsidRPr="005470AD">
              <w:rPr>
                <w:rStyle w:val="Hyperlink"/>
                <w:rFonts w:cs="Arial"/>
                <w:noProof/>
              </w:rPr>
              <w:t>V.</w:t>
            </w:r>
            <w:r w:rsidRPr="005470AD">
              <w:rPr>
                <w:rFonts w:eastAsiaTheme="minorEastAsia"/>
                <w:noProof/>
                <w:sz w:val="22"/>
                <w:szCs w:val="22"/>
                <w:lang w:eastAsia="fr-FR"/>
              </w:rPr>
              <w:tab/>
            </w:r>
            <w:r w:rsidRPr="005470AD">
              <w:rPr>
                <w:rStyle w:val="Hyperlink"/>
                <w:rFonts w:cs="Arial"/>
                <w:noProof/>
              </w:rPr>
              <w:t>SUR LA COMPÉTENCE</w:t>
            </w:r>
            <w:r w:rsidRPr="005470AD">
              <w:rPr>
                <w:noProof/>
                <w:webHidden/>
              </w:rPr>
              <w:tab/>
            </w:r>
            <w:r w:rsidRPr="005470AD">
              <w:rPr>
                <w:noProof/>
                <w:webHidden/>
              </w:rPr>
              <w:fldChar w:fldCharType="begin"/>
            </w:r>
            <w:r w:rsidRPr="005470AD">
              <w:rPr>
                <w:noProof/>
                <w:webHidden/>
              </w:rPr>
              <w:instrText xml:space="preserve"> PAGEREF _Toc136592696 \h </w:instrText>
            </w:r>
            <w:r w:rsidRPr="005470AD">
              <w:rPr>
                <w:noProof/>
                <w:webHidden/>
              </w:rPr>
            </w:r>
            <w:r w:rsidRPr="005470AD">
              <w:rPr>
                <w:noProof/>
                <w:webHidden/>
              </w:rPr>
              <w:fldChar w:fldCharType="separate"/>
            </w:r>
            <w:r w:rsidRPr="005470AD">
              <w:rPr>
                <w:noProof/>
                <w:webHidden/>
              </w:rPr>
              <w:t>6</w:t>
            </w:r>
            <w:r w:rsidRPr="005470AD">
              <w:rPr>
                <w:noProof/>
                <w:webHidden/>
              </w:rPr>
              <w:fldChar w:fldCharType="end"/>
            </w:r>
          </w:hyperlink>
        </w:p>
        <w:p w14:paraId="5D101F49" w14:textId="77777777" w:rsidR="0048624C" w:rsidRPr="005470AD" w:rsidRDefault="0048624C" w:rsidP="002624E4">
          <w:pPr>
            <w:rPr>
              <w:rFonts w:eastAsiaTheme="minorEastAsia"/>
              <w:noProof/>
              <w:sz w:val="22"/>
              <w:szCs w:val="22"/>
              <w:lang w:eastAsia="fr-FR"/>
            </w:rPr>
          </w:pPr>
          <w:hyperlink w:anchor="_Toc136592697" w:history="1">
            <w:r w:rsidRPr="005470AD">
              <w:rPr>
                <w:rStyle w:val="Hyperlink"/>
                <w:rFonts w:ascii="Arial" w:hAnsi="Arial" w:cs="Arial"/>
                <w:noProof/>
              </w:rPr>
              <w:t>A.</w:t>
            </w:r>
            <w:r w:rsidRPr="005470AD">
              <w:rPr>
                <w:rFonts w:eastAsiaTheme="minorEastAsia"/>
                <w:noProof/>
                <w:sz w:val="22"/>
                <w:szCs w:val="22"/>
                <w:lang w:eastAsia="fr-FR"/>
              </w:rPr>
              <w:tab/>
            </w:r>
            <w:r w:rsidRPr="005470AD">
              <w:rPr>
                <w:rStyle w:val="Hyperlink"/>
                <w:rFonts w:ascii="Arial" w:hAnsi="Arial" w:cs="Arial"/>
                <w:noProof/>
              </w:rPr>
              <w:t>Sur l’exception d’incompétence matérielle</w:t>
            </w:r>
            <w:r w:rsidRPr="005470AD">
              <w:rPr>
                <w:noProof/>
                <w:webHidden/>
              </w:rPr>
              <w:tab/>
            </w:r>
            <w:r w:rsidRPr="005470AD">
              <w:rPr>
                <w:noProof/>
                <w:webHidden/>
              </w:rPr>
              <w:fldChar w:fldCharType="begin"/>
            </w:r>
            <w:r w:rsidRPr="005470AD">
              <w:rPr>
                <w:noProof/>
                <w:webHidden/>
              </w:rPr>
              <w:instrText xml:space="preserve"> PAGEREF _Toc136592697 \h </w:instrText>
            </w:r>
            <w:r w:rsidRPr="005470AD">
              <w:rPr>
                <w:noProof/>
                <w:webHidden/>
              </w:rPr>
            </w:r>
            <w:r w:rsidRPr="005470AD">
              <w:rPr>
                <w:noProof/>
                <w:webHidden/>
              </w:rPr>
              <w:fldChar w:fldCharType="separate"/>
            </w:r>
            <w:r w:rsidRPr="005470AD">
              <w:rPr>
                <w:noProof/>
                <w:webHidden/>
              </w:rPr>
              <w:t>6</w:t>
            </w:r>
            <w:r w:rsidRPr="005470AD">
              <w:rPr>
                <w:noProof/>
                <w:webHidden/>
              </w:rPr>
              <w:fldChar w:fldCharType="end"/>
            </w:r>
          </w:hyperlink>
        </w:p>
        <w:p w14:paraId="4E8D2988" w14:textId="77777777" w:rsidR="0048624C" w:rsidRPr="005470AD" w:rsidRDefault="0048624C" w:rsidP="002624E4">
          <w:pPr>
            <w:rPr>
              <w:rFonts w:eastAsiaTheme="minorEastAsia"/>
              <w:noProof/>
              <w:sz w:val="22"/>
              <w:szCs w:val="22"/>
              <w:lang w:eastAsia="fr-FR"/>
            </w:rPr>
          </w:pPr>
          <w:hyperlink w:anchor="_Toc136592698" w:history="1">
            <w:r w:rsidRPr="005470AD">
              <w:rPr>
                <w:rStyle w:val="Hyperlink"/>
                <w:rFonts w:ascii="Arial" w:hAnsi="Arial" w:cs="Arial"/>
                <w:noProof/>
              </w:rPr>
              <w:t>B.</w:t>
            </w:r>
            <w:r w:rsidRPr="005470AD">
              <w:rPr>
                <w:rFonts w:eastAsiaTheme="minorEastAsia"/>
                <w:noProof/>
                <w:sz w:val="22"/>
                <w:szCs w:val="22"/>
                <w:lang w:eastAsia="fr-FR"/>
              </w:rPr>
              <w:tab/>
            </w:r>
            <w:r w:rsidRPr="005470AD">
              <w:rPr>
                <w:rStyle w:val="Hyperlink"/>
                <w:rFonts w:ascii="Arial" w:hAnsi="Arial" w:cs="Arial"/>
                <w:noProof/>
              </w:rPr>
              <w:t>Sur les autres aspects de la compétence</w:t>
            </w:r>
            <w:r w:rsidRPr="005470AD">
              <w:rPr>
                <w:noProof/>
                <w:webHidden/>
              </w:rPr>
              <w:tab/>
            </w:r>
            <w:r w:rsidRPr="005470AD">
              <w:rPr>
                <w:noProof/>
                <w:webHidden/>
              </w:rPr>
              <w:fldChar w:fldCharType="begin"/>
            </w:r>
            <w:r w:rsidRPr="005470AD">
              <w:rPr>
                <w:noProof/>
                <w:webHidden/>
              </w:rPr>
              <w:instrText xml:space="preserve"> PAGEREF _Toc136592698 \h </w:instrText>
            </w:r>
            <w:r w:rsidRPr="005470AD">
              <w:rPr>
                <w:noProof/>
                <w:webHidden/>
              </w:rPr>
            </w:r>
            <w:r w:rsidRPr="005470AD">
              <w:rPr>
                <w:noProof/>
                <w:webHidden/>
              </w:rPr>
              <w:fldChar w:fldCharType="separate"/>
            </w:r>
            <w:r w:rsidRPr="005470AD">
              <w:rPr>
                <w:noProof/>
                <w:webHidden/>
              </w:rPr>
              <w:t>9</w:t>
            </w:r>
            <w:r w:rsidRPr="005470AD">
              <w:rPr>
                <w:noProof/>
                <w:webHidden/>
              </w:rPr>
              <w:fldChar w:fldCharType="end"/>
            </w:r>
          </w:hyperlink>
        </w:p>
        <w:p w14:paraId="187F2378" w14:textId="77777777" w:rsidR="0048624C" w:rsidRPr="005470AD" w:rsidRDefault="0048624C" w:rsidP="002624E4">
          <w:pPr>
            <w:rPr>
              <w:rFonts w:eastAsiaTheme="minorEastAsia"/>
              <w:bCs/>
              <w:iCs/>
              <w:noProof/>
              <w:sz w:val="22"/>
              <w:szCs w:val="22"/>
              <w:lang w:eastAsia="fr-FR"/>
            </w:rPr>
          </w:pPr>
          <w:hyperlink w:anchor="_Toc136592699" w:history="1">
            <w:r w:rsidRPr="005470AD">
              <w:rPr>
                <w:rStyle w:val="Hyperlink"/>
                <w:rFonts w:cs="Arial"/>
                <w:noProof/>
              </w:rPr>
              <w:t>VI.</w:t>
            </w:r>
            <w:r w:rsidRPr="005470AD">
              <w:rPr>
                <w:rFonts w:eastAsiaTheme="minorEastAsia"/>
                <w:noProof/>
                <w:sz w:val="22"/>
                <w:szCs w:val="22"/>
                <w:lang w:eastAsia="fr-FR"/>
              </w:rPr>
              <w:tab/>
            </w:r>
            <w:r w:rsidRPr="005470AD">
              <w:rPr>
                <w:rStyle w:val="Hyperlink"/>
                <w:rFonts w:cs="Arial"/>
                <w:noProof/>
              </w:rPr>
              <w:t>SUR LA RECEVABILITÉ</w:t>
            </w:r>
            <w:r w:rsidRPr="005470AD">
              <w:rPr>
                <w:noProof/>
                <w:webHidden/>
              </w:rPr>
              <w:tab/>
            </w:r>
            <w:r w:rsidRPr="005470AD">
              <w:rPr>
                <w:noProof/>
                <w:webHidden/>
              </w:rPr>
              <w:fldChar w:fldCharType="begin"/>
            </w:r>
            <w:r w:rsidRPr="005470AD">
              <w:rPr>
                <w:noProof/>
                <w:webHidden/>
              </w:rPr>
              <w:instrText xml:space="preserve"> PAGEREF _Toc136592699 \h </w:instrText>
            </w:r>
            <w:r w:rsidRPr="005470AD">
              <w:rPr>
                <w:noProof/>
                <w:webHidden/>
              </w:rPr>
            </w:r>
            <w:r w:rsidRPr="005470AD">
              <w:rPr>
                <w:noProof/>
                <w:webHidden/>
              </w:rPr>
              <w:fldChar w:fldCharType="separate"/>
            </w:r>
            <w:r w:rsidRPr="005470AD">
              <w:rPr>
                <w:noProof/>
                <w:webHidden/>
              </w:rPr>
              <w:t>10</w:t>
            </w:r>
            <w:r w:rsidRPr="005470AD">
              <w:rPr>
                <w:noProof/>
                <w:webHidden/>
              </w:rPr>
              <w:fldChar w:fldCharType="end"/>
            </w:r>
          </w:hyperlink>
        </w:p>
        <w:p w14:paraId="60807CFF" w14:textId="77777777" w:rsidR="0048624C" w:rsidRPr="005470AD" w:rsidRDefault="0048624C" w:rsidP="002624E4">
          <w:pPr>
            <w:rPr>
              <w:rFonts w:eastAsiaTheme="minorEastAsia"/>
              <w:noProof/>
              <w:sz w:val="22"/>
              <w:szCs w:val="22"/>
              <w:lang w:eastAsia="fr-FR"/>
            </w:rPr>
          </w:pPr>
          <w:hyperlink w:anchor="_Toc136592700" w:history="1">
            <w:r w:rsidRPr="005470AD">
              <w:rPr>
                <w:rStyle w:val="Hyperlink"/>
                <w:rFonts w:ascii="Arial" w:hAnsi="Arial" w:cs="Arial"/>
                <w:noProof/>
              </w:rPr>
              <w:t>A.</w:t>
            </w:r>
            <w:r w:rsidRPr="005470AD">
              <w:rPr>
                <w:rFonts w:eastAsiaTheme="minorEastAsia"/>
                <w:noProof/>
                <w:sz w:val="22"/>
                <w:szCs w:val="22"/>
                <w:lang w:eastAsia="fr-FR"/>
              </w:rPr>
              <w:tab/>
            </w:r>
            <w:r w:rsidRPr="005470AD">
              <w:rPr>
                <w:rStyle w:val="Hyperlink"/>
                <w:rFonts w:ascii="Arial" w:hAnsi="Arial" w:cs="Arial"/>
                <w:noProof/>
              </w:rPr>
              <w:t>Sur l’exception tirée du non-épuisement des recours internes</w:t>
            </w:r>
            <w:r w:rsidRPr="005470AD">
              <w:rPr>
                <w:noProof/>
                <w:webHidden/>
              </w:rPr>
              <w:tab/>
            </w:r>
            <w:r w:rsidRPr="005470AD">
              <w:rPr>
                <w:noProof/>
                <w:webHidden/>
              </w:rPr>
              <w:fldChar w:fldCharType="begin"/>
            </w:r>
            <w:r w:rsidRPr="005470AD">
              <w:rPr>
                <w:noProof/>
                <w:webHidden/>
              </w:rPr>
              <w:instrText xml:space="preserve"> PAGEREF _Toc136592700 \h </w:instrText>
            </w:r>
            <w:r w:rsidRPr="005470AD">
              <w:rPr>
                <w:noProof/>
                <w:webHidden/>
              </w:rPr>
            </w:r>
            <w:r w:rsidRPr="005470AD">
              <w:rPr>
                <w:noProof/>
                <w:webHidden/>
              </w:rPr>
              <w:fldChar w:fldCharType="separate"/>
            </w:r>
            <w:r w:rsidRPr="005470AD">
              <w:rPr>
                <w:noProof/>
                <w:webHidden/>
              </w:rPr>
              <w:t>11</w:t>
            </w:r>
            <w:r w:rsidRPr="005470AD">
              <w:rPr>
                <w:noProof/>
                <w:webHidden/>
              </w:rPr>
              <w:fldChar w:fldCharType="end"/>
            </w:r>
          </w:hyperlink>
        </w:p>
        <w:p w14:paraId="3C482AA3" w14:textId="5919AF53" w:rsidR="0048624C" w:rsidRPr="005470AD" w:rsidRDefault="0048624C" w:rsidP="002624E4">
          <w:pPr>
            <w:rPr>
              <w:rFonts w:eastAsiaTheme="minorEastAsia"/>
              <w:noProof/>
              <w:sz w:val="22"/>
              <w:szCs w:val="22"/>
              <w:lang w:eastAsia="fr-FR"/>
            </w:rPr>
          </w:pPr>
          <w:hyperlink w:anchor="_Toc136592701" w:history="1">
            <w:r w:rsidRPr="005470AD">
              <w:rPr>
                <w:rStyle w:val="Hyperlink"/>
                <w:rFonts w:ascii="Arial" w:hAnsi="Arial" w:cs="Arial"/>
                <w:noProof/>
              </w:rPr>
              <w:t>B.</w:t>
            </w:r>
            <w:r w:rsidRPr="005470AD">
              <w:rPr>
                <w:rFonts w:eastAsiaTheme="minorEastAsia"/>
                <w:noProof/>
                <w:sz w:val="22"/>
                <w:szCs w:val="22"/>
                <w:lang w:eastAsia="fr-FR"/>
              </w:rPr>
              <w:tab/>
            </w:r>
            <w:r w:rsidRPr="005470AD">
              <w:rPr>
                <w:rStyle w:val="Hyperlink"/>
                <w:rFonts w:ascii="Arial" w:hAnsi="Arial" w:cs="Arial"/>
                <w:noProof/>
              </w:rPr>
              <w:t>Sur l’exception tirée du dépôt de la Requête dans un délai non raisonnable</w:t>
            </w:r>
            <w:r w:rsidRPr="005470AD">
              <w:rPr>
                <w:noProof/>
                <w:webHidden/>
              </w:rPr>
              <w:tab/>
            </w:r>
            <w:r w:rsidRPr="005470AD">
              <w:rPr>
                <w:noProof/>
                <w:webHidden/>
              </w:rPr>
              <w:tab/>
            </w:r>
            <w:r w:rsidRPr="005470AD">
              <w:rPr>
                <w:noProof/>
                <w:webHidden/>
              </w:rPr>
              <w:tab/>
            </w:r>
            <w:r w:rsidRPr="005470AD">
              <w:rPr>
                <w:noProof/>
                <w:webHidden/>
              </w:rPr>
              <w:fldChar w:fldCharType="begin"/>
            </w:r>
            <w:r w:rsidRPr="005470AD">
              <w:rPr>
                <w:noProof/>
                <w:webHidden/>
              </w:rPr>
              <w:instrText xml:space="preserve"> PAGEREF _Toc136592701 \h </w:instrText>
            </w:r>
            <w:r w:rsidRPr="005470AD">
              <w:rPr>
                <w:noProof/>
                <w:webHidden/>
              </w:rPr>
            </w:r>
            <w:r w:rsidRPr="005470AD">
              <w:rPr>
                <w:noProof/>
                <w:webHidden/>
              </w:rPr>
              <w:fldChar w:fldCharType="separate"/>
            </w:r>
            <w:r w:rsidRPr="005470AD">
              <w:rPr>
                <w:noProof/>
                <w:webHidden/>
              </w:rPr>
              <w:t>13</w:t>
            </w:r>
            <w:r w:rsidRPr="005470AD">
              <w:rPr>
                <w:noProof/>
                <w:webHidden/>
              </w:rPr>
              <w:fldChar w:fldCharType="end"/>
            </w:r>
          </w:hyperlink>
        </w:p>
        <w:p w14:paraId="37988D8D" w14:textId="77777777" w:rsidR="0048624C" w:rsidRPr="005470AD" w:rsidRDefault="0048624C" w:rsidP="002624E4">
          <w:pPr>
            <w:rPr>
              <w:rFonts w:eastAsiaTheme="minorEastAsia"/>
              <w:noProof/>
              <w:sz w:val="22"/>
              <w:szCs w:val="22"/>
              <w:lang w:eastAsia="fr-FR"/>
            </w:rPr>
          </w:pPr>
          <w:hyperlink w:anchor="_Toc136592702" w:history="1">
            <w:r w:rsidRPr="005470AD">
              <w:rPr>
                <w:rStyle w:val="Hyperlink"/>
                <w:rFonts w:ascii="Arial" w:hAnsi="Arial" w:cs="Arial"/>
                <w:noProof/>
              </w:rPr>
              <w:t>C.</w:t>
            </w:r>
            <w:r w:rsidRPr="005470AD">
              <w:rPr>
                <w:rFonts w:eastAsiaTheme="minorEastAsia"/>
                <w:noProof/>
                <w:sz w:val="22"/>
                <w:szCs w:val="22"/>
                <w:lang w:eastAsia="fr-FR"/>
              </w:rPr>
              <w:tab/>
            </w:r>
            <w:r w:rsidRPr="005470AD">
              <w:rPr>
                <w:rStyle w:val="Hyperlink"/>
                <w:rFonts w:ascii="Arial" w:hAnsi="Arial" w:cs="Arial"/>
                <w:noProof/>
              </w:rPr>
              <w:t>Sur les autres conditions de recevabilité</w:t>
            </w:r>
            <w:r w:rsidRPr="005470AD">
              <w:rPr>
                <w:noProof/>
                <w:webHidden/>
              </w:rPr>
              <w:tab/>
            </w:r>
            <w:r w:rsidRPr="005470AD">
              <w:rPr>
                <w:noProof/>
                <w:webHidden/>
              </w:rPr>
              <w:fldChar w:fldCharType="begin"/>
            </w:r>
            <w:r w:rsidRPr="005470AD">
              <w:rPr>
                <w:noProof/>
                <w:webHidden/>
              </w:rPr>
              <w:instrText xml:space="preserve"> PAGEREF _Toc136592702 \h </w:instrText>
            </w:r>
            <w:r w:rsidRPr="005470AD">
              <w:rPr>
                <w:noProof/>
                <w:webHidden/>
              </w:rPr>
            </w:r>
            <w:r w:rsidRPr="005470AD">
              <w:rPr>
                <w:noProof/>
                <w:webHidden/>
              </w:rPr>
              <w:fldChar w:fldCharType="separate"/>
            </w:r>
            <w:r w:rsidRPr="005470AD">
              <w:rPr>
                <w:noProof/>
                <w:webHidden/>
              </w:rPr>
              <w:t>17</w:t>
            </w:r>
            <w:r w:rsidRPr="005470AD">
              <w:rPr>
                <w:noProof/>
                <w:webHidden/>
              </w:rPr>
              <w:fldChar w:fldCharType="end"/>
            </w:r>
          </w:hyperlink>
        </w:p>
        <w:p w14:paraId="727B27FF" w14:textId="77777777" w:rsidR="0048624C" w:rsidRPr="005470AD" w:rsidRDefault="0048624C" w:rsidP="002624E4">
          <w:pPr>
            <w:rPr>
              <w:rFonts w:eastAsiaTheme="minorEastAsia"/>
              <w:bCs/>
              <w:iCs/>
              <w:noProof/>
              <w:sz w:val="22"/>
              <w:szCs w:val="22"/>
              <w:lang w:eastAsia="fr-FR"/>
            </w:rPr>
          </w:pPr>
          <w:hyperlink w:anchor="_Toc136592703" w:history="1">
            <w:r w:rsidRPr="005470AD">
              <w:rPr>
                <w:rStyle w:val="Hyperlink"/>
                <w:rFonts w:cs="Arial"/>
                <w:noProof/>
              </w:rPr>
              <w:t>VII.</w:t>
            </w:r>
            <w:r w:rsidRPr="005470AD">
              <w:rPr>
                <w:rFonts w:eastAsiaTheme="minorEastAsia"/>
                <w:noProof/>
                <w:sz w:val="22"/>
                <w:szCs w:val="22"/>
                <w:lang w:eastAsia="fr-FR"/>
              </w:rPr>
              <w:tab/>
            </w:r>
            <w:r w:rsidRPr="005470AD">
              <w:rPr>
                <w:rStyle w:val="Hyperlink"/>
                <w:rFonts w:cs="Arial"/>
                <w:noProof/>
              </w:rPr>
              <w:t>SUR LE FOND</w:t>
            </w:r>
            <w:r w:rsidRPr="005470AD">
              <w:rPr>
                <w:noProof/>
                <w:webHidden/>
              </w:rPr>
              <w:tab/>
            </w:r>
            <w:r w:rsidRPr="005470AD">
              <w:rPr>
                <w:noProof/>
                <w:webHidden/>
              </w:rPr>
              <w:fldChar w:fldCharType="begin"/>
            </w:r>
            <w:r w:rsidRPr="005470AD">
              <w:rPr>
                <w:noProof/>
                <w:webHidden/>
              </w:rPr>
              <w:instrText xml:space="preserve"> PAGEREF _Toc136592703 \h </w:instrText>
            </w:r>
            <w:r w:rsidRPr="005470AD">
              <w:rPr>
                <w:noProof/>
                <w:webHidden/>
              </w:rPr>
            </w:r>
            <w:r w:rsidRPr="005470AD">
              <w:rPr>
                <w:noProof/>
                <w:webHidden/>
              </w:rPr>
              <w:fldChar w:fldCharType="separate"/>
            </w:r>
            <w:r w:rsidRPr="005470AD">
              <w:rPr>
                <w:noProof/>
                <w:webHidden/>
              </w:rPr>
              <w:t>18</w:t>
            </w:r>
            <w:r w:rsidRPr="005470AD">
              <w:rPr>
                <w:noProof/>
                <w:webHidden/>
              </w:rPr>
              <w:fldChar w:fldCharType="end"/>
            </w:r>
          </w:hyperlink>
        </w:p>
        <w:p w14:paraId="79BA504D" w14:textId="77777777" w:rsidR="0048624C" w:rsidRPr="005470AD" w:rsidRDefault="0048624C" w:rsidP="002624E4">
          <w:pPr>
            <w:rPr>
              <w:rFonts w:eastAsiaTheme="minorEastAsia"/>
              <w:noProof/>
              <w:sz w:val="22"/>
              <w:szCs w:val="22"/>
              <w:lang w:eastAsia="fr-FR"/>
            </w:rPr>
          </w:pPr>
          <w:hyperlink w:anchor="_Toc136592704" w:history="1">
            <w:r w:rsidRPr="005470AD">
              <w:rPr>
                <w:rStyle w:val="Hyperlink"/>
                <w:rFonts w:ascii="Arial" w:hAnsi="Arial" w:cs="Arial"/>
                <w:noProof/>
              </w:rPr>
              <w:t>A.</w:t>
            </w:r>
            <w:r w:rsidRPr="005470AD">
              <w:rPr>
                <w:rFonts w:eastAsiaTheme="minorEastAsia"/>
                <w:noProof/>
                <w:sz w:val="22"/>
                <w:szCs w:val="22"/>
                <w:lang w:eastAsia="fr-FR"/>
              </w:rPr>
              <w:tab/>
            </w:r>
            <w:r w:rsidRPr="005470AD">
              <w:rPr>
                <w:rStyle w:val="Hyperlink"/>
                <w:rFonts w:ascii="Arial" w:hAnsi="Arial" w:cs="Arial"/>
                <w:noProof/>
              </w:rPr>
              <w:t>Violation alléguée du droit à ce que sa cause soit entendue</w:t>
            </w:r>
            <w:r w:rsidRPr="005470AD">
              <w:rPr>
                <w:noProof/>
                <w:webHidden/>
              </w:rPr>
              <w:tab/>
            </w:r>
            <w:r w:rsidRPr="005470AD">
              <w:rPr>
                <w:noProof/>
                <w:webHidden/>
              </w:rPr>
              <w:fldChar w:fldCharType="begin"/>
            </w:r>
            <w:r w:rsidRPr="005470AD">
              <w:rPr>
                <w:noProof/>
                <w:webHidden/>
              </w:rPr>
              <w:instrText xml:space="preserve"> PAGEREF _Toc136592704 \h </w:instrText>
            </w:r>
            <w:r w:rsidRPr="005470AD">
              <w:rPr>
                <w:noProof/>
                <w:webHidden/>
              </w:rPr>
            </w:r>
            <w:r w:rsidRPr="005470AD">
              <w:rPr>
                <w:noProof/>
                <w:webHidden/>
              </w:rPr>
              <w:fldChar w:fldCharType="separate"/>
            </w:r>
            <w:r w:rsidRPr="005470AD">
              <w:rPr>
                <w:noProof/>
                <w:webHidden/>
              </w:rPr>
              <w:t>18</w:t>
            </w:r>
            <w:r w:rsidRPr="005470AD">
              <w:rPr>
                <w:noProof/>
                <w:webHidden/>
              </w:rPr>
              <w:fldChar w:fldCharType="end"/>
            </w:r>
          </w:hyperlink>
        </w:p>
        <w:p w14:paraId="7BA7A51C" w14:textId="77777777" w:rsidR="0048624C" w:rsidRPr="005470AD" w:rsidRDefault="0048624C" w:rsidP="002624E4">
          <w:pPr>
            <w:rPr>
              <w:rFonts w:eastAsiaTheme="minorEastAsia"/>
              <w:noProof/>
              <w:sz w:val="22"/>
              <w:szCs w:val="22"/>
              <w:lang w:eastAsia="fr-FR"/>
            </w:rPr>
          </w:pPr>
          <w:hyperlink w:anchor="_Toc136592705" w:history="1">
            <w:r w:rsidRPr="005470AD">
              <w:rPr>
                <w:rStyle w:val="Hyperlink"/>
                <w:rFonts w:ascii="Arial" w:hAnsi="Arial" w:cs="Arial"/>
                <w:bCs/>
                <w:noProof/>
              </w:rPr>
              <w:t>i.</w:t>
            </w:r>
            <w:r w:rsidRPr="005470AD">
              <w:rPr>
                <w:rFonts w:eastAsiaTheme="minorEastAsia"/>
                <w:noProof/>
                <w:sz w:val="22"/>
                <w:szCs w:val="22"/>
                <w:lang w:eastAsia="fr-FR"/>
              </w:rPr>
              <w:tab/>
            </w:r>
            <w:r w:rsidRPr="005470AD">
              <w:rPr>
                <w:rStyle w:val="Hyperlink"/>
                <w:rFonts w:ascii="Arial" w:hAnsi="Arial" w:cs="Arial"/>
                <w:bCs/>
                <w:noProof/>
              </w:rPr>
              <w:t>Sur l’admission par la Haute Cour de la déclaration auto-incriminante</w:t>
            </w:r>
            <w:r w:rsidRPr="005470AD">
              <w:rPr>
                <w:noProof/>
                <w:webHidden/>
              </w:rPr>
              <w:tab/>
            </w:r>
            <w:r w:rsidRPr="005470AD">
              <w:rPr>
                <w:noProof/>
                <w:webHidden/>
              </w:rPr>
              <w:fldChar w:fldCharType="begin"/>
            </w:r>
            <w:r w:rsidRPr="005470AD">
              <w:rPr>
                <w:noProof/>
                <w:webHidden/>
              </w:rPr>
              <w:instrText xml:space="preserve"> PAGEREF _Toc136592705 \h </w:instrText>
            </w:r>
            <w:r w:rsidRPr="005470AD">
              <w:rPr>
                <w:noProof/>
                <w:webHidden/>
              </w:rPr>
            </w:r>
            <w:r w:rsidRPr="005470AD">
              <w:rPr>
                <w:noProof/>
                <w:webHidden/>
              </w:rPr>
              <w:fldChar w:fldCharType="separate"/>
            </w:r>
            <w:r w:rsidRPr="005470AD">
              <w:rPr>
                <w:noProof/>
                <w:webHidden/>
              </w:rPr>
              <w:t>20</w:t>
            </w:r>
            <w:r w:rsidRPr="005470AD">
              <w:rPr>
                <w:noProof/>
                <w:webHidden/>
              </w:rPr>
              <w:fldChar w:fldCharType="end"/>
            </w:r>
          </w:hyperlink>
        </w:p>
        <w:p w14:paraId="69762F36" w14:textId="77777777" w:rsidR="0048624C" w:rsidRPr="005470AD" w:rsidRDefault="0048624C" w:rsidP="002624E4">
          <w:pPr>
            <w:rPr>
              <w:rFonts w:eastAsiaTheme="minorEastAsia"/>
              <w:noProof/>
              <w:sz w:val="22"/>
              <w:szCs w:val="22"/>
              <w:lang w:eastAsia="fr-FR"/>
            </w:rPr>
          </w:pPr>
          <w:hyperlink w:anchor="_Toc136592706" w:history="1">
            <w:r w:rsidRPr="005470AD">
              <w:rPr>
                <w:rStyle w:val="Hyperlink"/>
                <w:rFonts w:ascii="Arial" w:hAnsi="Arial" w:cs="Arial"/>
                <w:bCs/>
                <w:noProof/>
              </w:rPr>
              <w:t>ii.</w:t>
            </w:r>
            <w:r w:rsidRPr="005470AD">
              <w:rPr>
                <w:rFonts w:eastAsiaTheme="minorEastAsia"/>
                <w:noProof/>
                <w:sz w:val="22"/>
                <w:szCs w:val="22"/>
                <w:lang w:eastAsia="fr-FR"/>
              </w:rPr>
              <w:tab/>
            </w:r>
            <w:r w:rsidRPr="005470AD">
              <w:rPr>
                <w:rStyle w:val="Hyperlink"/>
                <w:rFonts w:ascii="Arial" w:hAnsi="Arial" w:cs="Arial"/>
                <w:bCs/>
                <w:noProof/>
              </w:rPr>
              <w:t>Sur l’allégation d’erreur de droit et de fait commise par la Cour d’appel</w:t>
            </w:r>
            <w:r w:rsidRPr="005470AD">
              <w:rPr>
                <w:noProof/>
                <w:webHidden/>
              </w:rPr>
              <w:tab/>
            </w:r>
            <w:r w:rsidRPr="005470AD">
              <w:rPr>
                <w:noProof/>
                <w:webHidden/>
              </w:rPr>
              <w:fldChar w:fldCharType="begin"/>
            </w:r>
            <w:r w:rsidRPr="005470AD">
              <w:rPr>
                <w:noProof/>
                <w:webHidden/>
              </w:rPr>
              <w:instrText xml:space="preserve"> PAGEREF _Toc136592706 \h </w:instrText>
            </w:r>
            <w:r w:rsidRPr="005470AD">
              <w:rPr>
                <w:noProof/>
                <w:webHidden/>
              </w:rPr>
            </w:r>
            <w:r w:rsidRPr="005470AD">
              <w:rPr>
                <w:noProof/>
                <w:webHidden/>
              </w:rPr>
              <w:fldChar w:fldCharType="separate"/>
            </w:r>
            <w:r w:rsidRPr="005470AD">
              <w:rPr>
                <w:noProof/>
                <w:webHidden/>
              </w:rPr>
              <w:t>22</w:t>
            </w:r>
            <w:r w:rsidRPr="005470AD">
              <w:rPr>
                <w:noProof/>
                <w:webHidden/>
              </w:rPr>
              <w:fldChar w:fldCharType="end"/>
            </w:r>
          </w:hyperlink>
        </w:p>
        <w:p w14:paraId="75FE172F" w14:textId="77777777" w:rsidR="0048624C" w:rsidRPr="005470AD" w:rsidRDefault="0048624C" w:rsidP="002624E4">
          <w:pPr>
            <w:rPr>
              <w:rFonts w:eastAsiaTheme="minorEastAsia"/>
              <w:noProof/>
              <w:sz w:val="22"/>
              <w:szCs w:val="22"/>
              <w:lang w:eastAsia="fr-FR"/>
            </w:rPr>
          </w:pPr>
          <w:hyperlink w:anchor="_Toc136592707" w:history="1">
            <w:r w:rsidRPr="005470AD">
              <w:rPr>
                <w:rStyle w:val="Hyperlink"/>
                <w:rFonts w:ascii="Arial" w:hAnsi="Arial" w:cs="Arial"/>
                <w:noProof/>
              </w:rPr>
              <w:t>B.</w:t>
            </w:r>
            <w:r w:rsidRPr="005470AD">
              <w:rPr>
                <w:rFonts w:eastAsiaTheme="minorEastAsia"/>
                <w:noProof/>
                <w:sz w:val="22"/>
                <w:szCs w:val="22"/>
                <w:lang w:eastAsia="fr-FR"/>
              </w:rPr>
              <w:tab/>
            </w:r>
            <w:r w:rsidRPr="005470AD">
              <w:rPr>
                <w:rStyle w:val="Hyperlink"/>
                <w:rFonts w:ascii="Arial" w:hAnsi="Arial" w:cs="Arial"/>
                <w:noProof/>
              </w:rPr>
              <w:t>Violation alléguée du droit d’être jugé dans un délai raisonnable</w:t>
            </w:r>
            <w:r w:rsidRPr="005470AD">
              <w:rPr>
                <w:noProof/>
                <w:webHidden/>
              </w:rPr>
              <w:tab/>
            </w:r>
            <w:r w:rsidRPr="005470AD">
              <w:rPr>
                <w:noProof/>
                <w:webHidden/>
              </w:rPr>
              <w:fldChar w:fldCharType="begin"/>
            </w:r>
            <w:r w:rsidRPr="005470AD">
              <w:rPr>
                <w:noProof/>
                <w:webHidden/>
              </w:rPr>
              <w:instrText xml:space="preserve"> PAGEREF _Toc136592707 \h </w:instrText>
            </w:r>
            <w:r w:rsidRPr="005470AD">
              <w:rPr>
                <w:noProof/>
                <w:webHidden/>
              </w:rPr>
            </w:r>
            <w:r w:rsidRPr="005470AD">
              <w:rPr>
                <w:noProof/>
                <w:webHidden/>
              </w:rPr>
              <w:fldChar w:fldCharType="separate"/>
            </w:r>
            <w:r w:rsidRPr="005470AD">
              <w:rPr>
                <w:noProof/>
                <w:webHidden/>
              </w:rPr>
              <w:t>23</w:t>
            </w:r>
            <w:r w:rsidRPr="005470AD">
              <w:rPr>
                <w:noProof/>
                <w:webHidden/>
              </w:rPr>
              <w:fldChar w:fldCharType="end"/>
            </w:r>
          </w:hyperlink>
        </w:p>
        <w:p w14:paraId="2FCC6DD8" w14:textId="77777777" w:rsidR="0048624C" w:rsidRPr="005470AD" w:rsidRDefault="0048624C" w:rsidP="002624E4">
          <w:pPr>
            <w:rPr>
              <w:rFonts w:eastAsiaTheme="minorEastAsia"/>
              <w:noProof/>
              <w:sz w:val="22"/>
              <w:szCs w:val="22"/>
              <w:lang w:eastAsia="fr-FR"/>
            </w:rPr>
          </w:pPr>
          <w:hyperlink w:anchor="_Toc136592708" w:history="1">
            <w:r w:rsidRPr="005470AD">
              <w:rPr>
                <w:rStyle w:val="Hyperlink"/>
                <w:rFonts w:ascii="Arial" w:hAnsi="Arial" w:cs="Arial"/>
                <w:noProof/>
              </w:rPr>
              <w:t>C.</w:t>
            </w:r>
            <w:r w:rsidRPr="005470AD">
              <w:rPr>
                <w:rFonts w:eastAsiaTheme="minorEastAsia"/>
                <w:noProof/>
                <w:sz w:val="22"/>
                <w:szCs w:val="22"/>
                <w:lang w:eastAsia="fr-FR"/>
              </w:rPr>
              <w:tab/>
            </w:r>
            <w:r w:rsidRPr="005470AD">
              <w:rPr>
                <w:rStyle w:val="Hyperlink"/>
                <w:rFonts w:ascii="Arial" w:hAnsi="Arial" w:cs="Arial"/>
                <w:noProof/>
              </w:rPr>
              <w:t>Violation alléguée du droit à la défense</w:t>
            </w:r>
            <w:r w:rsidRPr="005470AD">
              <w:rPr>
                <w:noProof/>
                <w:webHidden/>
              </w:rPr>
              <w:tab/>
            </w:r>
            <w:r w:rsidRPr="005470AD">
              <w:rPr>
                <w:noProof/>
                <w:webHidden/>
              </w:rPr>
              <w:fldChar w:fldCharType="begin"/>
            </w:r>
            <w:r w:rsidRPr="005470AD">
              <w:rPr>
                <w:noProof/>
                <w:webHidden/>
              </w:rPr>
              <w:instrText xml:space="preserve"> PAGEREF _Toc136592708 \h </w:instrText>
            </w:r>
            <w:r w:rsidRPr="005470AD">
              <w:rPr>
                <w:noProof/>
                <w:webHidden/>
              </w:rPr>
            </w:r>
            <w:r w:rsidRPr="005470AD">
              <w:rPr>
                <w:noProof/>
                <w:webHidden/>
              </w:rPr>
              <w:fldChar w:fldCharType="separate"/>
            </w:r>
            <w:r w:rsidRPr="005470AD">
              <w:rPr>
                <w:noProof/>
                <w:webHidden/>
              </w:rPr>
              <w:t>26</w:t>
            </w:r>
            <w:r w:rsidRPr="005470AD">
              <w:rPr>
                <w:noProof/>
                <w:webHidden/>
              </w:rPr>
              <w:fldChar w:fldCharType="end"/>
            </w:r>
          </w:hyperlink>
        </w:p>
        <w:p w14:paraId="509ED667" w14:textId="77777777" w:rsidR="0048624C" w:rsidRPr="005470AD" w:rsidRDefault="0048624C" w:rsidP="002624E4">
          <w:pPr>
            <w:rPr>
              <w:rFonts w:eastAsiaTheme="minorEastAsia"/>
              <w:bCs/>
              <w:iCs/>
              <w:noProof/>
              <w:sz w:val="22"/>
              <w:szCs w:val="22"/>
              <w:lang w:eastAsia="fr-FR"/>
            </w:rPr>
          </w:pPr>
          <w:hyperlink w:anchor="_Toc136592709" w:history="1">
            <w:r w:rsidRPr="005470AD">
              <w:rPr>
                <w:rStyle w:val="Hyperlink"/>
                <w:rFonts w:cs="Arial"/>
                <w:noProof/>
              </w:rPr>
              <w:t>VIII.</w:t>
            </w:r>
            <w:r w:rsidRPr="005470AD">
              <w:rPr>
                <w:rFonts w:eastAsiaTheme="minorEastAsia"/>
                <w:noProof/>
                <w:sz w:val="22"/>
                <w:szCs w:val="22"/>
                <w:lang w:eastAsia="fr-FR"/>
              </w:rPr>
              <w:tab/>
            </w:r>
            <w:r w:rsidRPr="005470AD">
              <w:rPr>
                <w:rStyle w:val="Hyperlink"/>
                <w:rFonts w:cs="Arial"/>
                <w:noProof/>
              </w:rPr>
              <w:t>SUR LES RÉPARATIONS</w:t>
            </w:r>
            <w:r w:rsidRPr="005470AD">
              <w:rPr>
                <w:noProof/>
                <w:webHidden/>
              </w:rPr>
              <w:tab/>
            </w:r>
            <w:r w:rsidRPr="005470AD">
              <w:rPr>
                <w:noProof/>
                <w:webHidden/>
              </w:rPr>
              <w:fldChar w:fldCharType="begin"/>
            </w:r>
            <w:r w:rsidRPr="005470AD">
              <w:rPr>
                <w:noProof/>
                <w:webHidden/>
              </w:rPr>
              <w:instrText xml:space="preserve"> PAGEREF _Toc136592709 \h </w:instrText>
            </w:r>
            <w:r w:rsidRPr="005470AD">
              <w:rPr>
                <w:noProof/>
                <w:webHidden/>
              </w:rPr>
            </w:r>
            <w:r w:rsidRPr="005470AD">
              <w:rPr>
                <w:noProof/>
                <w:webHidden/>
              </w:rPr>
              <w:fldChar w:fldCharType="separate"/>
            </w:r>
            <w:r w:rsidRPr="005470AD">
              <w:rPr>
                <w:noProof/>
                <w:webHidden/>
              </w:rPr>
              <w:t>27</w:t>
            </w:r>
            <w:r w:rsidRPr="005470AD">
              <w:rPr>
                <w:noProof/>
                <w:webHidden/>
              </w:rPr>
              <w:fldChar w:fldCharType="end"/>
            </w:r>
          </w:hyperlink>
        </w:p>
        <w:p w14:paraId="78940C93" w14:textId="77777777" w:rsidR="0048624C" w:rsidRPr="005470AD" w:rsidRDefault="0048624C" w:rsidP="002624E4">
          <w:pPr>
            <w:rPr>
              <w:rFonts w:eastAsiaTheme="minorEastAsia"/>
              <w:bCs/>
              <w:iCs/>
              <w:noProof/>
              <w:sz w:val="22"/>
              <w:szCs w:val="22"/>
              <w:lang w:eastAsia="fr-FR"/>
            </w:rPr>
          </w:pPr>
          <w:hyperlink w:anchor="_Toc136592710" w:history="1">
            <w:r w:rsidRPr="005470AD">
              <w:rPr>
                <w:rStyle w:val="Hyperlink"/>
                <w:rFonts w:cs="Arial"/>
                <w:noProof/>
              </w:rPr>
              <w:t>IX.</w:t>
            </w:r>
            <w:r w:rsidRPr="005470AD">
              <w:rPr>
                <w:rFonts w:eastAsiaTheme="minorEastAsia"/>
                <w:noProof/>
                <w:sz w:val="22"/>
                <w:szCs w:val="22"/>
                <w:lang w:eastAsia="fr-FR"/>
              </w:rPr>
              <w:tab/>
            </w:r>
            <w:r w:rsidRPr="005470AD">
              <w:rPr>
                <w:rStyle w:val="Hyperlink"/>
                <w:rFonts w:cs="Arial"/>
                <w:noProof/>
              </w:rPr>
              <w:t>SUR LA DEMANDE DE MESURES PROVISOIRES</w:t>
            </w:r>
            <w:r w:rsidRPr="005470AD">
              <w:rPr>
                <w:noProof/>
                <w:webHidden/>
              </w:rPr>
              <w:tab/>
            </w:r>
            <w:r w:rsidRPr="005470AD">
              <w:rPr>
                <w:noProof/>
                <w:webHidden/>
              </w:rPr>
              <w:fldChar w:fldCharType="begin"/>
            </w:r>
            <w:r w:rsidRPr="005470AD">
              <w:rPr>
                <w:noProof/>
                <w:webHidden/>
              </w:rPr>
              <w:instrText xml:space="preserve"> PAGEREF _Toc136592710 \h </w:instrText>
            </w:r>
            <w:r w:rsidRPr="005470AD">
              <w:rPr>
                <w:noProof/>
                <w:webHidden/>
              </w:rPr>
            </w:r>
            <w:r w:rsidRPr="005470AD">
              <w:rPr>
                <w:noProof/>
                <w:webHidden/>
              </w:rPr>
              <w:fldChar w:fldCharType="separate"/>
            </w:r>
            <w:r w:rsidRPr="005470AD">
              <w:rPr>
                <w:noProof/>
                <w:webHidden/>
              </w:rPr>
              <w:t>28</w:t>
            </w:r>
            <w:r w:rsidRPr="005470AD">
              <w:rPr>
                <w:noProof/>
                <w:webHidden/>
              </w:rPr>
              <w:fldChar w:fldCharType="end"/>
            </w:r>
          </w:hyperlink>
        </w:p>
        <w:p w14:paraId="62B35777" w14:textId="77777777" w:rsidR="0048624C" w:rsidRPr="005470AD" w:rsidRDefault="0048624C" w:rsidP="002624E4">
          <w:pPr>
            <w:rPr>
              <w:rFonts w:eastAsiaTheme="minorEastAsia"/>
              <w:bCs/>
              <w:iCs/>
              <w:noProof/>
              <w:sz w:val="22"/>
              <w:szCs w:val="22"/>
              <w:lang w:eastAsia="fr-FR"/>
            </w:rPr>
          </w:pPr>
          <w:hyperlink w:anchor="_Toc136592711" w:history="1">
            <w:r w:rsidRPr="005470AD">
              <w:rPr>
                <w:rStyle w:val="Hyperlink"/>
                <w:rFonts w:cs="Arial"/>
                <w:noProof/>
              </w:rPr>
              <w:t>X.</w:t>
            </w:r>
            <w:r w:rsidRPr="005470AD">
              <w:rPr>
                <w:rFonts w:eastAsiaTheme="minorEastAsia"/>
                <w:noProof/>
                <w:sz w:val="22"/>
                <w:szCs w:val="22"/>
                <w:lang w:eastAsia="fr-FR"/>
              </w:rPr>
              <w:tab/>
            </w:r>
            <w:r w:rsidRPr="005470AD">
              <w:rPr>
                <w:rStyle w:val="Hyperlink"/>
                <w:rFonts w:cs="Arial"/>
                <w:noProof/>
              </w:rPr>
              <w:t>SUR LES FRAIS DE PROCÉDURE</w:t>
            </w:r>
            <w:r w:rsidRPr="005470AD">
              <w:rPr>
                <w:noProof/>
                <w:webHidden/>
              </w:rPr>
              <w:tab/>
            </w:r>
            <w:r w:rsidRPr="005470AD">
              <w:rPr>
                <w:noProof/>
                <w:webHidden/>
              </w:rPr>
              <w:fldChar w:fldCharType="begin"/>
            </w:r>
            <w:r w:rsidRPr="005470AD">
              <w:rPr>
                <w:noProof/>
                <w:webHidden/>
              </w:rPr>
              <w:instrText xml:space="preserve"> PAGEREF _Toc136592711 \h </w:instrText>
            </w:r>
            <w:r w:rsidRPr="005470AD">
              <w:rPr>
                <w:noProof/>
                <w:webHidden/>
              </w:rPr>
            </w:r>
            <w:r w:rsidRPr="005470AD">
              <w:rPr>
                <w:noProof/>
                <w:webHidden/>
              </w:rPr>
              <w:fldChar w:fldCharType="separate"/>
            </w:r>
            <w:r w:rsidRPr="005470AD">
              <w:rPr>
                <w:noProof/>
                <w:webHidden/>
              </w:rPr>
              <w:t>28</w:t>
            </w:r>
            <w:r w:rsidRPr="005470AD">
              <w:rPr>
                <w:noProof/>
                <w:webHidden/>
              </w:rPr>
              <w:fldChar w:fldCharType="end"/>
            </w:r>
          </w:hyperlink>
        </w:p>
        <w:p w14:paraId="152F5802" w14:textId="77777777" w:rsidR="0048624C" w:rsidRPr="005470AD" w:rsidRDefault="0048624C" w:rsidP="002624E4">
          <w:pPr>
            <w:rPr>
              <w:rFonts w:eastAsiaTheme="minorEastAsia"/>
              <w:bCs/>
              <w:iCs/>
              <w:noProof/>
              <w:sz w:val="22"/>
              <w:szCs w:val="22"/>
              <w:lang w:eastAsia="fr-FR"/>
            </w:rPr>
          </w:pPr>
          <w:hyperlink w:anchor="_Toc136592712" w:history="1">
            <w:r w:rsidRPr="005470AD">
              <w:rPr>
                <w:rStyle w:val="Hyperlink"/>
                <w:rFonts w:cs="Arial"/>
                <w:noProof/>
              </w:rPr>
              <w:t>XI.</w:t>
            </w:r>
            <w:r w:rsidRPr="005470AD">
              <w:rPr>
                <w:rFonts w:eastAsiaTheme="minorEastAsia"/>
                <w:noProof/>
                <w:sz w:val="22"/>
                <w:szCs w:val="22"/>
                <w:lang w:eastAsia="fr-FR"/>
              </w:rPr>
              <w:tab/>
            </w:r>
            <w:r w:rsidRPr="005470AD">
              <w:rPr>
                <w:rStyle w:val="Hyperlink"/>
                <w:rFonts w:cs="Arial"/>
                <w:noProof/>
              </w:rPr>
              <w:t>DISPOSITIF</w:t>
            </w:r>
            <w:r w:rsidRPr="005470AD">
              <w:rPr>
                <w:noProof/>
                <w:webHidden/>
              </w:rPr>
              <w:tab/>
            </w:r>
            <w:r w:rsidRPr="005470AD">
              <w:rPr>
                <w:noProof/>
                <w:webHidden/>
              </w:rPr>
              <w:fldChar w:fldCharType="begin"/>
            </w:r>
            <w:r w:rsidRPr="005470AD">
              <w:rPr>
                <w:noProof/>
                <w:webHidden/>
              </w:rPr>
              <w:instrText xml:space="preserve"> PAGEREF _Toc136592712 \h </w:instrText>
            </w:r>
            <w:r w:rsidRPr="005470AD">
              <w:rPr>
                <w:noProof/>
                <w:webHidden/>
              </w:rPr>
            </w:r>
            <w:r w:rsidRPr="005470AD">
              <w:rPr>
                <w:noProof/>
                <w:webHidden/>
              </w:rPr>
              <w:fldChar w:fldCharType="separate"/>
            </w:r>
            <w:r w:rsidRPr="005470AD">
              <w:rPr>
                <w:noProof/>
                <w:webHidden/>
              </w:rPr>
              <w:t>29</w:t>
            </w:r>
            <w:r w:rsidRPr="005470AD">
              <w:rPr>
                <w:noProof/>
                <w:webHidden/>
              </w:rPr>
              <w:fldChar w:fldCharType="end"/>
            </w:r>
          </w:hyperlink>
        </w:p>
        <w:p w14:paraId="7AF62511" w14:textId="1E75B478" w:rsidR="00EE0A5E" w:rsidRPr="005470AD" w:rsidRDefault="00E44DB8" w:rsidP="002624E4">
          <w:pPr>
            <w:sectPr w:rsidR="00EE0A5E" w:rsidRPr="005470AD" w:rsidSect="00A761C5">
              <w:pgSz w:w="11906" w:h="16838" w:code="9"/>
              <w:pgMar w:top="1135" w:right="1418" w:bottom="1134" w:left="1418" w:header="709" w:footer="709" w:gutter="0"/>
              <w:pgNumType w:fmt="lowerRoman" w:start="1"/>
              <w:cols w:space="708"/>
              <w:docGrid w:linePitch="360"/>
            </w:sectPr>
          </w:pPr>
          <w:r w:rsidRPr="005470AD">
            <w:fldChar w:fldCharType="end"/>
          </w:r>
        </w:p>
      </w:sdtContent>
    </w:sdt>
    <w:p w14:paraId="47BB184A" w14:textId="32653C52" w:rsidR="00B14B75" w:rsidRPr="005470AD" w:rsidRDefault="00B14B75" w:rsidP="002624E4">
      <w:r w:rsidRPr="005470AD">
        <w:lastRenderedPageBreak/>
        <w:t>La Cour, composée de : Blaise TCHIKAYA, Vice-président ; Ben KIOKO, Rafaâ BEN ACHOUR, Suzanne MENGUE, Tujilane R. CHIZUMILA, Chafika BENSAOULA, Stella I. ANUKAM, Dumisa B. NTSEBEZA, Modibo SACKO et Dennis D. ADJEI – Juges</w:t>
      </w:r>
      <w:r w:rsidR="00E26A3C" w:rsidRPr="005470AD">
        <w:t> ;</w:t>
      </w:r>
      <w:r w:rsidRPr="005470AD">
        <w:t xml:space="preserve"> et de Robert ENO, Greffier.</w:t>
      </w:r>
    </w:p>
    <w:p w14:paraId="6F9F9E3B" w14:textId="77777777" w:rsidR="00B14B75" w:rsidRPr="005470AD" w:rsidRDefault="00B14B75" w:rsidP="002624E4">
      <w:pPr>
        <w:rPr>
          <w:rFonts w:eastAsia="Calibri"/>
        </w:rPr>
      </w:pPr>
      <w:r w:rsidRPr="005470AD">
        <w:t xml:space="preserve"> </w:t>
      </w:r>
    </w:p>
    <w:p w14:paraId="598624FC" w14:textId="6FD7DF39" w:rsidR="00B14B75" w:rsidRPr="005470AD" w:rsidRDefault="00B14B75" w:rsidP="002624E4">
      <w:pPr>
        <w:rPr>
          <w:rFonts w:eastAsia="Calibri"/>
        </w:rPr>
      </w:pPr>
      <w:r w:rsidRPr="005470AD">
        <w:t>Conformément à l</w:t>
      </w:r>
      <w:r w:rsidR="00A95CF8" w:rsidRPr="005470AD">
        <w:t>’</w:t>
      </w:r>
      <w:r w:rsidRPr="005470AD">
        <w:t>article 22 du Protocole relatif à la Charte africaine des droits de l</w:t>
      </w:r>
      <w:r w:rsidR="00A95CF8" w:rsidRPr="005470AD">
        <w:t>’</w:t>
      </w:r>
      <w:r w:rsidRPr="005470AD">
        <w:t>homme et des peuples portant création d</w:t>
      </w:r>
      <w:r w:rsidR="00A95CF8" w:rsidRPr="005470AD">
        <w:t>’</w:t>
      </w:r>
      <w:r w:rsidRPr="005470AD">
        <w:t>une Cour africaine des droits de l</w:t>
      </w:r>
      <w:r w:rsidR="00A95CF8" w:rsidRPr="005470AD">
        <w:t>’</w:t>
      </w:r>
      <w:r w:rsidRPr="005470AD">
        <w:t>homme et des peuples (ci-après désigné le « Protocole ») et à la règle 9(2) du Règlement intérieur de la Cour (ci-après désigné « le Règlement »), la Juge Imani D. ABOUD, Présidente de la Cour</w:t>
      </w:r>
      <w:r w:rsidR="00DF260E" w:rsidRPr="005470AD">
        <w:t xml:space="preserve"> et </w:t>
      </w:r>
      <w:r w:rsidRPr="005470AD">
        <w:t>de nationalité tanzanienne, s</w:t>
      </w:r>
      <w:r w:rsidR="00A95CF8" w:rsidRPr="005470AD">
        <w:t>’</w:t>
      </w:r>
      <w:r w:rsidRPr="005470AD">
        <w:t xml:space="preserve">est récusée. </w:t>
      </w:r>
    </w:p>
    <w:p w14:paraId="2EE0F292" w14:textId="77777777" w:rsidR="00B14B75" w:rsidRPr="005470AD" w:rsidRDefault="00B14B75" w:rsidP="002624E4"/>
    <w:p w14:paraId="06C688DC" w14:textId="33752E6D" w:rsidR="00B14B75" w:rsidRPr="005470AD" w:rsidRDefault="00B14B75" w:rsidP="002624E4">
      <w:r w:rsidRPr="005470AD">
        <w:t>En l</w:t>
      </w:r>
      <w:r w:rsidR="00A95CF8" w:rsidRPr="005470AD">
        <w:t>’</w:t>
      </w:r>
      <w:r w:rsidRPr="005470AD">
        <w:t>affaire :</w:t>
      </w:r>
    </w:p>
    <w:p w14:paraId="1D866B6E" w14:textId="77777777" w:rsidR="00B14B75" w:rsidRPr="005470AD" w:rsidRDefault="00B14B75" w:rsidP="002624E4"/>
    <w:p w14:paraId="48D41029" w14:textId="4F8AEAFB" w:rsidR="00B14B75" w:rsidRPr="005470AD" w:rsidRDefault="00ED1B32" w:rsidP="002624E4">
      <w:r w:rsidRPr="005470AD">
        <w:t xml:space="preserve">Umalo MUSSA </w:t>
      </w:r>
    </w:p>
    <w:p w14:paraId="0A7CCD63" w14:textId="77777777" w:rsidR="00B14B75" w:rsidRPr="005470AD" w:rsidRDefault="00B14B75" w:rsidP="002624E4"/>
    <w:p w14:paraId="5FC43873" w14:textId="388CF012" w:rsidR="00B14B75" w:rsidRPr="005470AD" w:rsidRDefault="00E60754" w:rsidP="002624E4">
      <w:r w:rsidRPr="005470AD">
        <w:rPr>
          <w:i/>
        </w:rPr>
        <w:t xml:space="preserve">assurant </w:t>
      </w:r>
      <w:r w:rsidR="00B14B75" w:rsidRPr="005470AD">
        <w:rPr>
          <w:i/>
        </w:rPr>
        <w:t>lui-même sa défense</w:t>
      </w:r>
    </w:p>
    <w:p w14:paraId="2D7EC607" w14:textId="77777777" w:rsidR="00B14B75" w:rsidRPr="005470AD" w:rsidRDefault="00B14B75" w:rsidP="002624E4"/>
    <w:p w14:paraId="737FD594" w14:textId="77777777" w:rsidR="00B14B75" w:rsidRPr="005470AD" w:rsidRDefault="00B14B75" w:rsidP="002624E4">
      <w:r w:rsidRPr="005470AD">
        <w:t>contre</w:t>
      </w:r>
    </w:p>
    <w:p w14:paraId="28834639" w14:textId="77777777" w:rsidR="00B14B75" w:rsidRPr="005470AD" w:rsidRDefault="00B14B75" w:rsidP="002624E4"/>
    <w:p w14:paraId="4F29B480" w14:textId="6F90F517" w:rsidR="00B14B75" w:rsidRPr="005470AD" w:rsidRDefault="00ED1B32" w:rsidP="002624E4">
      <w:r w:rsidRPr="005470AD">
        <w:t xml:space="preserve">RÉPUBLIQUE-UNIE DE TANZANIE </w:t>
      </w:r>
    </w:p>
    <w:p w14:paraId="74445AA3" w14:textId="77777777" w:rsidR="00B14B75" w:rsidRPr="005470AD" w:rsidRDefault="00B14B75" w:rsidP="002624E4">
      <w:pPr>
        <w:rPr>
          <w:i/>
        </w:rPr>
      </w:pPr>
    </w:p>
    <w:p w14:paraId="7D561706" w14:textId="435726B5" w:rsidR="00B14B75" w:rsidRPr="005470AD" w:rsidRDefault="00E60754" w:rsidP="002624E4">
      <w:r w:rsidRPr="005470AD">
        <w:rPr>
          <w:i/>
          <w:iCs/>
        </w:rPr>
        <w:t xml:space="preserve">représentée </w:t>
      </w:r>
      <w:r w:rsidR="00B14B75" w:rsidRPr="005470AD">
        <w:rPr>
          <w:i/>
          <w:iCs/>
        </w:rPr>
        <w:t>par :</w:t>
      </w:r>
    </w:p>
    <w:p w14:paraId="6ABE2C1A" w14:textId="02E2B0FA" w:rsidR="00B14B75" w:rsidRPr="005470AD" w:rsidRDefault="00B14B75" w:rsidP="002624E4"/>
    <w:p w14:paraId="1F367C9E" w14:textId="32C47A19" w:rsidR="000561ED" w:rsidRPr="005470AD" w:rsidRDefault="00BE34F3" w:rsidP="002624E4">
      <w:r w:rsidRPr="005470AD">
        <w:t xml:space="preserve">Dr. Boniphace Nalija Luhende, </w:t>
      </w:r>
      <w:r w:rsidRPr="005470AD">
        <w:rPr>
          <w:i/>
          <w:iCs/>
        </w:rPr>
        <w:t>Solicitor General</w:t>
      </w:r>
      <w:r w:rsidRPr="005470AD">
        <w:t xml:space="preserve">, Bureau du </w:t>
      </w:r>
      <w:r w:rsidRPr="005470AD">
        <w:rPr>
          <w:i/>
          <w:iCs/>
        </w:rPr>
        <w:t>Solicitor General</w:t>
      </w:r>
      <w:r w:rsidRPr="005470AD">
        <w:t xml:space="preserve"> ; </w:t>
      </w:r>
    </w:p>
    <w:p w14:paraId="787871A8" w14:textId="4C1DAB63" w:rsidR="00F42CBE" w:rsidRPr="005470AD" w:rsidRDefault="00F42CBE" w:rsidP="002624E4">
      <w:r w:rsidRPr="005470AD">
        <w:t xml:space="preserve">Mme Sarah Duncan MWAIPOPO, </w:t>
      </w:r>
      <w:r w:rsidRPr="005470AD">
        <w:rPr>
          <w:i/>
          <w:iCs/>
        </w:rPr>
        <w:t>Solicitor General</w:t>
      </w:r>
      <w:r w:rsidRPr="005470AD">
        <w:t xml:space="preserve"> adjointe, Bureau du </w:t>
      </w:r>
      <w:r w:rsidRPr="005470AD">
        <w:rPr>
          <w:i/>
          <w:iCs/>
        </w:rPr>
        <w:t>Solicitor General</w:t>
      </w:r>
      <w:r w:rsidRPr="005470AD">
        <w:t> ;</w:t>
      </w:r>
    </w:p>
    <w:p w14:paraId="73C3B2AA" w14:textId="7A1CAF81" w:rsidR="002F436F" w:rsidRPr="005470AD" w:rsidRDefault="002F436F" w:rsidP="002624E4">
      <w:pPr>
        <w:rPr>
          <w:color w:val="000000"/>
        </w:rPr>
      </w:pPr>
      <w:r w:rsidRPr="005470AD">
        <w:rPr>
          <w:color w:val="000000"/>
        </w:rPr>
        <w:t>Mme Nkasori SARAKIKYA, Directrice adjointe, Droits de l</w:t>
      </w:r>
      <w:r w:rsidR="00A95CF8" w:rsidRPr="005470AD">
        <w:rPr>
          <w:color w:val="000000"/>
        </w:rPr>
        <w:t>’</w:t>
      </w:r>
      <w:r w:rsidRPr="005470AD">
        <w:rPr>
          <w:color w:val="000000"/>
        </w:rPr>
        <w:t xml:space="preserve">homme, </w:t>
      </w:r>
      <w:r w:rsidRPr="005470AD">
        <w:rPr>
          <w:i/>
          <w:iCs/>
          <w:color w:val="000000"/>
        </w:rPr>
        <w:t>Principal State Attorney</w:t>
      </w:r>
      <w:r w:rsidRPr="005470AD">
        <w:rPr>
          <w:color w:val="000000"/>
        </w:rPr>
        <w:t>, Cabinet de l</w:t>
      </w:r>
      <w:r w:rsidR="00A95CF8" w:rsidRPr="005470AD">
        <w:rPr>
          <w:color w:val="000000"/>
        </w:rPr>
        <w:t>’</w:t>
      </w:r>
      <w:r w:rsidRPr="005470AD">
        <w:rPr>
          <w:i/>
          <w:iCs/>
          <w:color w:val="000000"/>
        </w:rPr>
        <w:t>Attorney General</w:t>
      </w:r>
      <w:r w:rsidRPr="005470AD">
        <w:rPr>
          <w:color w:val="000000"/>
        </w:rPr>
        <w:t> ;</w:t>
      </w:r>
    </w:p>
    <w:p w14:paraId="35AA24EF" w14:textId="5F55DAD1" w:rsidR="002F436F" w:rsidRPr="005470AD" w:rsidRDefault="002F436F" w:rsidP="002624E4">
      <w:pPr>
        <w:rPr>
          <w:color w:val="000000"/>
          <w:lang w:val="en-US"/>
        </w:rPr>
      </w:pPr>
      <w:r w:rsidRPr="005470AD">
        <w:rPr>
          <w:color w:val="000000"/>
          <w:lang w:val="en-US"/>
        </w:rPr>
        <w:t xml:space="preserve">M. Richard KILANGA, </w:t>
      </w:r>
      <w:r w:rsidRPr="005470AD">
        <w:rPr>
          <w:i/>
          <w:iCs/>
          <w:color w:val="000000"/>
          <w:lang w:val="en-US"/>
        </w:rPr>
        <w:t>Senior State Attorney</w:t>
      </w:r>
      <w:r w:rsidRPr="005470AD">
        <w:rPr>
          <w:color w:val="000000"/>
          <w:lang w:val="en-US"/>
        </w:rPr>
        <w:t>, Cabinet de l</w:t>
      </w:r>
      <w:r w:rsidR="00A95CF8" w:rsidRPr="005470AD">
        <w:rPr>
          <w:color w:val="000000"/>
          <w:lang w:val="en-US"/>
        </w:rPr>
        <w:t>’</w:t>
      </w:r>
      <w:r w:rsidRPr="005470AD">
        <w:rPr>
          <w:i/>
          <w:iCs/>
          <w:color w:val="000000"/>
          <w:lang w:val="en-US"/>
        </w:rPr>
        <w:t>Attorney General</w:t>
      </w:r>
      <w:r w:rsidRPr="005470AD">
        <w:rPr>
          <w:color w:val="000000"/>
          <w:lang w:val="en-US"/>
        </w:rPr>
        <w:t> ;</w:t>
      </w:r>
    </w:p>
    <w:p w14:paraId="5B57C45B" w14:textId="58ECCF74" w:rsidR="002F436F" w:rsidRPr="005470AD" w:rsidRDefault="002F436F" w:rsidP="002624E4">
      <w:pPr>
        <w:rPr>
          <w:color w:val="000000"/>
        </w:rPr>
      </w:pPr>
      <w:r w:rsidRPr="005470AD">
        <w:rPr>
          <w:color w:val="000000"/>
        </w:rPr>
        <w:t>M. Baraka LUVANDA, Ambassadeur, Directeur de l</w:t>
      </w:r>
      <w:r w:rsidR="00A95CF8" w:rsidRPr="005470AD">
        <w:rPr>
          <w:color w:val="000000"/>
        </w:rPr>
        <w:t>’</w:t>
      </w:r>
      <w:r w:rsidRPr="005470AD">
        <w:rPr>
          <w:color w:val="000000"/>
        </w:rPr>
        <w:t>Unité juridique, ministère des Affaires étrangères et de la Coopération avec l</w:t>
      </w:r>
      <w:r w:rsidR="00A95CF8" w:rsidRPr="005470AD">
        <w:rPr>
          <w:color w:val="000000"/>
        </w:rPr>
        <w:t>’</w:t>
      </w:r>
      <w:r w:rsidRPr="005470AD">
        <w:rPr>
          <w:color w:val="000000"/>
        </w:rPr>
        <w:t>Afrique de l</w:t>
      </w:r>
      <w:r w:rsidR="00A95CF8" w:rsidRPr="005470AD">
        <w:rPr>
          <w:color w:val="000000"/>
        </w:rPr>
        <w:t>’</w:t>
      </w:r>
      <w:r w:rsidRPr="005470AD">
        <w:rPr>
          <w:color w:val="000000"/>
        </w:rPr>
        <w:t>Est ;</w:t>
      </w:r>
    </w:p>
    <w:p w14:paraId="5114C79A" w14:textId="78F88EB8" w:rsidR="002F436F" w:rsidRPr="005470AD" w:rsidRDefault="002F436F" w:rsidP="002624E4">
      <w:pPr>
        <w:rPr>
          <w:color w:val="000000"/>
        </w:rPr>
      </w:pPr>
      <w:r w:rsidRPr="005470AD">
        <w:rPr>
          <w:color w:val="000000"/>
        </w:rPr>
        <w:t>M. Elisha SUKA, Fonctionnaire chargé des services extérieurs, ministère des Affaires étrangères et de la Coopération avec l</w:t>
      </w:r>
      <w:r w:rsidR="00A95CF8" w:rsidRPr="005470AD">
        <w:rPr>
          <w:color w:val="000000"/>
        </w:rPr>
        <w:t>’</w:t>
      </w:r>
      <w:r w:rsidRPr="005470AD">
        <w:rPr>
          <w:color w:val="000000"/>
        </w:rPr>
        <w:t>Afrique de l</w:t>
      </w:r>
      <w:r w:rsidR="00A95CF8" w:rsidRPr="005470AD">
        <w:rPr>
          <w:color w:val="000000"/>
        </w:rPr>
        <w:t>’</w:t>
      </w:r>
      <w:r w:rsidRPr="005470AD">
        <w:rPr>
          <w:color w:val="000000"/>
        </w:rPr>
        <w:t>Est ;</w:t>
      </w:r>
      <w:r w:rsidR="003E4E1D" w:rsidRPr="005470AD">
        <w:rPr>
          <w:color w:val="000000"/>
        </w:rPr>
        <w:t xml:space="preserve"> et</w:t>
      </w:r>
    </w:p>
    <w:p w14:paraId="253A320B" w14:textId="2E3310AE" w:rsidR="002F436F" w:rsidRPr="005470AD" w:rsidRDefault="002F436F" w:rsidP="002624E4">
      <w:pPr>
        <w:rPr>
          <w:color w:val="000000"/>
        </w:rPr>
      </w:pPr>
      <w:r w:rsidRPr="005470AD">
        <w:rPr>
          <w:color w:val="000000"/>
        </w:rPr>
        <w:t>Mme Blandina KASAGAMA, Juriste, ministère des Affaires étrangères et de la Coopération avec l</w:t>
      </w:r>
      <w:r w:rsidR="00A95CF8" w:rsidRPr="005470AD">
        <w:rPr>
          <w:color w:val="000000"/>
        </w:rPr>
        <w:t>’</w:t>
      </w:r>
      <w:r w:rsidRPr="005470AD">
        <w:rPr>
          <w:color w:val="000000"/>
        </w:rPr>
        <w:t>Afrique de l</w:t>
      </w:r>
      <w:r w:rsidR="00A95CF8" w:rsidRPr="005470AD">
        <w:rPr>
          <w:color w:val="000000"/>
        </w:rPr>
        <w:t>’</w:t>
      </w:r>
      <w:r w:rsidRPr="005470AD">
        <w:rPr>
          <w:color w:val="000000"/>
        </w:rPr>
        <w:t>Est</w:t>
      </w:r>
      <w:r w:rsidR="003E4E1D" w:rsidRPr="005470AD">
        <w:rPr>
          <w:color w:val="000000"/>
        </w:rPr>
        <w:t>.</w:t>
      </w:r>
    </w:p>
    <w:p w14:paraId="09AC5D46" w14:textId="77777777" w:rsidR="00EE0A5E" w:rsidRPr="005470AD" w:rsidRDefault="00EE0A5E" w:rsidP="002624E4"/>
    <w:p w14:paraId="505C82D2" w14:textId="77777777" w:rsidR="00B14B75" w:rsidRPr="005470AD" w:rsidRDefault="00B14B75" w:rsidP="002624E4">
      <w:r w:rsidRPr="005470AD">
        <w:t>après en avoir délibéré,</w:t>
      </w:r>
    </w:p>
    <w:p w14:paraId="08138131" w14:textId="77777777" w:rsidR="00B14B75" w:rsidRPr="005470AD" w:rsidRDefault="00B14B75" w:rsidP="002624E4"/>
    <w:p w14:paraId="6F4FF28A" w14:textId="3838DFC1" w:rsidR="00B14B75" w:rsidRPr="005470AD" w:rsidRDefault="00B14B75" w:rsidP="002624E4">
      <w:r w:rsidRPr="005470AD">
        <w:rPr>
          <w:i/>
        </w:rPr>
        <w:t>rend le présent Arrêt</w:t>
      </w:r>
      <w:r w:rsidRPr="005470AD">
        <w:t> :</w:t>
      </w:r>
    </w:p>
    <w:p w14:paraId="3482FC14" w14:textId="77777777" w:rsidR="00EE0A5E" w:rsidRPr="005470AD" w:rsidRDefault="00EE0A5E" w:rsidP="002624E4"/>
    <w:p w14:paraId="200D6734" w14:textId="77777777" w:rsidR="00EE0A5E" w:rsidRPr="005470AD" w:rsidRDefault="00EE0A5E" w:rsidP="002624E4"/>
    <w:p w14:paraId="7A9308A2" w14:textId="77777777" w:rsidR="00B14B75" w:rsidRPr="005470AD" w:rsidRDefault="00B14B75" w:rsidP="002624E4">
      <w:bookmarkStart w:id="1" w:name="_Toc136592690"/>
      <w:r w:rsidRPr="005470AD">
        <w:t>LES PARTIES</w:t>
      </w:r>
      <w:bookmarkEnd w:id="1"/>
      <w:r w:rsidRPr="005470AD">
        <w:t xml:space="preserve"> </w:t>
      </w:r>
    </w:p>
    <w:p w14:paraId="75BF2D41" w14:textId="77777777" w:rsidR="00903858" w:rsidRPr="005470AD" w:rsidRDefault="00903858" w:rsidP="002624E4"/>
    <w:p w14:paraId="1E973B19" w14:textId="64F4F24F" w:rsidR="007D1DE9" w:rsidRPr="005470AD" w:rsidRDefault="00B14B75" w:rsidP="002624E4">
      <w:r w:rsidRPr="005470AD">
        <w:t xml:space="preserve">Le sieur Umalo Mussa (ci-après dénommé « le Requérant ») est un ressortissant tanzanien qui, au moment du dépôt de la Requête, </w:t>
      </w:r>
      <w:r w:rsidR="00124957" w:rsidRPr="005470AD">
        <w:t>était incarcéré</w:t>
      </w:r>
      <w:r w:rsidRPr="005470AD">
        <w:t xml:space="preserve"> à la prison centrale de Butimba, dans la région de Mwanza, dans l</w:t>
      </w:r>
      <w:r w:rsidR="00A95CF8" w:rsidRPr="005470AD">
        <w:t>’</w:t>
      </w:r>
      <w:r w:rsidRPr="005470AD">
        <w:t xml:space="preserve">attente de </w:t>
      </w:r>
      <w:r w:rsidR="003E4E1D" w:rsidRPr="005470AD">
        <w:t>l</w:t>
      </w:r>
      <w:r w:rsidR="00A95CF8" w:rsidRPr="005470AD">
        <w:t>’</w:t>
      </w:r>
      <w:r w:rsidR="003E4E1D" w:rsidRPr="005470AD">
        <w:t xml:space="preserve">exécution </w:t>
      </w:r>
      <w:r w:rsidRPr="005470AD">
        <w:t xml:space="preserve">de la peine capitale prononcée à son encontre, après avoir été jugé et condamné pour meurtre. Le Requérant allègue la violation de ses droits à un procès équitable dans le cadre de </w:t>
      </w:r>
      <w:r w:rsidR="00E60754" w:rsidRPr="005470AD">
        <w:t xml:space="preserve">la </w:t>
      </w:r>
      <w:r w:rsidRPr="005470AD">
        <w:t>procédure devant les juridictions nationales.</w:t>
      </w:r>
    </w:p>
    <w:p w14:paraId="14002DEC" w14:textId="46690CC6" w:rsidR="007D1DE9" w:rsidRPr="005470AD" w:rsidRDefault="00C208FA" w:rsidP="002624E4">
      <w:r w:rsidRPr="005470AD">
        <w:lastRenderedPageBreak/>
        <w:t xml:space="preserve"> </w:t>
      </w:r>
    </w:p>
    <w:p w14:paraId="0F57DBC6" w14:textId="01312095" w:rsidR="00B14B75" w:rsidRPr="005470AD" w:rsidRDefault="00B14B75" w:rsidP="002624E4">
      <w:r w:rsidRPr="005470AD">
        <w:t>La Requête est dirigée contre la République-Unie de Tanzanie (ci-après dénommée « l</w:t>
      </w:r>
      <w:r w:rsidR="00A95CF8" w:rsidRPr="005470AD">
        <w:t>’</w:t>
      </w:r>
      <w:r w:rsidRPr="005470AD">
        <w:t>État défendeur »), qui est devenue partie à la Charte africaine des droits de l</w:t>
      </w:r>
      <w:r w:rsidR="00A95CF8" w:rsidRPr="005470AD">
        <w:t>’</w:t>
      </w:r>
      <w:r w:rsidRPr="005470AD">
        <w:t>homme et des peuples (ci-après désignée la « Charte ») le 21 octobre 1986 et au Protocole le 10 février 2006. Elle a également déposé, le 29 mars 2010, la Déclaration prévue à l</w:t>
      </w:r>
      <w:r w:rsidR="00A95CF8" w:rsidRPr="005470AD">
        <w:t>’</w:t>
      </w:r>
      <w:r w:rsidRPr="005470AD">
        <w:t>article 34(6) du Protocole</w:t>
      </w:r>
      <w:r w:rsidR="00CB6C5E" w:rsidRPr="005470AD">
        <w:t xml:space="preserve"> (ci-après désignée « la Déclaration »)</w:t>
      </w:r>
      <w:r w:rsidRPr="005470AD">
        <w:t>, par laquelle elle accepte la compétence de la Cour pour recevoir des requêtes émanant</w:t>
      </w:r>
      <w:r w:rsidR="00394C76" w:rsidRPr="005470AD">
        <w:t xml:space="preserve"> </w:t>
      </w:r>
      <w:r w:rsidRPr="005470AD">
        <w:t>d</w:t>
      </w:r>
      <w:r w:rsidR="00A95CF8" w:rsidRPr="005470AD">
        <w:t>’</w:t>
      </w:r>
      <w:r w:rsidRPr="005470AD">
        <w:t>individus et d</w:t>
      </w:r>
      <w:r w:rsidR="00A95CF8" w:rsidRPr="005470AD">
        <w:t>’</w:t>
      </w:r>
      <w:r w:rsidRPr="005470AD">
        <w:t>organisations non gouvernementales.</w:t>
      </w:r>
      <w:r w:rsidR="008C048F" w:rsidRPr="005470AD">
        <w:t xml:space="preserve"> </w:t>
      </w:r>
      <w:r w:rsidRPr="005470AD">
        <w:t>Le</w:t>
      </w:r>
      <w:r w:rsidR="008C048F" w:rsidRPr="005470AD">
        <w:t xml:space="preserve"> </w:t>
      </w:r>
      <w:r w:rsidR="00394C76" w:rsidRPr="005470AD">
        <w:t xml:space="preserve">21 novembre </w:t>
      </w:r>
      <w:r w:rsidRPr="005470AD">
        <w:t>2019, l</w:t>
      </w:r>
      <w:r w:rsidR="00A95CF8" w:rsidRPr="005470AD">
        <w:t>’</w:t>
      </w:r>
      <w:r w:rsidRPr="005470AD">
        <w:t>État défendeur a déposé auprès du Président de la Commission de l</w:t>
      </w:r>
      <w:r w:rsidR="00A95CF8" w:rsidRPr="005470AD">
        <w:t>’</w:t>
      </w:r>
      <w:r w:rsidRPr="005470AD">
        <w:t>Union africaine un instrument de retrait de sa Déclaration. La Cour a décidé que le retrait de la Déclaration n</w:t>
      </w:r>
      <w:r w:rsidR="00A95CF8" w:rsidRPr="005470AD">
        <w:t>’</w:t>
      </w:r>
      <w:r w:rsidRPr="005470AD">
        <w:t>avait aucune incidence, ni sur les affaires pendantes, ni sur les nouvelles affaires introduites devant elle avant sa prise d</w:t>
      </w:r>
      <w:r w:rsidR="00A95CF8" w:rsidRPr="005470AD">
        <w:t>’</w:t>
      </w:r>
      <w:r w:rsidRPr="005470AD">
        <w:t>effet un (1) an après le dépôt de l</w:t>
      </w:r>
      <w:r w:rsidR="00A95CF8" w:rsidRPr="005470AD">
        <w:t>’</w:t>
      </w:r>
      <w:r w:rsidRPr="005470AD">
        <w:t>instrument y relatif, à savoir le 22 novembre 2020</w:t>
      </w:r>
      <w:r w:rsidR="0019371E" w:rsidRPr="005470AD">
        <w:t>.</w:t>
      </w:r>
      <w:r w:rsidR="00395BD4" w:rsidRPr="005470AD">
        <w:rPr>
          <w:rStyle w:val="FootnoteReference"/>
          <w:rFonts w:ascii="Arial" w:hAnsi="Arial" w:cs="Arial"/>
        </w:rPr>
        <w:footnoteReference w:id="1"/>
      </w:r>
      <w:r w:rsidRPr="005470AD">
        <w:t xml:space="preserve"> </w:t>
      </w:r>
    </w:p>
    <w:p w14:paraId="3DA1EAF7" w14:textId="0E0B987D" w:rsidR="00B14B75" w:rsidRPr="005470AD" w:rsidRDefault="00B14B75" w:rsidP="002624E4">
      <w:bookmarkStart w:id="2" w:name="_Toc136592691"/>
      <w:bookmarkStart w:id="3" w:name="_Toc39148228"/>
      <w:r w:rsidRPr="005470AD">
        <w:t>OBJET DE LA REQUÊTE</w:t>
      </w:r>
      <w:bookmarkEnd w:id="2"/>
      <w:r w:rsidRPr="005470AD">
        <w:t xml:space="preserve"> </w:t>
      </w:r>
    </w:p>
    <w:p w14:paraId="6DE5B25A" w14:textId="77777777" w:rsidR="00BC06BE" w:rsidRPr="005470AD" w:rsidRDefault="00BC06BE" w:rsidP="002624E4"/>
    <w:p w14:paraId="07BFC8DF" w14:textId="77777777" w:rsidR="00B14B75" w:rsidRPr="005470AD" w:rsidRDefault="00B14B75" w:rsidP="002624E4">
      <w:bookmarkStart w:id="4" w:name="_Toc136592692"/>
      <w:r w:rsidRPr="005470AD">
        <w:t>Faits de la cause</w:t>
      </w:r>
      <w:bookmarkEnd w:id="4"/>
      <w:r w:rsidRPr="005470AD">
        <w:t xml:space="preserve"> </w:t>
      </w:r>
    </w:p>
    <w:p w14:paraId="6389BCE5" w14:textId="77777777" w:rsidR="00F95F7C" w:rsidRPr="005470AD" w:rsidRDefault="00F95F7C" w:rsidP="002624E4"/>
    <w:p w14:paraId="36208BA3" w14:textId="343A6198" w:rsidR="005205BE" w:rsidRPr="005470AD" w:rsidRDefault="004D35BA" w:rsidP="002624E4">
      <w:r w:rsidRPr="005470AD">
        <w:t xml:space="preserve">Il ressort du dossier que, le 18 mars 1995, dans le village de </w:t>
      </w:r>
      <w:r w:rsidR="00A20842" w:rsidRPr="005470AD">
        <w:t>Karenge</w:t>
      </w:r>
      <w:r w:rsidR="00937C43" w:rsidRPr="005470AD">
        <w:t xml:space="preserve"> situé dans le district de Karagwe, région de</w:t>
      </w:r>
      <w:r w:rsidRPr="005470AD">
        <w:t xml:space="preserve"> </w:t>
      </w:r>
      <w:r w:rsidR="00937C43" w:rsidRPr="005470AD">
        <w:t>Kagera</w:t>
      </w:r>
      <w:r w:rsidRPr="005470AD">
        <w:t>, le Requérant et deux (2) autres co-accusés</w:t>
      </w:r>
      <w:r w:rsidR="005C1EEC" w:rsidRPr="005470AD">
        <w:t xml:space="preserve">, </w:t>
      </w:r>
      <w:r w:rsidR="00F97A24" w:rsidRPr="005470AD">
        <w:t>depuis</w:t>
      </w:r>
      <w:r w:rsidRPr="005470AD">
        <w:t xml:space="preserve"> décédées,</w:t>
      </w:r>
      <w:r w:rsidR="001528FC" w:rsidRPr="005470AD">
        <w:rPr>
          <w:rStyle w:val="FootnoteReference"/>
          <w:rFonts w:ascii="Arial" w:hAnsi="Arial"/>
        </w:rPr>
        <w:footnoteReference w:id="2"/>
      </w:r>
      <w:r w:rsidRPr="005470AD">
        <w:t xml:space="preserve"> ont </w:t>
      </w:r>
      <w:r w:rsidR="00937C43" w:rsidRPr="005470AD">
        <w:t xml:space="preserve">assassiné </w:t>
      </w:r>
      <w:r w:rsidRPr="005470AD">
        <w:t>Rwabuhaya</w:t>
      </w:r>
      <w:r w:rsidR="00A20842" w:rsidRPr="005470AD">
        <w:t xml:space="preserve"> Kilai</w:t>
      </w:r>
      <w:r w:rsidRPr="005470AD">
        <w:t xml:space="preserve"> et son épouse, Miburo</w:t>
      </w:r>
      <w:r w:rsidR="00A20842" w:rsidRPr="005470AD">
        <w:t xml:space="preserve"> Rwabuhaya</w:t>
      </w:r>
      <w:r w:rsidR="00270E9A" w:rsidRPr="005470AD">
        <w:t>.</w:t>
      </w:r>
      <w:r w:rsidRPr="005470AD">
        <w:t xml:space="preserve"> </w:t>
      </w:r>
    </w:p>
    <w:p w14:paraId="4DAF22BB" w14:textId="77777777" w:rsidR="00035C8C" w:rsidRPr="005470AD" w:rsidRDefault="00035C8C" w:rsidP="002624E4"/>
    <w:p w14:paraId="10CDFE06" w14:textId="6D2112C7" w:rsidR="001F267F" w:rsidRPr="005470AD" w:rsidRDefault="005205BE" w:rsidP="002624E4">
      <w:r w:rsidRPr="005470AD">
        <w:t xml:space="preserve">Le 29 juin 2005, la Haute Cour </w:t>
      </w:r>
      <w:r w:rsidR="00A61A0F" w:rsidRPr="005470AD">
        <w:t xml:space="preserve">siégeant à </w:t>
      </w:r>
      <w:r w:rsidRPr="005470AD">
        <w:t xml:space="preserve">Bukoba a </w:t>
      </w:r>
      <w:r w:rsidR="00A61A0F" w:rsidRPr="005470AD">
        <w:t xml:space="preserve">déclaré </w:t>
      </w:r>
      <w:r w:rsidRPr="005470AD">
        <w:t xml:space="preserve">le Requérant coupable de meurtre </w:t>
      </w:r>
      <w:r w:rsidR="004D6769" w:rsidRPr="005470AD">
        <w:t xml:space="preserve">sur deux personnes </w:t>
      </w:r>
      <w:r w:rsidRPr="005470AD">
        <w:t>et l</w:t>
      </w:r>
      <w:r w:rsidR="00A95CF8" w:rsidRPr="005470AD">
        <w:t>’</w:t>
      </w:r>
      <w:r w:rsidRPr="005470AD">
        <w:t>a condamné à la peine capitale par pendaison. Le Requérant a interjeté appel de sa condamnation et de sa peine devant la Cour d</w:t>
      </w:r>
      <w:r w:rsidR="00A95CF8" w:rsidRPr="005470AD">
        <w:t>’</w:t>
      </w:r>
      <w:r w:rsidRPr="005470AD">
        <w:t xml:space="preserve">appel siégeant à Mwanza, qui, le 21 mai 2009, a rejeté son recours dans son intégralité. </w:t>
      </w:r>
    </w:p>
    <w:p w14:paraId="4996E68C" w14:textId="77777777" w:rsidR="001F267F" w:rsidRPr="005470AD" w:rsidRDefault="001F267F" w:rsidP="002624E4"/>
    <w:p w14:paraId="1999BC04" w14:textId="58C9DDA3" w:rsidR="00B14B75" w:rsidRPr="005470AD" w:rsidRDefault="00480DA6" w:rsidP="002624E4">
      <w:r w:rsidRPr="005470AD">
        <w:t>Le Requérant affirme avoir, par la suite, le 11 mars 2014, déposé un avis de requête en révision de la décision de la Cour d</w:t>
      </w:r>
      <w:r w:rsidR="00A95CF8" w:rsidRPr="005470AD">
        <w:t>’</w:t>
      </w:r>
      <w:r w:rsidRPr="005470AD">
        <w:t xml:space="preserve">appel qui était pendante au moment du dépôt de la Requête devant la Cour de céans le 8 juin 2016. </w:t>
      </w:r>
    </w:p>
    <w:p w14:paraId="0F6CE84F" w14:textId="77777777" w:rsidR="00901E6D" w:rsidRPr="005470AD" w:rsidRDefault="00901E6D" w:rsidP="002624E4"/>
    <w:p w14:paraId="39CEAA17" w14:textId="77777777" w:rsidR="00B14B75" w:rsidRPr="005470AD" w:rsidRDefault="00B14B75" w:rsidP="002624E4">
      <w:bookmarkStart w:id="5" w:name="_Toc136592693"/>
      <w:r w:rsidRPr="005470AD">
        <w:t>Violations alléguées</w:t>
      </w:r>
      <w:bookmarkEnd w:id="5"/>
    </w:p>
    <w:p w14:paraId="485FF684" w14:textId="77777777" w:rsidR="00F95F7C" w:rsidRPr="005470AD" w:rsidRDefault="00F95F7C" w:rsidP="002624E4"/>
    <w:bookmarkEnd w:id="3"/>
    <w:p w14:paraId="4186959A" w14:textId="7A2C77D0" w:rsidR="001761B8" w:rsidRPr="005470AD" w:rsidRDefault="00436FC8" w:rsidP="002624E4">
      <w:pPr>
        <w:rPr>
          <w:bCs/>
        </w:rPr>
      </w:pPr>
      <w:r w:rsidRPr="005470AD">
        <w:rPr>
          <w:bCs/>
        </w:rPr>
        <w:t>Le R</w:t>
      </w:r>
      <w:r w:rsidR="001761B8" w:rsidRPr="005470AD">
        <w:rPr>
          <w:bCs/>
        </w:rPr>
        <w:t>equérant allèg</w:t>
      </w:r>
      <w:r w:rsidR="00BA5653" w:rsidRPr="005470AD">
        <w:rPr>
          <w:bCs/>
        </w:rPr>
        <w:t xml:space="preserve">ue la violation de </w:t>
      </w:r>
      <w:r w:rsidR="002A36A1" w:rsidRPr="005470AD">
        <w:rPr>
          <w:bCs/>
        </w:rPr>
        <w:t>son</w:t>
      </w:r>
      <w:r w:rsidR="00BA5653" w:rsidRPr="005470AD">
        <w:rPr>
          <w:bCs/>
        </w:rPr>
        <w:t xml:space="preserve"> </w:t>
      </w:r>
      <w:r w:rsidR="002A36A1" w:rsidRPr="005470AD">
        <w:rPr>
          <w:bCs/>
        </w:rPr>
        <w:t>droit</w:t>
      </w:r>
      <w:r w:rsidR="00BA5653" w:rsidRPr="005470AD">
        <w:rPr>
          <w:bCs/>
        </w:rPr>
        <w:t xml:space="preserve"> :</w:t>
      </w:r>
    </w:p>
    <w:p w14:paraId="59876995" w14:textId="77777777" w:rsidR="00CB6C6E" w:rsidRPr="005470AD" w:rsidRDefault="00CB6C6E" w:rsidP="002624E4">
      <w:pPr>
        <w:rPr>
          <w:bCs/>
        </w:rPr>
      </w:pPr>
    </w:p>
    <w:p w14:paraId="59A15973" w14:textId="2B7D79C7" w:rsidR="001761B8" w:rsidRPr="005470AD" w:rsidRDefault="00BA5653" w:rsidP="002624E4">
      <w:pPr>
        <w:rPr>
          <w:bCs/>
          <w:sz w:val="22"/>
          <w:szCs w:val="22"/>
        </w:rPr>
      </w:pPr>
      <w:r w:rsidRPr="005470AD">
        <w:rPr>
          <w:bCs/>
          <w:sz w:val="22"/>
          <w:szCs w:val="22"/>
        </w:rPr>
        <w:t>à</w:t>
      </w:r>
      <w:r w:rsidR="001761B8" w:rsidRPr="005470AD">
        <w:rPr>
          <w:bCs/>
          <w:sz w:val="22"/>
          <w:szCs w:val="22"/>
        </w:rPr>
        <w:t xml:space="preserve"> </w:t>
      </w:r>
      <w:r w:rsidR="0068619B" w:rsidRPr="005470AD">
        <w:rPr>
          <w:bCs/>
          <w:sz w:val="22"/>
          <w:szCs w:val="22"/>
        </w:rPr>
        <w:t xml:space="preserve">ce que sa cause soit </w:t>
      </w:r>
      <w:r w:rsidR="001761B8" w:rsidRPr="005470AD">
        <w:rPr>
          <w:bCs/>
          <w:sz w:val="22"/>
          <w:szCs w:val="22"/>
        </w:rPr>
        <w:t>entendu</w:t>
      </w:r>
      <w:r w:rsidR="0068619B" w:rsidRPr="005470AD">
        <w:rPr>
          <w:bCs/>
          <w:sz w:val="22"/>
          <w:szCs w:val="22"/>
        </w:rPr>
        <w:t>e</w:t>
      </w:r>
      <w:r w:rsidR="001761B8" w:rsidRPr="005470AD">
        <w:rPr>
          <w:bCs/>
          <w:sz w:val="22"/>
          <w:szCs w:val="22"/>
        </w:rPr>
        <w:t xml:space="preserve">, </w:t>
      </w:r>
      <w:r w:rsidR="002A36A1" w:rsidRPr="005470AD">
        <w:rPr>
          <w:bCs/>
          <w:sz w:val="22"/>
          <w:szCs w:val="22"/>
        </w:rPr>
        <w:t>dans la mesure où</w:t>
      </w:r>
      <w:r w:rsidR="001761B8" w:rsidRPr="005470AD">
        <w:rPr>
          <w:bCs/>
          <w:sz w:val="22"/>
          <w:szCs w:val="22"/>
        </w:rPr>
        <w:t xml:space="preserve"> la </w:t>
      </w:r>
      <w:r w:rsidR="00711C35" w:rsidRPr="005470AD">
        <w:rPr>
          <w:bCs/>
          <w:sz w:val="22"/>
          <w:szCs w:val="22"/>
        </w:rPr>
        <w:t xml:space="preserve">Haute Cour </w:t>
      </w:r>
      <w:r w:rsidR="001E2704" w:rsidRPr="005470AD">
        <w:rPr>
          <w:bCs/>
          <w:sz w:val="22"/>
          <w:szCs w:val="22"/>
        </w:rPr>
        <w:t>l</w:t>
      </w:r>
      <w:r w:rsidR="00A95CF8" w:rsidRPr="005470AD">
        <w:rPr>
          <w:bCs/>
          <w:sz w:val="22"/>
          <w:szCs w:val="22"/>
        </w:rPr>
        <w:t>’</w:t>
      </w:r>
      <w:r w:rsidR="001E2704" w:rsidRPr="005470AD">
        <w:rPr>
          <w:bCs/>
          <w:sz w:val="22"/>
          <w:szCs w:val="22"/>
        </w:rPr>
        <w:t xml:space="preserve">a condamné </w:t>
      </w:r>
      <w:r w:rsidR="001761B8" w:rsidRPr="005470AD">
        <w:rPr>
          <w:bCs/>
          <w:sz w:val="22"/>
          <w:szCs w:val="22"/>
        </w:rPr>
        <w:t>et la Cour</w:t>
      </w:r>
      <w:r w:rsidR="00711C35" w:rsidRPr="005470AD">
        <w:rPr>
          <w:bCs/>
          <w:sz w:val="22"/>
          <w:szCs w:val="22"/>
        </w:rPr>
        <w:t xml:space="preserve"> d</w:t>
      </w:r>
      <w:r w:rsidR="00A95CF8" w:rsidRPr="005470AD">
        <w:rPr>
          <w:bCs/>
          <w:sz w:val="22"/>
          <w:szCs w:val="22"/>
        </w:rPr>
        <w:t>’</w:t>
      </w:r>
      <w:r w:rsidR="00711C35" w:rsidRPr="005470AD">
        <w:rPr>
          <w:bCs/>
          <w:sz w:val="22"/>
          <w:szCs w:val="22"/>
        </w:rPr>
        <w:t>Appel</w:t>
      </w:r>
      <w:r w:rsidR="001761B8" w:rsidRPr="005470AD">
        <w:rPr>
          <w:bCs/>
          <w:sz w:val="22"/>
          <w:szCs w:val="22"/>
        </w:rPr>
        <w:t xml:space="preserve"> </w:t>
      </w:r>
      <w:r w:rsidR="001E2704" w:rsidRPr="005470AD">
        <w:rPr>
          <w:bCs/>
          <w:sz w:val="22"/>
          <w:szCs w:val="22"/>
        </w:rPr>
        <w:t xml:space="preserve">a </w:t>
      </w:r>
      <w:r w:rsidR="001761B8" w:rsidRPr="005470AD">
        <w:rPr>
          <w:bCs/>
          <w:sz w:val="22"/>
          <w:szCs w:val="22"/>
        </w:rPr>
        <w:t>confirmé</w:t>
      </w:r>
      <w:r w:rsidR="006B3FE9" w:rsidRPr="005470AD">
        <w:rPr>
          <w:bCs/>
          <w:sz w:val="22"/>
          <w:szCs w:val="22"/>
        </w:rPr>
        <w:t xml:space="preserve"> </w:t>
      </w:r>
      <w:r w:rsidR="001E2704" w:rsidRPr="005470AD">
        <w:rPr>
          <w:bCs/>
          <w:sz w:val="22"/>
          <w:szCs w:val="22"/>
        </w:rPr>
        <w:t xml:space="preserve">ladite condamnation prononcée à son encontre </w:t>
      </w:r>
      <w:r w:rsidR="001761B8" w:rsidRPr="005470AD">
        <w:rPr>
          <w:bCs/>
          <w:sz w:val="22"/>
          <w:szCs w:val="22"/>
        </w:rPr>
        <w:t>sur la base d</w:t>
      </w:r>
      <w:r w:rsidR="00A95CF8" w:rsidRPr="005470AD">
        <w:rPr>
          <w:bCs/>
          <w:sz w:val="22"/>
          <w:szCs w:val="22"/>
        </w:rPr>
        <w:t>’</w:t>
      </w:r>
      <w:r w:rsidR="001761B8" w:rsidRPr="005470AD">
        <w:rPr>
          <w:bCs/>
          <w:sz w:val="22"/>
          <w:szCs w:val="22"/>
        </w:rPr>
        <w:t xml:space="preserve">une déclaration auto-incriminante </w:t>
      </w:r>
      <w:r w:rsidR="001E2704" w:rsidRPr="005470AD">
        <w:rPr>
          <w:bCs/>
          <w:sz w:val="22"/>
          <w:szCs w:val="22"/>
        </w:rPr>
        <w:t>obtenue</w:t>
      </w:r>
      <w:r w:rsidR="001761B8" w:rsidRPr="005470AD">
        <w:rPr>
          <w:bCs/>
          <w:sz w:val="22"/>
          <w:szCs w:val="22"/>
        </w:rPr>
        <w:t xml:space="preserve"> sous la contrainte, </w:t>
      </w:r>
      <w:r w:rsidR="00711C35" w:rsidRPr="005470AD">
        <w:rPr>
          <w:bCs/>
          <w:sz w:val="22"/>
          <w:szCs w:val="22"/>
        </w:rPr>
        <w:t xml:space="preserve">par rapport à laquelle </w:t>
      </w:r>
      <w:r w:rsidR="005779D6" w:rsidRPr="005470AD">
        <w:rPr>
          <w:bCs/>
          <w:sz w:val="22"/>
          <w:szCs w:val="22"/>
        </w:rPr>
        <w:t>il s</w:t>
      </w:r>
      <w:r w:rsidR="00A95CF8" w:rsidRPr="005470AD">
        <w:rPr>
          <w:bCs/>
          <w:sz w:val="22"/>
          <w:szCs w:val="22"/>
        </w:rPr>
        <w:t>’</w:t>
      </w:r>
      <w:r w:rsidR="005779D6" w:rsidRPr="005470AD">
        <w:rPr>
          <w:bCs/>
          <w:sz w:val="22"/>
          <w:szCs w:val="22"/>
        </w:rPr>
        <w:t>est rétracté</w:t>
      </w:r>
      <w:r w:rsidR="001761B8" w:rsidRPr="005470AD">
        <w:rPr>
          <w:bCs/>
          <w:sz w:val="22"/>
          <w:szCs w:val="22"/>
        </w:rPr>
        <w:t>.</w:t>
      </w:r>
    </w:p>
    <w:p w14:paraId="1BE25107" w14:textId="139F8E35" w:rsidR="00046667" w:rsidRPr="005470AD" w:rsidRDefault="00046667" w:rsidP="002624E4">
      <w:pPr>
        <w:rPr>
          <w:bCs/>
          <w:sz w:val="22"/>
          <w:szCs w:val="22"/>
        </w:rPr>
      </w:pPr>
      <w:r w:rsidRPr="005470AD">
        <w:rPr>
          <w:bCs/>
          <w:sz w:val="22"/>
          <w:szCs w:val="22"/>
        </w:rPr>
        <w:t>p</w:t>
      </w:r>
      <w:r w:rsidR="00042A05" w:rsidRPr="005470AD">
        <w:rPr>
          <w:bCs/>
          <w:sz w:val="22"/>
          <w:szCs w:val="22"/>
        </w:rPr>
        <w:t>révu</w:t>
      </w:r>
      <w:r w:rsidRPr="005470AD">
        <w:rPr>
          <w:bCs/>
          <w:sz w:val="22"/>
          <w:szCs w:val="22"/>
        </w:rPr>
        <w:t xml:space="preserve"> à l</w:t>
      </w:r>
      <w:r w:rsidR="00A95CF8" w:rsidRPr="005470AD">
        <w:rPr>
          <w:bCs/>
          <w:sz w:val="22"/>
          <w:szCs w:val="22"/>
        </w:rPr>
        <w:t>’</w:t>
      </w:r>
      <w:r w:rsidRPr="005470AD">
        <w:rPr>
          <w:bCs/>
          <w:sz w:val="22"/>
          <w:szCs w:val="22"/>
        </w:rPr>
        <w:t xml:space="preserve">article 7(1)(a) et (d) de la Charte et </w:t>
      </w:r>
      <w:r w:rsidR="00042A05" w:rsidRPr="005470AD">
        <w:rPr>
          <w:bCs/>
          <w:sz w:val="22"/>
          <w:szCs w:val="22"/>
        </w:rPr>
        <w:t xml:space="preserve">à </w:t>
      </w:r>
      <w:r w:rsidRPr="005470AD">
        <w:rPr>
          <w:bCs/>
          <w:sz w:val="22"/>
          <w:szCs w:val="22"/>
        </w:rPr>
        <w:t>l</w:t>
      </w:r>
      <w:r w:rsidR="00A95CF8" w:rsidRPr="005470AD">
        <w:rPr>
          <w:bCs/>
          <w:sz w:val="22"/>
          <w:szCs w:val="22"/>
        </w:rPr>
        <w:t>’</w:t>
      </w:r>
      <w:r w:rsidRPr="005470AD">
        <w:rPr>
          <w:bCs/>
          <w:sz w:val="22"/>
          <w:szCs w:val="22"/>
        </w:rPr>
        <w:t>article 136(a) et 107(a)</w:t>
      </w:r>
      <w:r w:rsidR="000E62AE" w:rsidRPr="005470AD">
        <w:rPr>
          <w:bCs/>
          <w:sz w:val="22"/>
          <w:szCs w:val="22"/>
        </w:rPr>
        <w:t xml:space="preserve"> </w:t>
      </w:r>
      <w:r w:rsidRPr="005470AD">
        <w:rPr>
          <w:bCs/>
          <w:sz w:val="22"/>
          <w:szCs w:val="22"/>
        </w:rPr>
        <w:t xml:space="preserve">2(b) de la Constitution de Tanzanie de 1977, en raison du retard </w:t>
      </w:r>
      <w:r w:rsidR="00042A05" w:rsidRPr="005470AD">
        <w:rPr>
          <w:bCs/>
          <w:sz w:val="22"/>
          <w:szCs w:val="22"/>
        </w:rPr>
        <w:t>accusé</w:t>
      </w:r>
      <w:r w:rsidRPr="005470AD">
        <w:rPr>
          <w:bCs/>
          <w:sz w:val="22"/>
          <w:szCs w:val="22"/>
        </w:rPr>
        <w:t xml:space="preserve"> dans </w:t>
      </w:r>
      <w:r w:rsidR="000E62AE" w:rsidRPr="005470AD">
        <w:rPr>
          <w:bCs/>
          <w:sz w:val="22"/>
          <w:szCs w:val="22"/>
        </w:rPr>
        <w:t>l</w:t>
      </w:r>
      <w:r w:rsidR="00A95CF8" w:rsidRPr="005470AD">
        <w:rPr>
          <w:bCs/>
          <w:sz w:val="22"/>
          <w:szCs w:val="22"/>
        </w:rPr>
        <w:t>’</w:t>
      </w:r>
      <w:r w:rsidR="000E62AE" w:rsidRPr="005470AD">
        <w:rPr>
          <w:bCs/>
          <w:sz w:val="22"/>
          <w:szCs w:val="22"/>
        </w:rPr>
        <w:t>examen</w:t>
      </w:r>
      <w:r w:rsidR="00D75F2B" w:rsidRPr="005470AD">
        <w:rPr>
          <w:bCs/>
          <w:sz w:val="22"/>
          <w:szCs w:val="22"/>
        </w:rPr>
        <w:t xml:space="preserve"> de sa </w:t>
      </w:r>
      <w:r w:rsidR="000E62AE" w:rsidRPr="005470AD">
        <w:rPr>
          <w:bCs/>
          <w:sz w:val="22"/>
          <w:szCs w:val="22"/>
        </w:rPr>
        <w:t>r</w:t>
      </w:r>
      <w:r w:rsidR="00D75F2B" w:rsidRPr="005470AD">
        <w:rPr>
          <w:bCs/>
          <w:sz w:val="22"/>
          <w:szCs w:val="22"/>
        </w:rPr>
        <w:t>equête en</w:t>
      </w:r>
      <w:r w:rsidRPr="005470AD">
        <w:rPr>
          <w:bCs/>
          <w:sz w:val="22"/>
          <w:szCs w:val="22"/>
        </w:rPr>
        <w:t xml:space="preserve"> révision.</w:t>
      </w:r>
    </w:p>
    <w:p w14:paraId="24810EB4" w14:textId="2B3C05A8" w:rsidR="00B6677C" w:rsidRPr="005470AD" w:rsidRDefault="0003437E" w:rsidP="002624E4">
      <w:pPr>
        <w:rPr>
          <w:bCs/>
          <w:sz w:val="22"/>
          <w:szCs w:val="22"/>
        </w:rPr>
      </w:pPr>
      <w:r w:rsidRPr="005470AD">
        <w:rPr>
          <w:bCs/>
          <w:sz w:val="22"/>
          <w:szCs w:val="22"/>
        </w:rPr>
        <w:t>à la</w:t>
      </w:r>
      <w:r w:rsidR="00D675D0" w:rsidRPr="005470AD">
        <w:rPr>
          <w:bCs/>
          <w:sz w:val="22"/>
          <w:szCs w:val="22"/>
        </w:rPr>
        <w:t xml:space="preserve"> </w:t>
      </w:r>
      <w:r w:rsidRPr="005470AD">
        <w:rPr>
          <w:bCs/>
          <w:sz w:val="22"/>
          <w:szCs w:val="22"/>
        </w:rPr>
        <w:t>défense</w:t>
      </w:r>
      <w:r w:rsidR="000E62AE" w:rsidRPr="005470AD">
        <w:rPr>
          <w:bCs/>
          <w:sz w:val="22"/>
          <w:szCs w:val="22"/>
        </w:rPr>
        <w:t>,</w:t>
      </w:r>
      <w:r w:rsidRPr="005470AD">
        <w:rPr>
          <w:bCs/>
          <w:sz w:val="22"/>
          <w:szCs w:val="22"/>
        </w:rPr>
        <w:t xml:space="preserve"> </w:t>
      </w:r>
      <w:r w:rsidR="00042A05" w:rsidRPr="005470AD">
        <w:rPr>
          <w:bCs/>
          <w:sz w:val="22"/>
          <w:szCs w:val="22"/>
        </w:rPr>
        <w:t>prévu</w:t>
      </w:r>
      <w:r w:rsidR="00D675D0" w:rsidRPr="005470AD">
        <w:rPr>
          <w:bCs/>
          <w:sz w:val="22"/>
          <w:szCs w:val="22"/>
        </w:rPr>
        <w:t xml:space="preserve"> </w:t>
      </w:r>
      <w:r w:rsidR="00042A05" w:rsidRPr="005470AD">
        <w:rPr>
          <w:bCs/>
          <w:sz w:val="22"/>
          <w:szCs w:val="22"/>
        </w:rPr>
        <w:t xml:space="preserve">à </w:t>
      </w:r>
      <w:r w:rsidRPr="005470AD">
        <w:rPr>
          <w:bCs/>
          <w:sz w:val="22"/>
          <w:szCs w:val="22"/>
        </w:rPr>
        <w:t>l</w:t>
      </w:r>
      <w:r w:rsidR="00A95CF8" w:rsidRPr="005470AD">
        <w:rPr>
          <w:bCs/>
          <w:sz w:val="22"/>
          <w:szCs w:val="22"/>
        </w:rPr>
        <w:t>’</w:t>
      </w:r>
      <w:r w:rsidRPr="005470AD">
        <w:rPr>
          <w:bCs/>
          <w:sz w:val="22"/>
          <w:szCs w:val="22"/>
        </w:rPr>
        <w:t xml:space="preserve">article 7(1)(c) de la Charte </w:t>
      </w:r>
      <w:r w:rsidR="00F8500A" w:rsidRPr="005470AD">
        <w:rPr>
          <w:bCs/>
          <w:sz w:val="22"/>
          <w:szCs w:val="22"/>
        </w:rPr>
        <w:t xml:space="preserve">en ne lui </w:t>
      </w:r>
      <w:r w:rsidR="000E62AE" w:rsidRPr="005470AD">
        <w:rPr>
          <w:bCs/>
          <w:sz w:val="22"/>
          <w:szCs w:val="22"/>
        </w:rPr>
        <w:t>octroyant</w:t>
      </w:r>
      <w:r w:rsidR="00F8500A" w:rsidRPr="005470AD">
        <w:rPr>
          <w:bCs/>
          <w:sz w:val="22"/>
          <w:szCs w:val="22"/>
        </w:rPr>
        <w:t xml:space="preserve"> pas un défenseur de son choix</w:t>
      </w:r>
      <w:r w:rsidR="00372D78" w:rsidRPr="005470AD">
        <w:rPr>
          <w:bCs/>
          <w:sz w:val="22"/>
          <w:szCs w:val="22"/>
        </w:rPr>
        <w:t>.</w:t>
      </w:r>
    </w:p>
    <w:p w14:paraId="62773ADB" w14:textId="77777777" w:rsidR="00B14B75" w:rsidRPr="005470AD" w:rsidRDefault="00B14B75" w:rsidP="002624E4">
      <w:bookmarkStart w:id="6" w:name="_Toc136592694"/>
      <w:r w:rsidRPr="005470AD">
        <w:t>RÉSUMÉ DE LA PROCÉDURE DEVANT LA COUR DE CÉANS</w:t>
      </w:r>
      <w:bookmarkEnd w:id="6"/>
    </w:p>
    <w:p w14:paraId="1319DA53" w14:textId="77777777" w:rsidR="00B14B75" w:rsidRPr="005470AD" w:rsidRDefault="00B14B75" w:rsidP="002624E4"/>
    <w:p w14:paraId="4835B34A" w14:textId="311B159A" w:rsidR="00242D8F" w:rsidRPr="005470AD" w:rsidRDefault="00B14B75" w:rsidP="002624E4">
      <w:r w:rsidRPr="005470AD">
        <w:t>La Requête introductive d</w:t>
      </w:r>
      <w:r w:rsidR="00A95CF8" w:rsidRPr="005470AD">
        <w:t>’</w:t>
      </w:r>
      <w:r w:rsidRPr="005470AD">
        <w:t>instance</w:t>
      </w:r>
      <w:r w:rsidR="00067AB2" w:rsidRPr="005470AD">
        <w:t>, assortie d</w:t>
      </w:r>
      <w:r w:rsidR="00A95CF8" w:rsidRPr="005470AD">
        <w:t>’</w:t>
      </w:r>
      <w:r w:rsidR="00067AB2" w:rsidRPr="005470AD">
        <w:t xml:space="preserve">une demande de mesures provisoires, </w:t>
      </w:r>
      <w:r w:rsidRPr="005470AD">
        <w:t>a été reçue au Greffe le 8 juin 2016 et communiquée à l</w:t>
      </w:r>
      <w:r w:rsidR="00A95CF8" w:rsidRPr="005470AD">
        <w:t>’</w:t>
      </w:r>
      <w:r w:rsidRPr="005470AD">
        <w:t xml:space="preserve">État défendeur le 26 juillet 2016. Le 8 septembre 2016, la Requête a été </w:t>
      </w:r>
      <w:r w:rsidR="00A61A0F" w:rsidRPr="005470AD">
        <w:t xml:space="preserve">communiquée </w:t>
      </w:r>
      <w:r w:rsidRPr="005470AD">
        <w:t>au Conseil exécutif de l</w:t>
      </w:r>
      <w:r w:rsidR="00A95CF8" w:rsidRPr="005470AD">
        <w:t>’</w:t>
      </w:r>
      <w:r w:rsidRPr="005470AD">
        <w:t xml:space="preserve">Union africaine et </w:t>
      </w:r>
      <w:r w:rsidRPr="005470AD">
        <w:lastRenderedPageBreak/>
        <w:t xml:space="preserve">aux États parties au Protocole par </w:t>
      </w:r>
      <w:r w:rsidR="00262071" w:rsidRPr="005470AD">
        <w:t>l</w:t>
      </w:r>
      <w:r w:rsidR="00A95CF8" w:rsidRPr="005470AD">
        <w:t>’</w:t>
      </w:r>
      <w:r w:rsidR="00262071" w:rsidRPr="005470AD">
        <w:t>entremise</w:t>
      </w:r>
      <w:r w:rsidRPr="005470AD">
        <w:t xml:space="preserve"> du Président de la Commission de l</w:t>
      </w:r>
      <w:r w:rsidR="00A95CF8" w:rsidRPr="005470AD">
        <w:t>’</w:t>
      </w:r>
      <w:r w:rsidRPr="005470AD">
        <w:t>Union africaine.</w:t>
      </w:r>
    </w:p>
    <w:p w14:paraId="20580F1D" w14:textId="70C090F2" w:rsidR="00F42CBE" w:rsidRPr="005470AD" w:rsidRDefault="00B14B75" w:rsidP="002624E4">
      <w:r w:rsidRPr="005470AD">
        <w:t xml:space="preserve"> </w:t>
      </w:r>
    </w:p>
    <w:p w14:paraId="60054FB5" w14:textId="42550334" w:rsidR="00242D8F" w:rsidRPr="005470AD" w:rsidRDefault="0062671F" w:rsidP="002624E4">
      <w:r w:rsidRPr="005470AD">
        <w:t>Les Parties ont soumis leurs observations sur le fond dans les délais fixés par la Cour. Le Requérant a soumis ses conclusions sur les réparations, auxquelles l</w:t>
      </w:r>
      <w:r w:rsidR="00A95CF8" w:rsidRPr="005470AD">
        <w:t>’</w:t>
      </w:r>
      <w:r w:rsidRPr="005470AD">
        <w:t>État défendeur n</w:t>
      </w:r>
      <w:r w:rsidR="00A95CF8" w:rsidRPr="005470AD">
        <w:t>’</w:t>
      </w:r>
      <w:r w:rsidRPr="005470AD">
        <w:t>a pas répondu, malgré les nombreuses prorogations de délais qui lui ont été accordées par la Cour à cet effet</w:t>
      </w:r>
      <w:r w:rsidR="007720C7" w:rsidRPr="005470AD">
        <w:t xml:space="preserve">. </w:t>
      </w:r>
      <w:r w:rsidR="00242D8F" w:rsidRPr="005470AD">
        <w:t xml:space="preserve">Les débats ont été clôturés le </w:t>
      </w:r>
      <w:r w:rsidR="00397718" w:rsidRPr="005470AD">
        <w:t>14 novembre</w:t>
      </w:r>
      <w:r w:rsidR="00242D8F" w:rsidRPr="005470AD">
        <w:t xml:space="preserve"> 201</w:t>
      </w:r>
      <w:r w:rsidR="00397718" w:rsidRPr="005470AD">
        <w:t>9</w:t>
      </w:r>
      <w:r w:rsidR="00242D8F" w:rsidRPr="005470AD">
        <w:t xml:space="preserve"> et les Parties en ont dûment reçu notification.</w:t>
      </w:r>
    </w:p>
    <w:p w14:paraId="161ABC43" w14:textId="77777777" w:rsidR="00242D8F" w:rsidRPr="005470AD" w:rsidRDefault="00242D8F" w:rsidP="002624E4"/>
    <w:p w14:paraId="7DC87DED" w14:textId="4AB48458" w:rsidR="00D3265B" w:rsidRPr="005470AD" w:rsidRDefault="00A10023" w:rsidP="002624E4">
      <w:pPr>
        <w:rPr>
          <w:bCs/>
          <w:sz w:val="28"/>
          <w:szCs w:val="28"/>
        </w:rPr>
      </w:pPr>
      <w:r w:rsidRPr="005470AD">
        <w:t>Les 7 octobre et 16 novembre 2022 et le 25 janvier 2023, le Requérant a été tenu de déposer des documents pertinents et spécifiques, dans un délai de trente (30) jours suivant réception desdites notifications.</w:t>
      </w:r>
      <w:r w:rsidR="00123228" w:rsidRPr="005470AD">
        <w:rPr>
          <w:rStyle w:val="FootnoteReference"/>
          <w:rFonts w:ascii="Arial" w:hAnsi="Arial" w:cs="Arial"/>
        </w:rPr>
        <w:footnoteReference w:id="3"/>
      </w:r>
      <w:r w:rsidRPr="005470AD">
        <w:t xml:space="preserve"> Il s</w:t>
      </w:r>
      <w:r w:rsidR="00A95CF8" w:rsidRPr="005470AD">
        <w:t>’</w:t>
      </w:r>
      <w:r w:rsidRPr="005470AD">
        <w:t>agit du recours en révision dans la requête pénale n° 2 de 2014 assortie de la preuve qu</w:t>
      </w:r>
      <w:r w:rsidR="00A95CF8" w:rsidRPr="005470AD">
        <w:t>’</w:t>
      </w:r>
      <w:r w:rsidRPr="005470AD">
        <w:t>il a été reçu au Greffe du tribunal concerné et signifié à l</w:t>
      </w:r>
      <w:r w:rsidR="00A95CF8" w:rsidRPr="005470AD">
        <w:t>’</w:t>
      </w:r>
      <w:r w:rsidRPr="005470AD">
        <w:t>État défendeur et de la décision de la Cour d</w:t>
      </w:r>
      <w:r w:rsidR="00A95CF8" w:rsidRPr="005470AD">
        <w:t>’</w:t>
      </w:r>
      <w:r w:rsidRPr="005470AD">
        <w:t>appel dans la requête pénale n° 8 de 2013 autorisant le dépôt de la requête en révision hors délai. Le Requérant n</w:t>
      </w:r>
      <w:r w:rsidR="00A95CF8" w:rsidRPr="005470AD">
        <w:t>’</w:t>
      </w:r>
      <w:r w:rsidRPr="005470AD">
        <w:t>y a pas donné suite.</w:t>
      </w:r>
    </w:p>
    <w:p w14:paraId="3093DC35" w14:textId="5E0EDF5A" w:rsidR="00EE0A5E" w:rsidRPr="005470AD" w:rsidRDefault="00EE0A5E" w:rsidP="002624E4">
      <w:pPr>
        <w:rPr>
          <w:color w:val="000000"/>
        </w:rPr>
      </w:pPr>
    </w:p>
    <w:p w14:paraId="7B9B75EE" w14:textId="77777777" w:rsidR="00534776" w:rsidRPr="005470AD" w:rsidRDefault="00534776" w:rsidP="002624E4">
      <w:pPr>
        <w:rPr>
          <w:color w:val="000000"/>
        </w:rPr>
      </w:pPr>
    </w:p>
    <w:p w14:paraId="13220419" w14:textId="77777777" w:rsidR="00B14B75" w:rsidRPr="005470AD" w:rsidRDefault="00B14B75" w:rsidP="002624E4">
      <w:bookmarkStart w:id="7" w:name="_Toc39148230"/>
      <w:bookmarkStart w:id="8" w:name="_Toc136592695"/>
      <w:r w:rsidRPr="005470AD">
        <w:t>DEMANDES DES PARTIES</w:t>
      </w:r>
      <w:bookmarkEnd w:id="7"/>
      <w:bookmarkEnd w:id="8"/>
    </w:p>
    <w:p w14:paraId="1B03E7D6" w14:textId="77777777" w:rsidR="00B14B75" w:rsidRPr="005470AD" w:rsidRDefault="00B14B75" w:rsidP="002624E4"/>
    <w:p w14:paraId="0C30701B" w14:textId="0A294063" w:rsidR="00B45976" w:rsidRPr="005470AD" w:rsidRDefault="00B14B75" w:rsidP="002624E4">
      <w:r w:rsidRPr="005470AD">
        <w:t xml:space="preserve">Le Requérant </w:t>
      </w:r>
      <w:r w:rsidR="00EE1BE9" w:rsidRPr="005470AD">
        <w:t>demande à</w:t>
      </w:r>
      <w:r w:rsidR="00135CEF" w:rsidRPr="005470AD">
        <w:t xml:space="preserve"> </w:t>
      </w:r>
      <w:r w:rsidR="00C9766A" w:rsidRPr="005470AD">
        <w:t xml:space="preserve">la </w:t>
      </w:r>
      <w:r w:rsidR="00EE1BE9" w:rsidRPr="005470AD">
        <w:t>Cour</w:t>
      </w:r>
      <w:r w:rsidR="00B45976" w:rsidRPr="005470AD">
        <w:t> </w:t>
      </w:r>
      <w:r w:rsidR="00C9766A" w:rsidRPr="005470AD">
        <w:t xml:space="preserve">de </w:t>
      </w:r>
      <w:r w:rsidR="00B45976" w:rsidRPr="005470AD">
        <w:t>:</w:t>
      </w:r>
    </w:p>
    <w:p w14:paraId="279838CF" w14:textId="77777777" w:rsidR="00534776" w:rsidRPr="005470AD" w:rsidRDefault="00534776" w:rsidP="002624E4"/>
    <w:p w14:paraId="6407BE86" w14:textId="3C2388FB" w:rsidR="0091598C" w:rsidRPr="005470AD" w:rsidRDefault="00E4701B" w:rsidP="002624E4">
      <w:pPr>
        <w:rPr>
          <w:bCs/>
          <w:sz w:val="22"/>
          <w:szCs w:val="22"/>
        </w:rPr>
      </w:pPr>
      <w:r w:rsidRPr="005470AD">
        <w:rPr>
          <w:bCs/>
          <w:sz w:val="22"/>
          <w:szCs w:val="22"/>
        </w:rPr>
        <w:t>D</w:t>
      </w:r>
      <w:r w:rsidR="00135CEF" w:rsidRPr="005470AD">
        <w:rPr>
          <w:bCs/>
          <w:sz w:val="22"/>
          <w:szCs w:val="22"/>
        </w:rPr>
        <w:t>ire qu</w:t>
      </w:r>
      <w:r w:rsidR="00A95CF8" w:rsidRPr="005470AD">
        <w:rPr>
          <w:bCs/>
          <w:sz w:val="22"/>
          <w:szCs w:val="22"/>
        </w:rPr>
        <w:t>’</w:t>
      </w:r>
      <w:r w:rsidR="00135CEF" w:rsidRPr="005470AD">
        <w:rPr>
          <w:bCs/>
          <w:sz w:val="22"/>
          <w:szCs w:val="22"/>
        </w:rPr>
        <w:t>elle</w:t>
      </w:r>
      <w:r w:rsidR="00B45976" w:rsidRPr="005470AD">
        <w:rPr>
          <w:bCs/>
          <w:sz w:val="22"/>
          <w:szCs w:val="22"/>
        </w:rPr>
        <w:t xml:space="preserve"> est compétente pour </w:t>
      </w:r>
      <w:r w:rsidR="004373A4" w:rsidRPr="005470AD">
        <w:rPr>
          <w:bCs/>
          <w:sz w:val="22"/>
          <w:szCs w:val="22"/>
        </w:rPr>
        <w:t xml:space="preserve">connaitre la </w:t>
      </w:r>
      <w:r w:rsidR="00251C62" w:rsidRPr="005470AD">
        <w:rPr>
          <w:bCs/>
          <w:sz w:val="22"/>
          <w:szCs w:val="22"/>
        </w:rPr>
        <w:t>R</w:t>
      </w:r>
      <w:r w:rsidR="004373A4" w:rsidRPr="005470AD">
        <w:rPr>
          <w:bCs/>
          <w:sz w:val="22"/>
          <w:szCs w:val="22"/>
        </w:rPr>
        <w:t xml:space="preserve">equête </w:t>
      </w:r>
      <w:r w:rsidR="00B45976" w:rsidRPr="005470AD">
        <w:rPr>
          <w:bCs/>
          <w:sz w:val="22"/>
          <w:szCs w:val="22"/>
        </w:rPr>
        <w:t xml:space="preserve">et </w:t>
      </w:r>
      <w:r w:rsidR="00840C1C" w:rsidRPr="005470AD">
        <w:rPr>
          <w:bCs/>
          <w:sz w:val="22"/>
          <w:szCs w:val="22"/>
        </w:rPr>
        <w:t>de dire que celle-ci</w:t>
      </w:r>
      <w:r w:rsidR="00605706" w:rsidRPr="005470AD">
        <w:rPr>
          <w:bCs/>
          <w:sz w:val="22"/>
          <w:szCs w:val="22"/>
        </w:rPr>
        <w:t xml:space="preserve"> </w:t>
      </w:r>
      <w:r w:rsidR="00B45976" w:rsidRPr="005470AD">
        <w:rPr>
          <w:bCs/>
          <w:sz w:val="22"/>
          <w:szCs w:val="22"/>
        </w:rPr>
        <w:t>remplit les conditions de recevabilité</w:t>
      </w:r>
      <w:r w:rsidR="00840C1C" w:rsidRPr="005470AD">
        <w:rPr>
          <w:bCs/>
          <w:sz w:val="22"/>
          <w:szCs w:val="22"/>
        </w:rPr>
        <w:t xml:space="preserve"> </w:t>
      </w:r>
      <w:r w:rsidR="0091598C" w:rsidRPr="005470AD">
        <w:rPr>
          <w:bCs/>
          <w:sz w:val="22"/>
          <w:szCs w:val="22"/>
        </w:rPr>
        <w:t>;</w:t>
      </w:r>
    </w:p>
    <w:p w14:paraId="327DB6B7" w14:textId="66F23414" w:rsidR="007B2BEF" w:rsidRPr="005470AD" w:rsidRDefault="00E4701B" w:rsidP="002624E4">
      <w:pPr>
        <w:rPr>
          <w:bCs/>
          <w:sz w:val="22"/>
          <w:szCs w:val="22"/>
        </w:rPr>
      </w:pPr>
      <w:r w:rsidRPr="005470AD">
        <w:rPr>
          <w:bCs/>
          <w:sz w:val="22"/>
          <w:szCs w:val="22"/>
        </w:rPr>
        <w:t>O</w:t>
      </w:r>
      <w:r w:rsidR="007B2BEF" w:rsidRPr="005470AD">
        <w:rPr>
          <w:bCs/>
          <w:sz w:val="22"/>
          <w:szCs w:val="22"/>
        </w:rPr>
        <w:t>rdonne</w:t>
      </w:r>
      <w:r w:rsidR="00605706" w:rsidRPr="005470AD">
        <w:rPr>
          <w:bCs/>
          <w:sz w:val="22"/>
          <w:szCs w:val="22"/>
        </w:rPr>
        <w:t>r</w:t>
      </w:r>
      <w:r w:rsidR="007B2BEF" w:rsidRPr="005470AD">
        <w:rPr>
          <w:bCs/>
          <w:sz w:val="22"/>
          <w:szCs w:val="22"/>
        </w:rPr>
        <w:t xml:space="preserve"> des mesures provisoire</w:t>
      </w:r>
      <w:r w:rsidR="000E62AE" w:rsidRPr="005470AD">
        <w:rPr>
          <w:bCs/>
          <w:sz w:val="22"/>
          <w:szCs w:val="22"/>
        </w:rPr>
        <w:t>s</w:t>
      </w:r>
      <w:r w:rsidR="007B2BEF" w:rsidRPr="005470AD">
        <w:rPr>
          <w:bCs/>
          <w:sz w:val="22"/>
          <w:szCs w:val="22"/>
        </w:rPr>
        <w:t xml:space="preserve"> conformément à l</w:t>
      </w:r>
      <w:r w:rsidR="00A95CF8" w:rsidRPr="005470AD">
        <w:rPr>
          <w:bCs/>
          <w:sz w:val="22"/>
          <w:szCs w:val="22"/>
        </w:rPr>
        <w:t>’</w:t>
      </w:r>
      <w:r w:rsidR="007B2BEF" w:rsidRPr="005470AD">
        <w:rPr>
          <w:bCs/>
          <w:sz w:val="22"/>
          <w:szCs w:val="22"/>
        </w:rPr>
        <w:t>article 27(2) du Protocole et l</w:t>
      </w:r>
      <w:r w:rsidR="00A95CF8" w:rsidRPr="005470AD">
        <w:rPr>
          <w:bCs/>
          <w:sz w:val="22"/>
          <w:szCs w:val="22"/>
        </w:rPr>
        <w:t>’</w:t>
      </w:r>
      <w:r w:rsidR="007B2BEF" w:rsidRPr="005470AD">
        <w:rPr>
          <w:bCs/>
          <w:sz w:val="22"/>
          <w:szCs w:val="22"/>
        </w:rPr>
        <w:t>article 51(1) du Règlement,</w:t>
      </w:r>
      <w:r w:rsidR="003D5BA7" w:rsidRPr="005470AD">
        <w:rPr>
          <w:rStyle w:val="FootnoteReference"/>
          <w:rFonts w:ascii="Arial" w:hAnsi="Arial" w:cs="Arial"/>
          <w:bCs/>
          <w:sz w:val="22"/>
          <w:szCs w:val="22"/>
        </w:rPr>
        <w:footnoteReference w:id="4"/>
      </w:r>
      <w:r w:rsidR="007B2BEF" w:rsidRPr="005470AD">
        <w:rPr>
          <w:bCs/>
          <w:sz w:val="22"/>
          <w:szCs w:val="22"/>
        </w:rPr>
        <w:t xml:space="preserve"> compte tenu de la gravité de sa situation, étant un détenu dans le couloir de la mort.</w:t>
      </w:r>
    </w:p>
    <w:p w14:paraId="1A0CDBF2" w14:textId="3F576FC7" w:rsidR="002D3A41" w:rsidRPr="005470AD" w:rsidRDefault="002D3A41" w:rsidP="002624E4">
      <w:pPr>
        <w:rPr>
          <w:sz w:val="22"/>
          <w:szCs w:val="22"/>
        </w:rPr>
      </w:pPr>
      <w:r w:rsidRPr="005470AD">
        <w:rPr>
          <w:sz w:val="22"/>
          <w:szCs w:val="22"/>
        </w:rPr>
        <w:t>Dire que l</w:t>
      </w:r>
      <w:r w:rsidR="00A95CF8" w:rsidRPr="005470AD">
        <w:rPr>
          <w:sz w:val="22"/>
          <w:szCs w:val="22"/>
        </w:rPr>
        <w:t>’</w:t>
      </w:r>
      <w:r w:rsidRPr="005470AD">
        <w:rPr>
          <w:sz w:val="22"/>
          <w:szCs w:val="22"/>
        </w:rPr>
        <w:t>État défendeur a violé ses droits protégés par les articles 7(1)(a), (c) et (d) de la Charte.</w:t>
      </w:r>
    </w:p>
    <w:p w14:paraId="7A5E979F" w14:textId="79FDB8A0" w:rsidR="002D3A41" w:rsidRPr="005470AD" w:rsidRDefault="002D3A41" w:rsidP="002624E4">
      <w:pPr>
        <w:rPr>
          <w:sz w:val="22"/>
          <w:szCs w:val="22"/>
        </w:rPr>
      </w:pPr>
      <w:r w:rsidRPr="005470AD">
        <w:rPr>
          <w:sz w:val="22"/>
          <w:szCs w:val="22"/>
        </w:rPr>
        <w:t>Ordonner à l</w:t>
      </w:r>
      <w:r w:rsidR="00A95CF8" w:rsidRPr="005470AD">
        <w:rPr>
          <w:sz w:val="22"/>
          <w:szCs w:val="22"/>
        </w:rPr>
        <w:t>’</w:t>
      </w:r>
      <w:r w:rsidRPr="005470AD">
        <w:rPr>
          <w:sz w:val="22"/>
          <w:szCs w:val="22"/>
        </w:rPr>
        <w:t>État défendeur de lui verser un montant calculé sur la base du « quantum national des revenus annuels d</w:t>
      </w:r>
      <w:r w:rsidR="00A95CF8" w:rsidRPr="005470AD">
        <w:rPr>
          <w:sz w:val="22"/>
          <w:szCs w:val="22"/>
        </w:rPr>
        <w:t>’</w:t>
      </w:r>
      <w:r w:rsidRPr="005470AD">
        <w:rPr>
          <w:sz w:val="22"/>
          <w:szCs w:val="22"/>
        </w:rPr>
        <w:t>un citoyen » à titre de réparation pour la période de son incarcération ;</w:t>
      </w:r>
    </w:p>
    <w:p w14:paraId="7FE1AB6B" w14:textId="6F7836D5" w:rsidR="00B14B75" w:rsidRPr="005470AD" w:rsidRDefault="002D3A41" w:rsidP="002624E4">
      <w:pPr>
        <w:rPr>
          <w:sz w:val="22"/>
          <w:szCs w:val="22"/>
        </w:rPr>
      </w:pPr>
      <w:r w:rsidRPr="005470AD">
        <w:rPr>
          <w:sz w:val="22"/>
          <w:szCs w:val="22"/>
        </w:rPr>
        <w:t xml:space="preserve">Ordonner </w:t>
      </w:r>
      <w:r w:rsidR="000F0BCA" w:rsidRPr="005470AD">
        <w:rPr>
          <w:sz w:val="22"/>
          <w:szCs w:val="22"/>
        </w:rPr>
        <w:t>sa remise en liberté</w:t>
      </w:r>
      <w:r w:rsidRPr="005470AD">
        <w:rPr>
          <w:sz w:val="22"/>
          <w:szCs w:val="22"/>
        </w:rPr>
        <w:t xml:space="preserve"> en guise de réparation du préjudice subi.</w:t>
      </w:r>
    </w:p>
    <w:p w14:paraId="26F82070" w14:textId="77777777" w:rsidR="009463AE" w:rsidRPr="005470AD" w:rsidRDefault="009463AE" w:rsidP="002624E4"/>
    <w:p w14:paraId="5DB634BB" w14:textId="543C0313" w:rsidR="00B14B75" w:rsidRPr="005470AD" w:rsidRDefault="004922CC" w:rsidP="002624E4">
      <w:r w:rsidRPr="005470AD">
        <w:rPr>
          <w:bCs/>
        </w:rPr>
        <w:t>En ce qui concerne</w:t>
      </w:r>
      <w:r w:rsidRPr="005470AD">
        <w:t xml:space="preserve"> la compétence et la recevabilité, l</w:t>
      </w:r>
      <w:r w:rsidR="00A95CF8" w:rsidRPr="005470AD">
        <w:t>’</w:t>
      </w:r>
      <w:r w:rsidR="00B14B75" w:rsidRPr="005470AD">
        <w:t>État défendeur demande à la Cour de :</w:t>
      </w:r>
    </w:p>
    <w:p w14:paraId="4D34BBC8" w14:textId="3DD8E49A" w:rsidR="008B7877" w:rsidRPr="005470AD" w:rsidRDefault="008B7877" w:rsidP="002624E4"/>
    <w:p w14:paraId="3EA97713" w14:textId="7364A6C5" w:rsidR="0030071E" w:rsidRPr="005470AD" w:rsidRDefault="0030071E" w:rsidP="002624E4">
      <w:pPr>
        <w:rPr>
          <w:sz w:val="22"/>
        </w:rPr>
      </w:pPr>
      <w:r w:rsidRPr="005470AD">
        <w:rPr>
          <w:sz w:val="22"/>
        </w:rPr>
        <w:t xml:space="preserve">Dire </w:t>
      </w:r>
      <w:r w:rsidR="004922CC" w:rsidRPr="005470AD">
        <w:rPr>
          <w:sz w:val="22"/>
        </w:rPr>
        <w:t xml:space="preserve">et juger </w:t>
      </w:r>
      <w:r w:rsidRPr="005470AD">
        <w:rPr>
          <w:sz w:val="22"/>
        </w:rPr>
        <w:t xml:space="preserve">que </w:t>
      </w:r>
      <w:r w:rsidR="00920842" w:rsidRPr="005470AD">
        <w:rPr>
          <w:sz w:val="22"/>
        </w:rPr>
        <w:t xml:space="preserve">la </w:t>
      </w:r>
      <w:r w:rsidRPr="005470AD">
        <w:rPr>
          <w:sz w:val="22"/>
        </w:rPr>
        <w:t>Cour n</w:t>
      </w:r>
      <w:r w:rsidR="00A95CF8" w:rsidRPr="005470AD">
        <w:rPr>
          <w:sz w:val="22"/>
        </w:rPr>
        <w:t>’</w:t>
      </w:r>
      <w:r w:rsidRPr="005470AD">
        <w:rPr>
          <w:sz w:val="22"/>
        </w:rPr>
        <w:t xml:space="preserve">est pas compétente pour connaître de la présente Requête ; </w:t>
      </w:r>
    </w:p>
    <w:p w14:paraId="18987456" w14:textId="097F3A75" w:rsidR="00BD75D1" w:rsidRPr="005470AD" w:rsidRDefault="00BD75D1" w:rsidP="002624E4">
      <w:pPr>
        <w:rPr>
          <w:sz w:val="22"/>
        </w:rPr>
      </w:pPr>
      <w:r w:rsidRPr="005470AD">
        <w:rPr>
          <w:sz w:val="22"/>
        </w:rPr>
        <w:t>Dire et juger que la Requête ne remplit pas les conditions de recevabilité prévues à l</w:t>
      </w:r>
      <w:r w:rsidR="00A95CF8" w:rsidRPr="005470AD">
        <w:rPr>
          <w:sz w:val="22"/>
        </w:rPr>
        <w:t>’</w:t>
      </w:r>
      <w:r w:rsidRPr="005470AD">
        <w:rPr>
          <w:sz w:val="22"/>
        </w:rPr>
        <w:t>article 40(5) et (6) du Règlement intérieur de la Cour</w:t>
      </w:r>
      <w:r w:rsidR="00706BDB" w:rsidRPr="005470AD">
        <w:rPr>
          <w:rStyle w:val="FootnoteReference"/>
          <w:rFonts w:ascii="Arial" w:hAnsi="Arial" w:cs="Arial"/>
          <w:sz w:val="22"/>
        </w:rPr>
        <w:footnoteReference w:id="5"/>
      </w:r>
      <w:r w:rsidRPr="005470AD">
        <w:rPr>
          <w:sz w:val="22"/>
        </w:rPr>
        <w:t xml:space="preserve"> ni ne satisfait aux conditions énoncées aux articles 56 et 6(2) du Protocole</w:t>
      </w:r>
      <w:r w:rsidR="00FD55AF" w:rsidRPr="005470AD">
        <w:rPr>
          <w:sz w:val="22"/>
        </w:rPr>
        <w:t> </w:t>
      </w:r>
      <w:r w:rsidRPr="005470AD">
        <w:rPr>
          <w:sz w:val="22"/>
        </w:rPr>
        <w:t>;</w:t>
      </w:r>
    </w:p>
    <w:p w14:paraId="6E6B434E" w14:textId="3D2DBE5E" w:rsidR="00BA44C1" w:rsidRPr="005470AD" w:rsidRDefault="00BA44C1" w:rsidP="002624E4">
      <w:pPr>
        <w:rPr>
          <w:sz w:val="22"/>
        </w:rPr>
      </w:pPr>
      <w:r w:rsidRPr="005470AD">
        <w:rPr>
          <w:sz w:val="22"/>
        </w:rPr>
        <w:t>Déclarer la Requête irrecevable ;</w:t>
      </w:r>
    </w:p>
    <w:p w14:paraId="3853CF78" w14:textId="0307A3B3" w:rsidR="00BA44C1" w:rsidRPr="005470AD" w:rsidRDefault="00BA44C1" w:rsidP="002624E4">
      <w:pPr>
        <w:rPr>
          <w:sz w:val="22"/>
        </w:rPr>
      </w:pPr>
      <w:r w:rsidRPr="005470AD">
        <w:rPr>
          <w:sz w:val="22"/>
        </w:rPr>
        <w:t xml:space="preserve">Rejeter la Requête conformément à la règle 38 du Règlement de la Cour. </w:t>
      </w:r>
    </w:p>
    <w:p w14:paraId="62B8F17D" w14:textId="2E41905F" w:rsidR="00BA44C1" w:rsidRPr="005470AD" w:rsidRDefault="00BA44C1" w:rsidP="002624E4"/>
    <w:p w14:paraId="59D90720" w14:textId="7FE6FE9D" w:rsidR="00BA44C1" w:rsidRPr="005470AD" w:rsidRDefault="00BA44C1" w:rsidP="002624E4">
      <w:r w:rsidRPr="005470AD">
        <w:rPr>
          <w:bCs/>
        </w:rPr>
        <w:t>S</w:t>
      </w:r>
      <w:r w:rsidR="00A95CF8" w:rsidRPr="005470AD">
        <w:rPr>
          <w:bCs/>
        </w:rPr>
        <w:t>’</w:t>
      </w:r>
      <w:r w:rsidRPr="005470AD">
        <w:rPr>
          <w:bCs/>
        </w:rPr>
        <w:t xml:space="preserve">agissant </w:t>
      </w:r>
      <w:r w:rsidRPr="005470AD">
        <w:t>du fond, l</w:t>
      </w:r>
      <w:r w:rsidR="00A95CF8" w:rsidRPr="005470AD">
        <w:t>’</w:t>
      </w:r>
      <w:r w:rsidRPr="005470AD">
        <w:t xml:space="preserve">État défendeur demande à la Cour de : </w:t>
      </w:r>
    </w:p>
    <w:p w14:paraId="21DB8213" w14:textId="77777777" w:rsidR="00BA44C1" w:rsidRPr="005470AD" w:rsidRDefault="00BA44C1" w:rsidP="002624E4">
      <w:pPr>
        <w:rPr>
          <w:bCs/>
        </w:rPr>
      </w:pPr>
    </w:p>
    <w:p w14:paraId="5C0A6EB0" w14:textId="141915A0" w:rsidR="00BA44C1" w:rsidRPr="005470AD" w:rsidRDefault="00C530D1" w:rsidP="002624E4">
      <w:pPr>
        <w:rPr>
          <w:bCs/>
          <w:sz w:val="22"/>
        </w:rPr>
      </w:pPr>
      <w:r w:rsidRPr="005470AD">
        <w:rPr>
          <w:bCs/>
          <w:sz w:val="22"/>
        </w:rPr>
        <w:lastRenderedPageBreak/>
        <w:t>D</w:t>
      </w:r>
      <w:r w:rsidR="00BA44C1" w:rsidRPr="005470AD">
        <w:rPr>
          <w:bCs/>
          <w:sz w:val="22"/>
        </w:rPr>
        <w:t xml:space="preserve">ire </w:t>
      </w:r>
      <w:r w:rsidR="00ED356E" w:rsidRPr="005470AD">
        <w:rPr>
          <w:bCs/>
          <w:sz w:val="22"/>
        </w:rPr>
        <w:t xml:space="preserve">et juger </w:t>
      </w:r>
      <w:r w:rsidR="00BA44C1" w:rsidRPr="005470AD">
        <w:rPr>
          <w:bCs/>
          <w:sz w:val="22"/>
        </w:rPr>
        <w:t>qu</w:t>
      </w:r>
      <w:r w:rsidR="0077708C" w:rsidRPr="005470AD">
        <w:rPr>
          <w:bCs/>
          <w:sz w:val="22"/>
        </w:rPr>
        <w:t xml:space="preserve">e </w:t>
      </w:r>
      <w:r w:rsidR="00BA44C1" w:rsidRPr="005470AD">
        <w:rPr>
          <w:bCs/>
          <w:sz w:val="22"/>
        </w:rPr>
        <w:t>le Requérant</w:t>
      </w:r>
      <w:r w:rsidR="0077708C" w:rsidRPr="005470AD">
        <w:rPr>
          <w:bCs/>
          <w:sz w:val="22"/>
        </w:rPr>
        <w:t xml:space="preserve"> a été condamné </w:t>
      </w:r>
      <w:r w:rsidR="00F07200" w:rsidRPr="005470AD">
        <w:rPr>
          <w:bCs/>
          <w:sz w:val="22"/>
        </w:rPr>
        <w:t>…</w:t>
      </w:r>
      <w:r w:rsidR="00BA44C1" w:rsidRPr="005470AD">
        <w:rPr>
          <w:bCs/>
          <w:sz w:val="22"/>
        </w:rPr>
        <w:t xml:space="preserve"> sur la base de la</w:t>
      </w:r>
      <w:r w:rsidR="00D675D0" w:rsidRPr="005470AD">
        <w:rPr>
          <w:bCs/>
          <w:sz w:val="22"/>
        </w:rPr>
        <w:t xml:space="preserve"> </w:t>
      </w:r>
      <w:r w:rsidR="00BA44C1" w:rsidRPr="005470AD">
        <w:rPr>
          <w:bCs/>
          <w:sz w:val="22"/>
        </w:rPr>
        <w:t xml:space="preserve">déclaration extrajudiciaire faite volontairement devant un juge de paix ; </w:t>
      </w:r>
    </w:p>
    <w:p w14:paraId="51A8FAF6" w14:textId="7C7026DF" w:rsidR="00BA44C1" w:rsidRPr="005470AD" w:rsidRDefault="00C530D1" w:rsidP="002624E4">
      <w:pPr>
        <w:rPr>
          <w:bCs/>
          <w:sz w:val="22"/>
        </w:rPr>
      </w:pPr>
      <w:r w:rsidRPr="005470AD">
        <w:rPr>
          <w:bCs/>
          <w:sz w:val="22"/>
        </w:rPr>
        <w:t>D</w:t>
      </w:r>
      <w:r w:rsidR="005B6315" w:rsidRPr="005470AD">
        <w:rPr>
          <w:bCs/>
          <w:sz w:val="22"/>
        </w:rPr>
        <w:t xml:space="preserve">ire </w:t>
      </w:r>
      <w:r w:rsidR="00ED356E" w:rsidRPr="005470AD">
        <w:rPr>
          <w:bCs/>
          <w:sz w:val="22"/>
        </w:rPr>
        <w:t xml:space="preserve">et juger </w:t>
      </w:r>
      <w:r w:rsidR="00436FC8" w:rsidRPr="005470AD">
        <w:rPr>
          <w:bCs/>
          <w:sz w:val="22"/>
        </w:rPr>
        <w:t xml:space="preserve">que </w:t>
      </w:r>
      <w:r w:rsidR="0077708C" w:rsidRPr="005470AD">
        <w:rPr>
          <w:bCs/>
          <w:sz w:val="22"/>
        </w:rPr>
        <w:t xml:space="preserve">le </w:t>
      </w:r>
      <w:r w:rsidR="00436FC8" w:rsidRPr="005470AD">
        <w:rPr>
          <w:bCs/>
          <w:sz w:val="22"/>
        </w:rPr>
        <w:t>R</w:t>
      </w:r>
      <w:r w:rsidR="005B6315" w:rsidRPr="005470AD">
        <w:rPr>
          <w:bCs/>
          <w:sz w:val="22"/>
        </w:rPr>
        <w:t>equérant n</w:t>
      </w:r>
      <w:r w:rsidR="00A95CF8" w:rsidRPr="005470AD">
        <w:rPr>
          <w:bCs/>
          <w:sz w:val="22"/>
        </w:rPr>
        <w:t>’</w:t>
      </w:r>
      <w:r w:rsidR="005B6315" w:rsidRPr="005470AD">
        <w:rPr>
          <w:bCs/>
          <w:sz w:val="22"/>
        </w:rPr>
        <w:t xml:space="preserve">a pas été torturé ni </w:t>
      </w:r>
      <w:r w:rsidR="00992017" w:rsidRPr="005470AD">
        <w:rPr>
          <w:bCs/>
          <w:sz w:val="22"/>
        </w:rPr>
        <w:t xml:space="preserve">contraint </w:t>
      </w:r>
      <w:r w:rsidR="005B6315" w:rsidRPr="005470AD">
        <w:rPr>
          <w:bCs/>
          <w:sz w:val="22"/>
        </w:rPr>
        <w:t>par la</w:t>
      </w:r>
      <w:r w:rsidR="00670033" w:rsidRPr="005470AD">
        <w:rPr>
          <w:bCs/>
          <w:sz w:val="22"/>
        </w:rPr>
        <w:t xml:space="preserve"> police à faire </w:t>
      </w:r>
      <w:r w:rsidRPr="005470AD">
        <w:rPr>
          <w:bCs/>
          <w:sz w:val="22"/>
        </w:rPr>
        <w:t xml:space="preserve">de </w:t>
      </w:r>
      <w:r w:rsidR="00670033" w:rsidRPr="005470AD">
        <w:rPr>
          <w:bCs/>
          <w:sz w:val="22"/>
        </w:rPr>
        <w:t>déclaration ;</w:t>
      </w:r>
    </w:p>
    <w:p w14:paraId="24770850" w14:textId="4D78CD69" w:rsidR="00BA44C1" w:rsidRPr="005470AD" w:rsidRDefault="00C530D1" w:rsidP="002624E4">
      <w:pPr>
        <w:rPr>
          <w:bCs/>
          <w:sz w:val="22"/>
        </w:rPr>
      </w:pPr>
      <w:r w:rsidRPr="005470AD">
        <w:rPr>
          <w:bCs/>
          <w:sz w:val="22"/>
        </w:rPr>
        <w:t>D</w:t>
      </w:r>
      <w:r w:rsidR="00BA44C1" w:rsidRPr="005470AD">
        <w:rPr>
          <w:bCs/>
          <w:sz w:val="22"/>
        </w:rPr>
        <w:t xml:space="preserve">ire </w:t>
      </w:r>
      <w:r w:rsidR="00ED356E" w:rsidRPr="005470AD">
        <w:rPr>
          <w:bCs/>
          <w:sz w:val="22"/>
        </w:rPr>
        <w:t xml:space="preserve">et juger </w:t>
      </w:r>
      <w:r w:rsidR="00BA44C1" w:rsidRPr="005470AD">
        <w:rPr>
          <w:bCs/>
          <w:sz w:val="22"/>
        </w:rPr>
        <w:t>qu</w:t>
      </w:r>
      <w:r w:rsidR="00A95CF8" w:rsidRPr="005470AD">
        <w:rPr>
          <w:bCs/>
          <w:sz w:val="22"/>
        </w:rPr>
        <w:t>’</w:t>
      </w:r>
      <w:r w:rsidR="008C6928" w:rsidRPr="005470AD">
        <w:rPr>
          <w:bCs/>
          <w:sz w:val="22"/>
        </w:rPr>
        <w:t xml:space="preserve">il </w:t>
      </w:r>
      <w:r w:rsidR="00BA44C1" w:rsidRPr="005470AD">
        <w:rPr>
          <w:bCs/>
          <w:sz w:val="22"/>
        </w:rPr>
        <w:t>n</w:t>
      </w:r>
      <w:r w:rsidR="00A95CF8" w:rsidRPr="005470AD">
        <w:rPr>
          <w:bCs/>
          <w:sz w:val="22"/>
        </w:rPr>
        <w:t>’</w:t>
      </w:r>
      <w:r w:rsidR="00BA44C1" w:rsidRPr="005470AD">
        <w:rPr>
          <w:bCs/>
          <w:sz w:val="22"/>
        </w:rPr>
        <w:t>a pas violé l</w:t>
      </w:r>
      <w:r w:rsidR="00A95CF8" w:rsidRPr="005470AD">
        <w:rPr>
          <w:bCs/>
          <w:sz w:val="22"/>
        </w:rPr>
        <w:t>’</w:t>
      </w:r>
      <w:r w:rsidR="00BA44C1" w:rsidRPr="005470AD">
        <w:rPr>
          <w:bCs/>
          <w:sz w:val="22"/>
        </w:rPr>
        <w:t>article 7(1)(a) et (d) de la Charte</w:t>
      </w:r>
      <w:r w:rsidR="00AD7BF5" w:rsidRPr="005470AD">
        <w:rPr>
          <w:bCs/>
          <w:sz w:val="22"/>
        </w:rPr>
        <w:t xml:space="preserve"> </w:t>
      </w:r>
      <w:r w:rsidR="00BA44C1" w:rsidRPr="005470AD">
        <w:rPr>
          <w:bCs/>
          <w:sz w:val="22"/>
        </w:rPr>
        <w:t xml:space="preserve">; </w:t>
      </w:r>
    </w:p>
    <w:p w14:paraId="0DAB67B3" w14:textId="402A116B" w:rsidR="00BA44C1" w:rsidRPr="005470AD" w:rsidRDefault="00BA44C1" w:rsidP="002624E4">
      <w:pPr>
        <w:rPr>
          <w:bCs/>
          <w:sz w:val="22"/>
        </w:rPr>
      </w:pPr>
      <w:r w:rsidRPr="005470AD">
        <w:rPr>
          <w:bCs/>
          <w:sz w:val="22"/>
        </w:rPr>
        <w:t xml:space="preserve">Dire et juger </w:t>
      </w:r>
      <w:r w:rsidR="008C6928" w:rsidRPr="005470AD">
        <w:rPr>
          <w:bCs/>
          <w:sz w:val="22"/>
        </w:rPr>
        <w:t>qu</w:t>
      </w:r>
      <w:r w:rsidR="00A95CF8" w:rsidRPr="005470AD">
        <w:rPr>
          <w:bCs/>
          <w:sz w:val="22"/>
        </w:rPr>
        <w:t>’</w:t>
      </w:r>
      <w:r w:rsidR="008C6928" w:rsidRPr="005470AD">
        <w:rPr>
          <w:bCs/>
          <w:sz w:val="22"/>
        </w:rPr>
        <w:t>il</w:t>
      </w:r>
      <w:r w:rsidRPr="005470AD">
        <w:rPr>
          <w:bCs/>
          <w:sz w:val="22"/>
        </w:rPr>
        <w:t xml:space="preserve"> n</w:t>
      </w:r>
      <w:r w:rsidR="00A95CF8" w:rsidRPr="005470AD">
        <w:rPr>
          <w:bCs/>
          <w:sz w:val="22"/>
        </w:rPr>
        <w:t>’</w:t>
      </w:r>
      <w:r w:rsidRPr="005470AD">
        <w:rPr>
          <w:bCs/>
          <w:sz w:val="22"/>
        </w:rPr>
        <w:t xml:space="preserve">a pas violé </w:t>
      </w:r>
      <w:r w:rsidR="00363DF8" w:rsidRPr="005470AD">
        <w:rPr>
          <w:bCs/>
          <w:sz w:val="22"/>
        </w:rPr>
        <w:t>les articles</w:t>
      </w:r>
      <w:r w:rsidRPr="005470AD">
        <w:rPr>
          <w:bCs/>
          <w:sz w:val="22"/>
        </w:rPr>
        <w:t xml:space="preserve"> 13(6)</w:t>
      </w:r>
      <w:r w:rsidR="00496885" w:rsidRPr="005470AD">
        <w:rPr>
          <w:bCs/>
          <w:sz w:val="22"/>
        </w:rPr>
        <w:t xml:space="preserve"> et</w:t>
      </w:r>
      <w:r w:rsidRPr="005470AD">
        <w:rPr>
          <w:bCs/>
          <w:sz w:val="22"/>
        </w:rPr>
        <w:t xml:space="preserve"> </w:t>
      </w:r>
      <w:r w:rsidR="00496885" w:rsidRPr="005470AD">
        <w:rPr>
          <w:bCs/>
          <w:sz w:val="22"/>
        </w:rPr>
        <w:t xml:space="preserve">107A(2)(b) </w:t>
      </w:r>
      <w:r w:rsidRPr="005470AD">
        <w:rPr>
          <w:bCs/>
          <w:sz w:val="22"/>
        </w:rPr>
        <w:t xml:space="preserve">de la Constitution de la République-Unie de Tanzanie </w:t>
      </w:r>
      <w:r w:rsidR="00496885" w:rsidRPr="005470AD">
        <w:rPr>
          <w:bCs/>
          <w:sz w:val="22"/>
        </w:rPr>
        <w:t>daté</w:t>
      </w:r>
      <w:r w:rsidR="00A13E16" w:rsidRPr="005470AD">
        <w:rPr>
          <w:bCs/>
          <w:sz w:val="22"/>
        </w:rPr>
        <w:t>e</w:t>
      </w:r>
      <w:r w:rsidR="00496885" w:rsidRPr="005470AD">
        <w:rPr>
          <w:bCs/>
          <w:sz w:val="22"/>
        </w:rPr>
        <w:t xml:space="preserve"> </w:t>
      </w:r>
      <w:r w:rsidRPr="005470AD">
        <w:rPr>
          <w:bCs/>
          <w:sz w:val="22"/>
        </w:rPr>
        <w:t xml:space="preserve">de 1977 ; </w:t>
      </w:r>
    </w:p>
    <w:p w14:paraId="64285999" w14:textId="7791333B" w:rsidR="00777C8A" w:rsidRPr="005470AD" w:rsidRDefault="00AD7BF5" w:rsidP="002624E4">
      <w:pPr>
        <w:rPr>
          <w:bCs/>
          <w:sz w:val="22"/>
        </w:rPr>
      </w:pPr>
      <w:r w:rsidRPr="005470AD">
        <w:rPr>
          <w:bCs/>
          <w:sz w:val="22"/>
        </w:rPr>
        <w:t>R</w:t>
      </w:r>
      <w:r w:rsidR="00777C8A" w:rsidRPr="005470AD">
        <w:rPr>
          <w:bCs/>
          <w:sz w:val="22"/>
        </w:rPr>
        <w:t xml:space="preserve">ejeter la Requête comme étant non fondée ; </w:t>
      </w:r>
    </w:p>
    <w:p w14:paraId="7F0FE5B6" w14:textId="18676049" w:rsidR="00777C8A" w:rsidRPr="005470AD" w:rsidRDefault="00AD7BF5" w:rsidP="002624E4">
      <w:pPr>
        <w:rPr>
          <w:bCs/>
          <w:sz w:val="22"/>
        </w:rPr>
      </w:pPr>
      <w:r w:rsidRPr="005470AD">
        <w:rPr>
          <w:bCs/>
          <w:sz w:val="22"/>
        </w:rPr>
        <w:t xml:space="preserve">Rejeter </w:t>
      </w:r>
      <w:r w:rsidR="00777C8A" w:rsidRPr="005470AD">
        <w:rPr>
          <w:bCs/>
          <w:sz w:val="22"/>
        </w:rPr>
        <w:t xml:space="preserve">les demandes formulées par le Requérant ; </w:t>
      </w:r>
    </w:p>
    <w:p w14:paraId="3EF9A685" w14:textId="50E5A21E" w:rsidR="00BA44C1" w:rsidRPr="005470AD" w:rsidRDefault="00AD7BF5" w:rsidP="002624E4">
      <w:pPr>
        <w:rPr>
          <w:bCs/>
          <w:sz w:val="22"/>
        </w:rPr>
      </w:pPr>
      <w:r w:rsidRPr="005470AD">
        <w:rPr>
          <w:bCs/>
          <w:sz w:val="22"/>
        </w:rPr>
        <w:t xml:space="preserve">Mettre </w:t>
      </w:r>
      <w:r w:rsidR="00777C8A" w:rsidRPr="005470AD">
        <w:rPr>
          <w:bCs/>
          <w:sz w:val="22"/>
        </w:rPr>
        <w:t xml:space="preserve">les frais de procédures de la présente Requête à la charge du Requérant. </w:t>
      </w:r>
    </w:p>
    <w:p w14:paraId="0BD962A9" w14:textId="77777777" w:rsidR="00D3265B" w:rsidRPr="005470AD" w:rsidRDefault="00D3265B" w:rsidP="002624E4">
      <w:pPr>
        <w:rPr>
          <w:bCs/>
        </w:rPr>
      </w:pPr>
    </w:p>
    <w:p w14:paraId="19CCEF88" w14:textId="77777777" w:rsidR="00B14B75" w:rsidRPr="005470AD" w:rsidRDefault="00B14B75" w:rsidP="002624E4"/>
    <w:p w14:paraId="660E0540" w14:textId="77777777" w:rsidR="00B14B75" w:rsidRPr="005470AD" w:rsidRDefault="00B14B75" w:rsidP="002624E4">
      <w:bookmarkStart w:id="9" w:name="_Toc136592696"/>
      <w:r w:rsidRPr="005470AD">
        <w:t>SUR LA COMPÉTENCE</w:t>
      </w:r>
      <w:bookmarkEnd w:id="9"/>
    </w:p>
    <w:p w14:paraId="42EC6814" w14:textId="77777777" w:rsidR="00B14B75" w:rsidRPr="005470AD" w:rsidRDefault="00B14B75" w:rsidP="002624E4"/>
    <w:p w14:paraId="02619C77" w14:textId="5982106C" w:rsidR="00B14B75" w:rsidRPr="005470AD" w:rsidRDefault="00B14B75" w:rsidP="002624E4">
      <w:pPr>
        <w:rPr>
          <w:bCs/>
        </w:rPr>
      </w:pPr>
      <w:r w:rsidRPr="005470AD">
        <w:t>La Cour observe que l</w:t>
      </w:r>
      <w:r w:rsidR="00A95CF8" w:rsidRPr="005470AD">
        <w:t>’</w:t>
      </w:r>
      <w:r w:rsidRPr="005470AD">
        <w:t>article 3 du Protocole dispose :</w:t>
      </w:r>
    </w:p>
    <w:p w14:paraId="4BEF8BDB" w14:textId="77777777" w:rsidR="009A3D86" w:rsidRPr="005470AD" w:rsidRDefault="009A3D86" w:rsidP="002624E4">
      <w:pPr>
        <w:rPr>
          <w:bCs/>
        </w:rPr>
      </w:pPr>
    </w:p>
    <w:p w14:paraId="133834A5" w14:textId="7401B928" w:rsidR="003E5AA5" w:rsidRPr="005470AD" w:rsidRDefault="00B14B75" w:rsidP="002624E4">
      <w:pPr>
        <w:rPr>
          <w:bCs/>
          <w:sz w:val="22"/>
          <w:szCs w:val="22"/>
        </w:rPr>
      </w:pPr>
      <w:r w:rsidRPr="005470AD">
        <w:rPr>
          <w:sz w:val="22"/>
        </w:rPr>
        <w:t>La Cour a compétence pour connaître de toutes les affaires et de tous les différends dont elle est saisie concernant l</w:t>
      </w:r>
      <w:r w:rsidR="00A95CF8" w:rsidRPr="005470AD">
        <w:rPr>
          <w:sz w:val="22"/>
        </w:rPr>
        <w:t>’</w:t>
      </w:r>
      <w:r w:rsidRPr="005470AD">
        <w:rPr>
          <w:sz w:val="22"/>
        </w:rPr>
        <w:t>interprétation et l</w:t>
      </w:r>
      <w:r w:rsidR="00A95CF8" w:rsidRPr="005470AD">
        <w:rPr>
          <w:sz w:val="22"/>
        </w:rPr>
        <w:t>’</w:t>
      </w:r>
      <w:r w:rsidRPr="005470AD">
        <w:rPr>
          <w:sz w:val="22"/>
        </w:rPr>
        <w:t>application de la Charte, du […] Protocole, et de tout autre instrument pertinent relatif aux droits de l</w:t>
      </w:r>
      <w:r w:rsidR="00A95CF8" w:rsidRPr="005470AD">
        <w:rPr>
          <w:sz w:val="22"/>
        </w:rPr>
        <w:t>’</w:t>
      </w:r>
      <w:r w:rsidRPr="005470AD">
        <w:rPr>
          <w:sz w:val="22"/>
        </w:rPr>
        <w:t>homme et ratifié par les États concernés.</w:t>
      </w:r>
    </w:p>
    <w:p w14:paraId="4D8454DB" w14:textId="17F0FD75" w:rsidR="00B14B75" w:rsidRPr="005470AD" w:rsidRDefault="00B14B75" w:rsidP="002624E4">
      <w:pPr>
        <w:rPr>
          <w:bCs/>
          <w:sz w:val="22"/>
          <w:szCs w:val="22"/>
        </w:rPr>
      </w:pPr>
      <w:r w:rsidRPr="005470AD">
        <w:rPr>
          <w:sz w:val="22"/>
        </w:rPr>
        <w:t>En cas de contestation sur le point de savoir si la Cour est compétente, la Cour décide.</w:t>
      </w:r>
    </w:p>
    <w:p w14:paraId="68B8238F" w14:textId="77777777" w:rsidR="00B14B75" w:rsidRPr="005470AD" w:rsidRDefault="00B14B75" w:rsidP="002624E4">
      <w:pPr>
        <w:rPr>
          <w:bCs/>
          <w:sz w:val="22"/>
          <w:szCs w:val="22"/>
        </w:rPr>
      </w:pPr>
    </w:p>
    <w:p w14:paraId="16C658A2" w14:textId="233DD334" w:rsidR="00B14B75" w:rsidRPr="005470AD" w:rsidRDefault="00B14B75" w:rsidP="002624E4">
      <w:pPr>
        <w:rPr>
          <w:bCs/>
        </w:rPr>
      </w:pPr>
      <w:r w:rsidRPr="005470AD">
        <w:t xml:space="preserve">Aux termes de la règle 49(1) du Règlement, </w:t>
      </w:r>
      <w:r w:rsidR="004922CC" w:rsidRPr="005470AD">
        <w:t>« </w:t>
      </w:r>
      <w:r w:rsidRPr="005470AD">
        <w:t xml:space="preserve">la Cour procède à un examen préliminaire de sa compétence … conformément à la Charte, au Protocole et au </w:t>
      </w:r>
      <w:r w:rsidR="004922CC" w:rsidRPr="005470AD">
        <w:t xml:space="preserve">[…] </w:t>
      </w:r>
      <w:r w:rsidRPr="005470AD">
        <w:t xml:space="preserve">Règlement ». </w:t>
      </w:r>
    </w:p>
    <w:p w14:paraId="5242FE8A" w14:textId="77777777" w:rsidR="00B14B75" w:rsidRPr="005470AD" w:rsidRDefault="00B14B75" w:rsidP="002624E4">
      <w:pPr>
        <w:rPr>
          <w:bCs/>
        </w:rPr>
      </w:pPr>
    </w:p>
    <w:p w14:paraId="6F2BDD1B" w14:textId="5498EE17" w:rsidR="00B14B75" w:rsidRPr="005470AD" w:rsidRDefault="00B14B75" w:rsidP="002624E4">
      <w:pPr>
        <w:rPr>
          <w:bCs/>
        </w:rPr>
      </w:pPr>
      <w:r w:rsidRPr="005470AD">
        <w:rPr>
          <w:bCs/>
        </w:rPr>
        <w:t>Sur le</w:t>
      </w:r>
      <w:r w:rsidRPr="005470AD">
        <w:t xml:space="preserve"> fondement des dispositions susmentionnées, la Cour doit, </w:t>
      </w:r>
      <w:r w:rsidR="004922CC" w:rsidRPr="005470AD">
        <w:t>dans chaque requête</w:t>
      </w:r>
      <w:r w:rsidRPr="005470AD">
        <w:t>, procéder à un examen de sa compétence et statuer sur les exceptions d</w:t>
      </w:r>
      <w:r w:rsidR="00A95CF8" w:rsidRPr="005470AD">
        <w:t>’</w:t>
      </w:r>
      <w:r w:rsidRPr="005470AD">
        <w:t>incompétence qui s</w:t>
      </w:r>
      <w:r w:rsidR="00A95CF8" w:rsidRPr="005470AD">
        <w:t>’</w:t>
      </w:r>
      <w:r w:rsidRPr="005470AD">
        <w:t>y rapportent, le cas échéant.</w:t>
      </w:r>
    </w:p>
    <w:p w14:paraId="20BF12E3" w14:textId="77777777" w:rsidR="007C1E7B" w:rsidRPr="005470AD" w:rsidRDefault="007C1E7B" w:rsidP="002624E4">
      <w:pPr>
        <w:rPr>
          <w:bCs/>
        </w:rPr>
      </w:pPr>
    </w:p>
    <w:p w14:paraId="3CAE8C39" w14:textId="286BF11F" w:rsidR="003E5AA5" w:rsidRPr="005470AD" w:rsidRDefault="003A08E7" w:rsidP="002624E4">
      <w:r w:rsidRPr="005470AD">
        <w:t xml:space="preserve">La Cour </w:t>
      </w:r>
      <w:r w:rsidR="004922CC" w:rsidRPr="005470AD">
        <w:t xml:space="preserve">note </w:t>
      </w:r>
      <w:r w:rsidRPr="005470AD">
        <w:t>que l</w:t>
      </w:r>
      <w:r w:rsidR="00A95CF8" w:rsidRPr="005470AD">
        <w:t>’</w:t>
      </w:r>
      <w:r w:rsidRPr="005470AD">
        <w:t>État défendeur soulève une exception d</w:t>
      </w:r>
      <w:r w:rsidR="00A95CF8" w:rsidRPr="005470AD">
        <w:t>’</w:t>
      </w:r>
      <w:r w:rsidRPr="005470AD">
        <w:t>incompétence matérielle en l</w:t>
      </w:r>
      <w:r w:rsidR="00A95CF8" w:rsidRPr="005470AD">
        <w:t>’</w:t>
      </w:r>
      <w:r w:rsidRPr="005470AD">
        <w:t xml:space="preserve">espèce. La Cour </w:t>
      </w:r>
      <w:r w:rsidR="004E6747" w:rsidRPr="005470AD">
        <w:t>statuera sur</w:t>
      </w:r>
      <w:r w:rsidR="004922CC" w:rsidRPr="005470AD">
        <w:t xml:space="preserve"> </w:t>
      </w:r>
      <w:r w:rsidRPr="005470AD">
        <w:t xml:space="preserve">cette exception </w:t>
      </w:r>
      <w:r w:rsidR="004922CC" w:rsidRPr="005470AD">
        <w:t>(</w:t>
      </w:r>
      <w:r w:rsidR="000F5166" w:rsidRPr="005470AD">
        <w:t>A</w:t>
      </w:r>
      <w:r w:rsidR="004922CC" w:rsidRPr="005470AD">
        <w:t xml:space="preserve">) </w:t>
      </w:r>
      <w:r w:rsidRPr="005470AD">
        <w:t>avant d</w:t>
      </w:r>
      <w:r w:rsidR="00A95CF8" w:rsidRPr="005470AD">
        <w:t>’</w:t>
      </w:r>
      <w:r w:rsidR="004922CC" w:rsidRPr="005470AD">
        <w:t>examiner</w:t>
      </w:r>
      <w:r w:rsidR="008C6928" w:rsidRPr="005470AD">
        <w:t>, si nécessaire,</w:t>
      </w:r>
      <w:r w:rsidRPr="005470AD">
        <w:t xml:space="preserve"> les autres aspects de sa compétence</w:t>
      </w:r>
      <w:r w:rsidR="00804A34" w:rsidRPr="005470AD">
        <w:t xml:space="preserve"> (</w:t>
      </w:r>
      <w:r w:rsidR="000F5166" w:rsidRPr="005470AD">
        <w:t>B</w:t>
      </w:r>
      <w:r w:rsidR="00804A34" w:rsidRPr="005470AD">
        <w:t>)</w:t>
      </w:r>
      <w:r w:rsidRPr="005470AD">
        <w:t>.</w:t>
      </w:r>
    </w:p>
    <w:p w14:paraId="4882F5B4" w14:textId="51016B2A" w:rsidR="00EF5839" w:rsidRPr="005470AD" w:rsidRDefault="00EF5839" w:rsidP="002624E4"/>
    <w:p w14:paraId="4565126C" w14:textId="5BC2BEC6" w:rsidR="00B14B75" w:rsidRPr="005470AD" w:rsidRDefault="005C1EEC" w:rsidP="002624E4">
      <w:bookmarkStart w:id="10" w:name="_Toc4589343"/>
      <w:bookmarkStart w:id="11" w:name="_Toc17890833"/>
      <w:bookmarkStart w:id="12" w:name="_Toc18508025"/>
      <w:bookmarkStart w:id="13" w:name="_Toc36174910"/>
      <w:bookmarkStart w:id="14" w:name="_Toc36201053"/>
      <w:bookmarkStart w:id="15" w:name="_Toc36202440"/>
      <w:bookmarkStart w:id="16" w:name="_Toc136592697"/>
      <w:r w:rsidRPr="005470AD">
        <w:t>Sur l’e</w:t>
      </w:r>
      <w:r w:rsidR="00B14B75" w:rsidRPr="005470AD">
        <w:t>xception d</w:t>
      </w:r>
      <w:r w:rsidR="00A95CF8" w:rsidRPr="005470AD">
        <w:t>’</w:t>
      </w:r>
      <w:r w:rsidR="00B14B75" w:rsidRPr="005470AD">
        <w:t>incompétence matérielle</w:t>
      </w:r>
      <w:bookmarkEnd w:id="10"/>
      <w:bookmarkEnd w:id="11"/>
      <w:bookmarkEnd w:id="12"/>
      <w:bookmarkEnd w:id="13"/>
      <w:bookmarkEnd w:id="14"/>
      <w:bookmarkEnd w:id="15"/>
      <w:bookmarkEnd w:id="16"/>
      <w:r w:rsidR="00B14B75" w:rsidRPr="005470AD">
        <w:t xml:space="preserve"> </w:t>
      </w:r>
    </w:p>
    <w:p w14:paraId="5180A204" w14:textId="77777777" w:rsidR="00B14B75" w:rsidRPr="005470AD" w:rsidRDefault="00B14B75" w:rsidP="002624E4"/>
    <w:p w14:paraId="1ACC6AB8" w14:textId="0859D2A3" w:rsidR="00B0331F" w:rsidRPr="005470AD" w:rsidRDefault="009525CD" w:rsidP="002624E4">
      <w:pPr>
        <w:rPr>
          <w:bCs/>
        </w:rPr>
      </w:pPr>
      <w:r w:rsidRPr="005470AD">
        <w:t>Citant l</w:t>
      </w:r>
      <w:r w:rsidR="00A95CF8" w:rsidRPr="005470AD">
        <w:t>’</w:t>
      </w:r>
      <w:r w:rsidRPr="005470AD">
        <w:rPr>
          <w:i/>
        </w:rPr>
        <w:t>affaire Ernest Francis Mtingwi c. Malawi</w:t>
      </w:r>
      <w:r w:rsidRPr="005470AD">
        <w:t>, l</w:t>
      </w:r>
      <w:r w:rsidR="00A95CF8" w:rsidRPr="005470AD">
        <w:t>’</w:t>
      </w:r>
      <w:r w:rsidRPr="005470AD">
        <w:t>État défendeur soutient que la Cour n</w:t>
      </w:r>
      <w:r w:rsidR="00A95CF8" w:rsidRPr="005470AD">
        <w:t>’</w:t>
      </w:r>
      <w:r w:rsidRPr="005470AD">
        <w:t>a pas compétence pour examiner</w:t>
      </w:r>
      <w:r w:rsidR="004922CC" w:rsidRPr="005470AD">
        <w:t>, en appel,</w:t>
      </w:r>
      <w:r w:rsidRPr="005470AD">
        <w:t xml:space="preserve"> les questions qui ont été tranchées de manière définitive par la Cour d</w:t>
      </w:r>
      <w:r w:rsidR="00A95CF8" w:rsidRPr="005470AD">
        <w:t>’</w:t>
      </w:r>
      <w:r w:rsidRPr="005470AD">
        <w:t>appel de Tanzanie, en l</w:t>
      </w:r>
      <w:r w:rsidR="00A95CF8" w:rsidRPr="005470AD">
        <w:t>’</w:t>
      </w:r>
      <w:r w:rsidRPr="005470AD">
        <w:t>occurrence l</w:t>
      </w:r>
      <w:r w:rsidR="00A95CF8" w:rsidRPr="005470AD">
        <w:t>’</w:t>
      </w:r>
      <w:r w:rsidRPr="005470AD">
        <w:t>admission d</w:t>
      </w:r>
      <w:r w:rsidR="00A95CF8" w:rsidRPr="005470AD">
        <w:t>’</w:t>
      </w:r>
      <w:r w:rsidRPr="005470AD">
        <w:t xml:space="preserve">une déclaration extrajudiciaire comme élément de preuve. En outre, </w:t>
      </w:r>
      <w:r w:rsidR="008C6928" w:rsidRPr="005470AD">
        <w:t>il</w:t>
      </w:r>
      <w:r w:rsidRPr="005470AD">
        <w:t xml:space="preserve"> fait valoir que la Cour n</w:t>
      </w:r>
      <w:r w:rsidR="00A95CF8" w:rsidRPr="005470AD">
        <w:t>’</w:t>
      </w:r>
      <w:r w:rsidRPr="005470AD">
        <w:t>est pas compétente pour annuler la condamnation et ordonner la remise en liberté du Requérant. L</w:t>
      </w:r>
      <w:r w:rsidR="00A95CF8" w:rsidRPr="005470AD">
        <w:t>’</w:t>
      </w:r>
      <w:r w:rsidRPr="005470AD">
        <w:t>État défendeur soutient également que la Requête ne soulève aucune question relative à l</w:t>
      </w:r>
      <w:r w:rsidR="00A95CF8" w:rsidRPr="005470AD">
        <w:t>’</w:t>
      </w:r>
      <w:r w:rsidRPr="005470AD">
        <w:t>interprétation de la Charte, du Protocole ou des instruments pertinents relatifs aux droits de l</w:t>
      </w:r>
      <w:r w:rsidR="00A95CF8" w:rsidRPr="005470AD">
        <w:t>’</w:t>
      </w:r>
      <w:r w:rsidRPr="005470AD">
        <w:t>homme ratifiés par la Tanzanie, mais qu</w:t>
      </w:r>
      <w:r w:rsidR="00A95CF8" w:rsidRPr="005470AD">
        <w:t>’</w:t>
      </w:r>
      <w:r w:rsidRPr="005470AD">
        <w:t>elle soulève plutôt des problèmes d</w:t>
      </w:r>
      <w:r w:rsidR="00A95CF8" w:rsidRPr="005470AD">
        <w:t>’</w:t>
      </w:r>
      <w:r w:rsidRPr="005470AD">
        <w:t xml:space="preserve">ordre juridique liés aux éléments de preuve examinés par les juridictions internes. </w:t>
      </w:r>
    </w:p>
    <w:p w14:paraId="78FE32F1" w14:textId="4F5ED932" w:rsidR="009525CD" w:rsidRPr="005470AD" w:rsidRDefault="009525CD" w:rsidP="002624E4">
      <w:pPr>
        <w:rPr>
          <w:bCs/>
        </w:rPr>
      </w:pPr>
    </w:p>
    <w:p w14:paraId="4271C409" w14:textId="68B5CCAB" w:rsidR="00B0331F" w:rsidRPr="005470AD" w:rsidRDefault="00B0331F" w:rsidP="002624E4">
      <w:r w:rsidRPr="005470AD">
        <w:t xml:space="preserve">Le Requérant </w:t>
      </w:r>
      <w:r w:rsidR="00592575" w:rsidRPr="005470AD">
        <w:t xml:space="preserve">conclut au </w:t>
      </w:r>
      <w:r w:rsidRPr="005470AD">
        <w:t xml:space="preserve">rejet </w:t>
      </w:r>
      <w:r w:rsidR="00592575" w:rsidRPr="005470AD">
        <w:t xml:space="preserve">de </w:t>
      </w:r>
      <w:r w:rsidRPr="005470AD">
        <w:t>l</w:t>
      </w:r>
      <w:r w:rsidR="00A95CF8" w:rsidRPr="005470AD">
        <w:t>’</w:t>
      </w:r>
      <w:r w:rsidRPr="005470AD">
        <w:t>exception en faisant valoir que, bien que la Cour ne soit pas une juridiction d</w:t>
      </w:r>
      <w:r w:rsidR="00A95CF8" w:rsidRPr="005470AD">
        <w:t>’</w:t>
      </w:r>
      <w:r w:rsidRPr="005470AD">
        <w:t xml:space="preserve">appel, elle est compétente pour examiner la Requête dans la mesure où </w:t>
      </w:r>
      <w:r w:rsidR="00592575" w:rsidRPr="005470AD">
        <w:t xml:space="preserve">il y </w:t>
      </w:r>
      <w:r w:rsidRPr="005470AD">
        <w:t>allègue la violation de droits protégés par la Charte. Citant l</w:t>
      </w:r>
      <w:r w:rsidR="00A95CF8" w:rsidRPr="005470AD">
        <w:t>’</w:t>
      </w:r>
      <w:r w:rsidRPr="005470AD">
        <w:t>affaire</w:t>
      </w:r>
      <w:r w:rsidRPr="005470AD">
        <w:rPr>
          <w:i/>
        </w:rPr>
        <w:t xml:space="preserve"> Alex Thomas c. Tanzanie</w:t>
      </w:r>
      <w:r w:rsidR="00294286" w:rsidRPr="005470AD">
        <w:t>, l</w:t>
      </w:r>
      <w:r w:rsidRPr="005470AD">
        <w:t xml:space="preserve">e Requérant soutient que la Cour est compétente pour apprécier si </w:t>
      </w:r>
      <w:r w:rsidR="00C73978" w:rsidRPr="005470AD">
        <w:t>l</w:t>
      </w:r>
      <w:r w:rsidR="00A95CF8" w:rsidRPr="005470AD">
        <w:t>’</w:t>
      </w:r>
      <w:r w:rsidR="00C73978" w:rsidRPr="005470AD">
        <w:t>examen d</w:t>
      </w:r>
      <w:r w:rsidRPr="005470AD">
        <w:t xml:space="preserve">es </w:t>
      </w:r>
      <w:r w:rsidRPr="005470AD">
        <w:lastRenderedPageBreak/>
        <w:t>allégations d</w:t>
      </w:r>
      <w:r w:rsidR="00A95CF8" w:rsidRPr="005470AD">
        <w:t>’</w:t>
      </w:r>
      <w:r w:rsidRPr="005470AD">
        <w:t xml:space="preserve">anomalies judiciaires ou de preuves par les tribunaux nationaux </w:t>
      </w:r>
      <w:r w:rsidR="00C73978" w:rsidRPr="005470AD">
        <w:t>a été</w:t>
      </w:r>
      <w:r w:rsidRPr="005470AD">
        <w:t xml:space="preserve"> conforme aux normes de la Charte.</w:t>
      </w:r>
    </w:p>
    <w:p w14:paraId="020BF17F" w14:textId="77777777" w:rsidR="0041677F" w:rsidRPr="005470AD" w:rsidRDefault="0041677F" w:rsidP="002624E4"/>
    <w:p w14:paraId="458B53D7" w14:textId="3FD533EA" w:rsidR="005202EE" w:rsidRPr="005470AD" w:rsidRDefault="005202EE" w:rsidP="002624E4">
      <w:r w:rsidRPr="005470AD">
        <w:t>***</w:t>
      </w:r>
    </w:p>
    <w:p w14:paraId="7B648957" w14:textId="77777777" w:rsidR="009A3D86" w:rsidRPr="005470AD" w:rsidRDefault="009A3D86" w:rsidP="002624E4">
      <w:pPr>
        <w:rPr>
          <w:rFonts w:eastAsia="Calibri"/>
          <w:u w:color="000000"/>
          <w:bdr w:val="nil"/>
          <w:lang w:eastAsia="en-GB"/>
        </w:rPr>
      </w:pPr>
    </w:p>
    <w:p w14:paraId="62937896" w14:textId="16F36156" w:rsidR="003C1DA6" w:rsidRPr="005470AD" w:rsidRDefault="003C1DA6" w:rsidP="002624E4">
      <w:pPr>
        <w:rPr>
          <w:rFonts w:eastAsia="Calibri"/>
          <w:u w:color="000000"/>
          <w:bdr w:val="nil"/>
        </w:rPr>
      </w:pPr>
      <w:r w:rsidRPr="005470AD">
        <w:rPr>
          <w:u w:color="000000"/>
          <w:bdr w:val="nil"/>
        </w:rPr>
        <w:t>La Cour rappelle qu</w:t>
      </w:r>
      <w:r w:rsidR="00A95CF8" w:rsidRPr="005470AD">
        <w:rPr>
          <w:u w:color="000000"/>
          <w:bdr w:val="nil"/>
        </w:rPr>
        <w:t>’</w:t>
      </w:r>
      <w:r w:rsidRPr="005470AD">
        <w:rPr>
          <w:u w:color="000000"/>
          <w:bdr w:val="nil"/>
        </w:rPr>
        <w:t>en vertu de l</w:t>
      </w:r>
      <w:r w:rsidR="00A95CF8" w:rsidRPr="005470AD">
        <w:rPr>
          <w:u w:color="000000"/>
          <w:bdr w:val="nil"/>
        </w:rPr>
        <w:t>’</w:t>
      </w:r>
      <w:r w:rsidRPr="005470AD">
        <w:rPr>
          <w:u w:color="000000"/>
          <w:bdr w:val="nil"/>
        </w:rPr>
        <w:t>article 3(1) du Protocole, elle est compétente pour examiner toutes les affaires dont elle est saisie, pour autant qu</w:t>
      </w:r>
      <w:r w:rsidR="00A95CF8" w:rsidRPr="005470AD">
        <w:rPr>
          <w:u w:color="000000"/>
          <w:bdr w:val="nil"/>
        </w:rPr>
        <w:t>’</w:t>
      </w:r>
      <w:r w:rsidRPr="005470AD">
        <w:rPr>
          <w:u w:color="000000"/>
          <w:bdr w:val="nil"/>
        </w:rPr>
        <w:t>elles portent sur des allégations de violation de droits protégés par la Charte ou par tout autre instrument relatif aux droits de l</w:t>
      </w:r>
      <w:r w:rsidR="00A95CF8" w:rsidRPr="005470AD">
        <w:rPr>
          <w:u w:color="000000"/>
          <w:bdr w:val="nil"/>
        </w:rPr>
        <w:t>’</w:t>
      </w:r>
      <w:r w:rsidRPr="005470AD">
        <w:rPr>
          <w:u w:color="000000"/>
          <w:bdr w:val="nil"/>
        </w:rPr>
        <w:t>homme ratifié par l</w:t>
      </w:r>
      <w:r w:rsidR="00A95CF8" w:rsidRPr="005470AD">
        <w:rPr>
          <w:u w:color="000000"/>
          <w:bdr w:val="nil"/>
        </w:rPr>
        <w:t>’</w:t>
      </w:r>
      <w:r w:rsidRPr="005470AD">
        <w:rPr>
          <w:u w:color="000000"/>
          <w:bdr w:val="nil"/>
        </w:rPr>
        <w:t>État défendeur.</w:t>
      </w:r>
      <w:r w:rsidRPr="005470AD">
        <w:rPr>
          <w:rFonts w:eastAsia="Calibri"/>
          <w:u w:color="000000"/>
          <w:bdr w:val="nil"/>
          <w:vertAlign w:val="superscript"/>
          <w:lang w:eastAsia="en-GB"/>
        </w:rPr>
        <w:footnoteReference w:id="6"/>
      </w:r>
    </w:p>
    <w:p w14:paraId="63E71FE5" w14:textId="77777777" w:rsidR="00EF5839" w:rsidRPr="005470AD" w:rsidRDefault="00EF5839" w:rsidP="002624E4">
      <w:pPr>
        <w:rPr>
          <w:rFonts w:eastAsia="Calibri"/>
          <w:u w:color="000000"/>
          <w:bdr w:val="nil"/>
          <w:lang w:eastAsia="en-GB"/>
        </w:rPr>
      </w:pPr>
    </w:p>
    <w:p w14:paraId="4705507D" w14:textId="72FA5365" w:rsidR="00F51B91" w:rsidRPr="005470AD" w:rsidRDefault="008960F5" w:rsidP="002624E4">
      <w:pPr>
        <w:rPr>
          <w:rFonts w:eastAsia="Calibri"/>
          <w:u w:color="000000"/>
          <w:bdr w:val="nil"/>
        </w:rPr>
      </w:pPr>
      <w:r w:rsidRPr="005470AD">
        <w:rPr>
          <w:u w:color="000000"/>
          <w:bdr w:val="nil"/>
        </w:rPr>
        <w:t>La Cour note que l</w:t>
      </w:r>
      <w:r w:rsidR="00A95CF8" w:rsidRPr="005470AD">
        <w:rPr>
          <w:u w:color="000000"/>
          <w:bdr w:val="nil"/>
        </w:rPr>
        <w:t>’</w:t>
      </w:r>
      <w:r w:rsidRPr="005470AD">
        <w:rPr>
          <w:u w:color="000000"/>
          <w:bdr w:val="nil"/>
        </w:rPr>
        <w:t xml:space="preserve">État défendeur soulève </w:t>
      </w:r>
      <w:r w:rsidR="00572887" w:rsidRPr="005470AD">
        <w:rPr>
          <w:u w:color="000000"/>
          <w:bdr w:val="nil"/>
        </w:rPr>
        <w:t xml:space="preserve">une exception d’incompétence matérielle tirée de </w:t>
      </w:r>
      <w:r w:rsidRPr="005470AD">
        <w:rPr>
          <w:u w:color="000000"/>
          <w:bdr w:val="nil"/>
        </w:rPr>
        <w:t>trois (3) moyens , à savoir : i) la Cour s</w:t>
      </w:r>
      <w:r w:rsidR="00A95CF8" w:rsidRPr="005470AD">
        <w:rPr>
          <w:u w:color="000000"/>
          <w:bdr w:val="nil"/>
        </w:rPr>
        <w:t>’</w:t>
      </w:r>
      <w:r w:rsidRPr="005470AD">
        <w:rPr>
          <w:u w:color="000000"/>
          <w:bdr w:val="nil"/>
        </w:rPr>
        <w:t>investit d</w:t>
      </w:r>
      <w:r w:rsidR="00A95CF8" w:rsidRPr="005470AD">
        <w:rPr>
          <w:u w:color="000000"/>
          <w:bdr w:val="nil"/>
        </w:rPr>
        <w:t>’</w:t>
      </w:r>
      <w:r w:rsidRPr="005470AD">
        <w:rPr>
          <w:u w:color="000000"/>
          <w:bdr w:val="nil"/>
        </w:rPr>
        <w:t>une compétence d</w:t>
      </w:r>
      <w:r w:rsidR="00A95CF8" w:rsidRPr="005470AD">
        <w:rPr>
          <w:u w:color="000000"/>
          <w:bdr w:val="nil"/>
        </w:rPr>
        <w:t>’</w:t>
      </w:r>
      <w:r w:rsidRPr="005470AD">
        <w:rPr>
          <w:u w:color="000000"/>
          <w:bdr w:val="nil"/>
        </w:rPr>
        <w:t>appel sur des questions tranchées par ses tribunaux nationaux ; ii) les pouvoirs d</w:t>
      </w:r>
      <w:r w:rsidR="00A95CF8" w:rsidRPr="005470AD">
        <w:rPr>
          <w:u w:color="000000"/>
          <w:bdr w:val="nil"/>
        </w:rPr>
        <w:t>’</w:t>
      </w:r>
      <w:r w:rsidRPr="005470AD">
        <w:rPr>
          <w:u w:color="000000"/>
          <w:bdr w:val="nil"/>
        </w:rPr>
        <w:t>annul</w:t>
      </w:r>
      <w:r w:rsidR="00592575" w:rsidRPr="005470AD">
        <w:rPr>
          <w:u w:color="000000"/>
          <w:bdr w:val="nil"/>
        </w:rPr>
        <w:t>ation, par la Cour, de</w:t>
      </w:r>
      <w:r w:rsidRPr="005470AD">
        <w:rPr>
          <w:u w:color="000000"/>
          <w:bdr w:val="nil"/>
        </w:rPr>
        <w:t xml:space="preserve"> la peine de mort légalement</w:t>
      </w:r>
      <w:r w:rsidR="00592575" w:rsidRPr="005470AD">
        <w:rPr>
          <w:u w:color="000000"/>
          <w:bdr w:val="nil"/>
        </w:rPr>
        <w:t xml:space="preserve"> prononcée</w:t>
      </w:r>
      <w:r w:rsidR="00D675D0" w:rsidRPr="005470AD">
        <w:rPr>
          <w:u w:color="000000"/>
          <w:bdr w:val="nil"/>
        </w:rPr>
        <w:t xml:space="preserve"> </w:t>
      </w:r>
      <w:r w:rsidR="0054434C" w:rsidRPr="005470AD">
        <w:rPr>
          <w:u w:color="000000"/>
          <w:bdr w:val="nil"/>
        </w:rPr>
        <w:t>à l</w:t>
      </w:r>
      <w:r w:rsidR="00A95CF8" w:rsidRPr="005470AD">
        <w:rPr>
          <w:u w:color="000000"/>
          <w:bdr w:val="nil"/>
        </w:rPr>
        <w:t>’</w:t>
      </w:r>
      <w:r w:rsidR="0054434C" w:rsidRPr="005470AD">
        <w:rPr>
          <w:u w:color="000000"/>
          <w:bdr w:val="nil"/>
        </w:rPr>
        <w:t>encontre du</w:t>
      </w:r>
      <w:r w:rsidRPr="005470AD">
        <w:rPr>
          <w:u w:color="000000"/>
          <w:bdr w:val="nil"/>
        </w:rPr>
        <w:t xml:space="preserve"> Requérant ; et iii) la Requête soulève des questions d</w:t>
      </w:r>
      <w:r w:rsidR="00A95CF8" w:rsidRPr="005470AD">
        <w:rPr>
          <w:u w:color="000000"/>
          <w:bdr w:val="nil"/>
        </w:rPr>
        <w:t>’</w:t>
      </w:r>
      <w:r w:rsidRPr="005470AD">
        <w:rPr>
          <w:u w:color="000000"/>
          <w:bdr w:val="nil"/>
        </w:rPr>
        <w:t>ordre juridique couvertes par ses lois internes et non par la Charte ou les instruments internationaux ratifiés relatifs aux droits de l</w:t>
      </w:r>
      <w:r w:rsidR="00A95CF8" w:rsidRPr="005470AD">
        <w:rPr>
          <w:u w:color="000000"/>
          <w:bdr w:val="nil"/>
        </w:rPr>
        <w:t>’</w:t>
      </w:r>
      <w:r w:rsidRPr="005470AD">
        <w:rPr>
          <w:u w:color="000000"/>
          <w:bdr w:val="nil"/>
        </w:rPr>
        <w:t>homme, et qui, par ailleurs, ont déjà été tranchées par ses tribunaux nationaux.</w:t>
      </w:r>
      <w:r w:rsidR="00572887" w:rsidRPr="005470AD">
        <w:rPr>
          <w:u w:color="000000"/>
          <w:bdr w:val="nil"/>
        </w:rPr>
        <w:t xml:space="preserve"> La Cour va examiner ces moyens.</w:t>
      </w:r>
    </w:p>
    <w:p w14:paraId="6D95A82E" w14:textId="77777777" w:rsidR="00F51B91" w:rsidRPr="005470AD" w:rsidRDefault="00F51B91" w:rsidP="002624E4">
      <w:pPr>
        <w:rPr>
          <w:rFonts w:eastAsia="Calibri"/>
          <w:u w:color="000000"/>
          <w:bdr w:val="nil"/>
        </w:rPr>
      </w:pPr>
    </w:p>
    <w:p w14:paraId="6876029E" w14:textId="4BFA3DF4" w:rsidR="001D0BAE" w:rsidRPr="005470AD" w:rsidRDefault="0039634C" w:rsidP="002624E4">
      <w:pPr>
        <w:rPr>
          <w:rFonts w:eastAsia="Calibri"/>
          <w:u w:color="000000"/>
          <w:bdr w:val="nil"/>
        </w:rPr>
      </w:pPr>
      <w:r w:rsidRPr="005470AD">
        <w:rPr>
          <w:bCs/>
          <w:u w:color="000000"/>
          <w:bdr w:val="nil"/>
        </w:rPr>
        <w:t>S</w:t>
      </w:r>
      <w:r w:rsidR="00A95CF8" w:rsidRPr="005470AD">
        <w:rPr>
          <w:bCs/>
          <w:u w:color="000000"/>
          <w:bdr w:val="nil"/>
        </w:rPr>
        <w:t>’</w:t>
      </w:r>
      <w:r w:rsidRPr="005470AD">
        <w:rPr>
          <w:bCs/>
          <w:u w:color="000000"/>
          <w:bdr w:val="nil"/>
        </w:rPr>
        <w:t>agissant du</w:t>
      </w:r>
      <w:r w:rsidR="00AC0BA4" w:rsidRPr="005470AD">
        <w:rPr>
          <w:bCs/>
          <w:u w:color="000000"/>
          <w:bdr w:val="nil"/>
        </w:rPr>
        <w:t xml:space="preserve"> premier mo</w:t>
      </w:r>
      <w:r w:rsidR="00F638B6" w:rsidRPr="005470AD">
        <w:rPr>
          <w:bCs/>
          <w:u w:color="000000"/>
          <w:bdr w:val="nil"/>
        </w:rPr>
        <w:t>yen</w:t>
      </w:r>
      <w:r w:rsidR="003F7AAE" w:rsidRPr="005470AD">
        <w:rPr>
          <w:bCs/>
          <w:u w:color="000000"/>
          <w:bdr w:val="nil"/>
        </w:rPr>
        <w:t xml:space="preserve">, </w:t>
      </w:r>
      <w:r w:rsidR="00AC0BA4" w:rsidRPr="005470AD">
        <w:rPr>
          <w:bCs/>
          <w:u w:color="000000"/>
          <w:bdr w:val="nil"/>
        </w:rPr>
        <w:t>la</w:t>
      </w:r>
      <w:r w:rsidR="002545C3" w:rsidRPr="005470AD">
        <w:rPr>
          <w:bCs/>
          <w:u w:color="000000"/>
          <w:bdr w:val="nil"/>
        </w:rPr>
        <w:t xml:space="preserve"> Cour rappelle sa jurisprudence</w:t>
      </w:r>
      <w:r w:rsidR="002545C3" w:rsidRPr="005470AD">
        <w:rPr>
          <w:u w:color="000000"/>
          <w:bdr w:val="nil"/>
        </w:rPr>
        <w:t xml:space="preserve"> selon laquelle elle n</w:t>
      </w:r>
      <w:r w:rsidR="00A95CF8" w:rsidRPr="005470AD">
        <w:rPr>
          <w:u w:color="000000"/>
          <w:bdr w:val="nil"/>
        </w:rPr>
        <w:t>’</w:t>
      </w:r>
      <w:r w:rsidR="002545C3" w:rsidRPr="005470AD">
        <w:rPr>
          <w:u w:color="000000"/>
          <w:bdr w:val="nil"/>
        </w:rPr>
        <w:t>exerce pas de compétence d</w:t>
      </w:r>
      <w:r w:rsidR="00A95CF8" w:rsidRPr="005470AD">
        <w:rPr>
          <w:u w:color="000000"/>
          <w:bdr w:val="nil"/>
        </w:rPr>
        <w:t>’</w:t>
      </w:r>
      <w:r w:rsidR="002545C3" w:rsidRPr="005470AD">
        <w:rPr>
          <w:u w:color="000000"/>
          <w:bdr w:val="nil"/>
        </w:rPr>
        <w:t>appel à l</w:t>
      </w:r>
      <w:r w:rsidR="00A95CF8" w:rsidRPr="005470AD">
        <w:rPr>
          <w:u w:color="000000"/>
          <w:bdr w:val="nil"/>
        </w:rPr>
        <w:t>’</w:t>
      </w:r>
      <w:r w:rsidR="002545C3" w:rsidRPr="005470AD">
        <w:rPr>
          <w:u w:color="000000"/>
          <w:bdr w:val="nil"/>
        </w:rPr>
        <w:t>égard des demandes déjà examinées par les juridictions nationales.</w:t>
      </w:r>
      <w:r w:rsidR="006A2FA0" w:rsidRPr="005470AD">
        <w:rPr>
          <w:rStyle w:val="FootnoteReference"/>
          <w:rFonts w:ascii="Arial" w:eastAsia="Calibri" w:hAnsi="Arial" w:cs="Arial"/>
          <w:u w:color="000000"/>
          <w:bdr w:val="nil"/>
          <w:lang w:eastAsia="en-GB"/>
        </w:rPr>
        <w:footnoteReference w:id="7"/>
      </w:r>
      <w:r w:rsidR="002545C3" w:rsidRPr="005470AD">
        <w:rPr>
          <w:u w:color="000000"/>
          <w:bdr w:val="nil"/>
        </w:rPr>
        <w:t xml:space="preserve"> Toutefois, elle conserve le pouvoir d</w:t>
      </w:r>
      <w:r w:rsidR="00A95CF8" w:rsidRPr="005470AD">
        <w:rPr>
          <w:u w:color="000000"/>
          <w:bdr w:val="nil"/>
        </w:rPr>
        <w:t>’</w:t>
      </w:r>
      <w:r w:rsidR="002545C3" w:rsidRPr="005470AD">
        <w:rPr>
          <w:u w:color="000000"/>
          <w:bdr w:val="nil"/>
        </w:rPr>
        <w:t>apprécier la pertinence des procédures internes par rapport aux normes énoncées dans les instruments internationaux relatifs aux droits de l</w:t>
      </w:r>
      <w:r w:rsidR="00A95CF8" w:rsidRPr="005470AD">
        <w:rPr>
          <w:u w:color="000000"/>
          <w:bdr w:val="nil"/>
        </w:rPr>
        <w:t>’</w:t>
      </w:r>
      <w:r w:rsidR="002545C3" w:rsidRPr="005470AD">
        <w:rPr>
          <w:u w:color="000000"/>
          <w:bdr w:val="nil"/>
        </w:rPr>
        <w:t>homme ratifiés par l</w:t>
      </w:r>
      <w:r w:rsidR="00A95CF8" w:rsidRPr="005470AD">
        <w:rPr>
          <w:u w:color="000000"/>
          <w:bdr w:val="nil"/>
        </w:rPr>
        <w:t>’</w:t>
      </w:r>
      <w:r w:rsidR="002545C3" w:rsidRPr="005470AD">
        <w:rPr>
          <w:u w:color="000000"/>
          <w:bdr w:val="nil"/>
        </w:rPr>
        <w:t>État concerné.</w:t>
      </w:r>
      <w:r w:rsidR="006A2FA0" w:rsidRPr="005470AD">
        <w:rPr>
          <w:rStyle w:val="FootnoteReference"/>
          <w:rFonts w:ascii="Arial" w:eastAsia="Calibri" w:hAnsi="Arial" w:cs="Arial"/>
          <w:u w:color="000000"/>
          <w:bdr w:val="nil"/>
          <w:lang w:eastAsia="en-GB"/>
        </w:rPr>
        <w:footnoteReference w:id="8"/>
      </w:r>
      <w:r w:rsidR="002545C3" w:rsidRPr="005470AD">
        <w:rPr>
          <w:u w:color="000000"/>
          <w:bdr w:val="nil"/>
        </w:rPr>
        <w:t xml:space="preserve"> </w:t>
      </w:r>
    </w:p>
    <w:p w14:paraId="70C1D9E0" w14:textId="496F2838" w:rsidR="006A2FA0" w:rsidRPr="005470AD" w:rsidRDefault="006A2FA0" w:rsidP="002624E4">
      <w:pPr>
        <w:rPr>
          <w:rFonts w:eastAsia="Calibri"/>
          <w:u w:color="000000"/>
          <w:bdr w:val="nil"/>
          <w:lang w:eastAsia="en-GB"/>
        </w:rPr>
      </w:pPr>
    </w:p>
    <w:p w14:paraId="2AADBE4D" w14:textId="65E4765A" w:rsidR="00AD7EC0" w:rsidRPr="005470AD" w:rsidRDefault="007C7F53" w:rsidP="002624E4">
      <w:pPr>
        <w:rPr>
          <w:rFonts w:eastAsia="Calibri"/>
          <w:u w:color="000000"/>
          <w:bdr w:val="nil"/>
        </w:rPr>
      </w:pPr>
      <w:r w:rsidRPr="005470AD">
        <w:rPr>
          <w:u w:color="000000"/>
          <w:bdr w:val="nil"/>
        </w:rPr>
        <w:t xml:space="preserve">La </w:t>
      </w:r>
      <w:r w:rsidR="00AD7EC0" w:rsidRPr="005470AD">
        <w:rPr>
          <w:u w:color="000000"/>
          <w:bdr w:val="nil"/>
        </w:rPr>
        <w:t>Cour ne siège</w:t>
      </w:r>
      <w:r w:rsidR="00E648CD" w:rsidRPr="005470AD">
        <w:rPr>
          <w:u w:color="000000"/>
          <w:bdr w:val="nil"/>
        </w:rPr>
        <w:t>ra</w:t>
      </w:r>
      <w:r w:rsidR="00960DA0" w:rsidRPr="005470AD">
        <w:rPr>
          <w:u w:color="000000"/>
          <w:bdr w:val="nil"/>
        </w:rPr>
        <w:t xml:space="preserve"> donc</w:t>
      </w:r>
      <w:r w:rsidR="00AD7EC0" w:rsidRPr="005470AD">
        <w:rPr>
          <w:u w:color="000000"/>
          <w:bdr w:val="nil"/>
        </w:rPr>
        <w:t xml:space="preserve"> pas en tant que juridiction d</w:t>
      </w:r>
      <w:r w:rsidR="00A95CF8" w:rsidRPr="005470AD">
        <w:rPr>
          <w:u w:color="000000"/>
          <w:bdr w:val="nil"/>
        </w:rPr>
        <w:t>’</w:t>
      </w:r>
      <w:r w:rsidR="00AD7EC0" w:rsidRPr="005470AD">
        <w:rPr>
          <w:u w:color="000000"/>
          <w:bdr w:val="nil"/>
        </w:rPr>
        <w:t>appel</w:t>
      </w:r>
      <w:r w:rsidR="00960DA0" w:rsidRPr="005470AD">
        <w:rPr>
          <w:u w:color="000000"/>
          <w:bdr w:val="nil"/>
        </w:rPr>
        <w:t xml:space="preserve"> ni</w:t>
      </w:r>
      <w:r w:rsidR="00AD7EC0" w:rsidRPr="005470AD">
        <w:rPr>
          <w:u w:color="000000"/>
          <w:bdr w:val="nil"/>
        </w:rPr>
        <w:t xml:space="preserve"> n</w:t>
      </w:r>
      <w:r w:rsidR="00960DA0" w:rsidRPr="005470AD">
        <w:rPr>
          <w:u w:color="000000"/>
          <w:bdr w:val="nil"/>
        </w:rPr>
        <w:t>e</w:t>
      </w:r>
      <w:r w:rsidR="00AD7EC0" w:rsidRPr="005470AD">
        <w:rPr>
          <w:u w:color="000000"/>
          <w:bdr w:val="nil"/>
        </w:rPr>
        <w:t xml:space="preserve"> réexamine</w:t>
      </w:r>
      <w:r w:rsidR="00960DA0" w:rsidRPr="005470AD">
        <w:rPr>
          <w:u w:color="000000"/>
          <w:bdr w:val="nil"/>
        </w:rPr>
        <w:t>ra</w:t>
      </w:r>
      <w:r w:rsidR="00AD7EC0" w:rsidRPr="005470AD">
        <w:rPr>
          <w:u w:color="000000"/>
          <w:bdr w:val="nil"/>
        </w:rPr>
        <w:t xml:space="preserve"> les éléments de preuve produits devant la Cour d</w:t>
      </w:r>
      <w:r w:rsidR="00A95CF8" w:rsidRPr="005470AD">
        <w:rPr>
          <w:u w:color="000000"/>
          <w:bdr w:val="nil"/>
        </w:rPr>
        <w:t>’</w:t>
      </w:r>
      <w:r w:rsidR="00AD7EC0" w:rsidRPr="005470AD">
        <w:rPr>
          <w:u w:color="000000"/>
          <w:bdr w:val="nil"/>
        </w:rPr>
        <w:t xml:space="preserve">appel de Tanzanie </w:t>
      </w:r>
      <w:r w:rsidR="00E648CD" w:rsidRPr="005470AD">
        <w:rPr>
          <w:u w:color="000000"/>
          <w:bdr w:val="nil"/>
        </w:rPr>
        <w:t>dans son appréciation des p</w:t>
      </w:r>
      <w:r w:rsidR="00AD7EC0" w:rsidRPr="005470AD">
        <w:rPr>
          <w:u w:color="000000"/>
          <w:bdr w:val="nil"/>
        </w:rPr>
        <w:t>rocédures internes qui ont abouti à la condamnation et à la peine prononcée à l</w:t>
      </w:r>
      <w:r w:rsidR="00A95CF8" w:rsidRPr="005470AD">
        <w:rPr>
          <w:u w:color="000000"/>
          <w:bdr w:val="nil"/>
        </w:rPr>
        <w:t>’</w:t>
      </w:r>
      <w:r w:rsidR="00AD7EC0" w:rsidRPr="005470AD">
        <w:rPr>
          <w:u w:color="000000"/>
          <w:bdr w:val="nil"/>
        </w:rPr>
        <w:t>encontre du Requérant. La Cour rejette donc le</w:t>
      </w:r>
      <w:r w:rsidR="006C104A" w:rsidRPr="005470AD">
        <w:rPr>
          <w:u w:color="000000"/>
          <w:bdr w:val="nil"/>
        </w:rPr>
        <w:t xml:space="preserve"> premier moyen </w:t>
      </w:r>
      <w:r w:rsidR="00AD7EC0" w:rsidRPr="005470AD">
        <w:rPr>
          <w:u w:color="000000"/>
          <w:bdr w:val="nil"/>
        </w:rPr>
        <w:t>de l</w:t>
      </w:r>
      <w:r w:rsidR="00A95CF8" w:rsidRPr="005470AD">
        <w:rPr>
          <w:u w:color="000000"/>
          <w:bdr w:val="nil"/>
        </w:rPr>
        <w:t>’</w:t>
      </w:r>
      <w:r w:rsidR="00AD7EC0" w:rsidRPr="005470AD">
        <w:rPr>
          <w:u w:color="000000"/>
          <w:bdr w:val="nil"/>
        </w:rPr>
        <w:t>exception soulevée par l</w:t>
      </w:r>
      <w:r w:rsidR="00A95CF8" w:rsidRPr="005470AD">
        <w:rPr>
          <w:u w:color="000000"/>
          <w:bdr w:val="nil"/>
        </w:rPr>
        <w:t>’</w:t>
      </w:r>
      <w:r w:rsidR="00AD7EC0" w:rsidRPr="005470AD">
        <w:rPr>
          <w:u w:color="000000"/>
          <w:bdr w:val="nil"/>
        </w:rPr>
        <w:t>État défendeur.</w:t>
      </w:r>
    </w:p>
    <w:p w14:paraId="4B94AD30" w14:textId="46D23FE5" w:rsidR="00C01784" w:rsidRPr="005470AD" w:rsidRDefault="00C01784" w:rsidP="002624E4">
      <w:pPr>
        <w:rPr>
          <w:rFonts w:eastAsia="Calibri"/>
          <w:u w:color="000000"/>
          <w:bdr w:val="nil"/>
          <w:lang w:eastAsia="en-GB"/>
        </w:rPr>
      </w:pPr>
    </w:p>
    <w:p w14:paraId="7EBB8AD5" w14:textId="10F03D8D" w:rsidR="00A72479" w:rsidRPr="005470AD" w:rsidRDefault="00A72479" w:rsidP="002624E4">
      <w:pPr>
        <w:rPr>
          <w:rFonts w:eastAsia="Calibri"/>
          <w:u w:color="000000"/>
          <w:bdr w:val="nil"/>
        </w:rPr>
      </w:pPr>
      <w:r w:rsidRPr="005470AD">
        <w:rPr>
          <w:u w:color="000000"/>
          <w:bdr w:val="nil"/>
        </w:rPr>
        <w:t xml:space="preserve">En ce qui concerne </w:t>
      </w:r>
      <w:r w:rsidR="009577FE" w:rsidRPr="005470AD">
        <w:rPr>
          <w:u w:color="000000"/>
          <w:bdr w:val="nil"/>
        </w:rPr>
        <w:t>l</w:t>
      </w:r>
      <w:r w:rsidR="00B733D6" w:rsidRPr="005470AD">
        <w:rPr>
          <w:u w:color="000000"/>
          <w:bdr w:val="nil"/>
        </w:rPr>
        <w:t xml:space="preserve">e </w:t>
      </w:r>
      <w:r w:rsidRPr="005470AD">
        <w:rPr>
          <w:u w:color="000000"/>
          <w:bdr w:val="nil"/>
        </w:rPr>
        <w:t>deuxième moyen, la Cour affirme que, conformément à l</w:t>
      </w:r>
      <w:r w:rsidR="00A95CF8" w:rsidRPr="005470AD">
        <w:rPr>
          <w:u w:color="000000"/>
          <w:bdr w:val="nil"/>
        </w:rPr>
        <w:t>’</w:t>
      </w:r>
      <w:r w:rsidRPr="005470AD">
        <w:rPr>
          <w:u w:color="000000"/>
          <w:bdr w:val="nil"/>
        </w:rPr>
        <w:t xml:space="preserve">article 27(1) du Protocole, </w:t>
      </w:r>
      <w:r w:rsidR="001F5965" w:rsidRPr="005470AD">
        <w:rPr>
          <w:u w:color="000000"/>
          <w:bdr w:val="nil"/>
        </w:rPr>
        <w:t>«</w:t>
      </w:r>
      <w:r w:rsidR="00B62FD7" w:rsidRPr="005470AD">
        <w:rPr>
          <w:u w:color="000000"/>
          <w:bdr w:val="nil"/>
        </w:rPr>
        <w:t xml:space="preserve"> </w:t>
      </w:r>
      <w:r w:rsidRPr="005470AD">
        <w:rPr>
          <w:u w:color="000000"/>
          <w:bdr w:val="nil"/>
        </w:rPr>
        <w:t>si elle constate qu</w:t>
      </w:r>
      <w:r w:rsidR="00A95CF8" w:rsidRPr="005470AD">
        <w:rPr>
          <w:u w:color="000000"/>
          <w:bdr w:val="nil"/>
        </w:rPr>
        <w:t>’</w:t>
      </w:r>
      <w:r w:rsidRPr="005470AD">
        <w:rPr>
          <w:u w:color="000000"/>
          <w:bdr w:val="nil"/>
        </w:rPr>
        <w:t>il y a eu violation des droits de l</w:t>
      </w:r>
      <w:r w:rsidR="00A95CF8" w:rsidRPr="005470AD">
        <w:rPr>
          <w:u w:color="000000"/>
          <w:bdr w:val="nil"/>
        </w:rPr>
        <w:t>’</w:t>
      </w:r>
      <w:r w:rsidRPr="005470AD">
        <w:rPr>
          <w:u w:color="000000"/>
          <w:bdr w:val="nil"/>
        </w:rPr>
        <w:t xml:space="preserve">homme ou des </w:t>
      </w:r>
      <w:r w:rsidR="001F5965" w:rsidRPr="005470AD">
        <w:rPr>
          <w:u w:color="000000"/>
          <w:bdr w:val="nil"/>
        </w:rPr>
        <w:t>peuples »</w:t>
      </w:r>
      <w:r w:rsidRPr="005470AD">
        <w:rPr>
          <w:u w:color="000000"/>
          <w:bdr w:val="nil"/>
        </w:rPr>
        <w:t xml:space="preserve">, </w:t>
      </w:r>
      <w:r w:rsidR="008D6A33" w:rsidRPr="005470AD">
        <w:rPr>
          <w:u w:color="000000"/>
          <w:bdr w:val="nil"/>
        </w:rPr>
        <w:t>elle</w:t>
      </w:r>
      <w:r w:rsidR="001F5965" w:rsidRPr="005470AD">
        <w:rPr>
          <w:u w:color="000000"/>
          <w:bdr w:val="nil"/>
        </w:rPr>
        <w:t xml:space="preserve"> « ordonne</w:t>
      </w:r>
      <w:r w:rsidR="00285E76" w:rsidRPr="005470AD">
        <w:rPr>
          <w:u w:color="000000"/>
          <w:bdr w:val="nil"/>
        </w:rPr>
        <w:t xml:space="preserve"> toutes les mesures appropriées </w:t>
      </w:r>
      <w:r w:rsidRPr="005470AD">
        <w:rPr>
          <w:u w:color="000000"/>
          <w:bdr w:val="nil"/>
        </w:rPr>
        <w:t xml:space="preserve">pour remédier à la violation, y compris le </w:t>
      </w:r>
      <w:r w:rsidR="00285E76" w:rsidRPr="005470AD">
        <w:rPr>
          <w:u w:color="000000"/>
          <w:bdr w:val="nil"/>
        </w:rPr>
        <w:t>paiement d</w:t>
      </w:r>
      <w:r w:rsidR="00A95CF8" w:rsidRPr="005470AD">
        <w:rPr>
          <w:u w:color="000000"/>
          <w:bdr w:val="nil"/>
        </w:rPr>
        <w:t>’</w:t>
      </w:r>
      <w:r w:rsidR="00285E76" w:rsidRPr="005470AD">
        <w:rPr>
          <w:u w:color="000000"/>
          <w:bdr w:val="nil"/>
        </w:rPr>
        <w:t>une juste compensation ou l</w:t>
      </w:r>
      <w:r w:rsidR="00A95CF8" w:rsidRPr="005470AD">
        <w:rPr>
          <w:u w:color="000000"/>
          <w:bdr w:val="nil"/>
        </w:rPr>
        <w:t>’</w:t>
      </w:r>
      <w:r w:rsidR="00285E76" w:rsidRPr="005470AD">
        <w:rPr>
          <w:u w:color="000000"/>
          <w:bdr w:val="nil"/>
        </w:rPr>
        <w:t>octroi d</w:t>
      </w:r>
      <w:r w:rsidR="00A95CF8" w:rsidRPr="005470AD">
        <w:rPr>
          <w:u w:color="000000"/>
          <w:bdr w:val="nil"/>
        </w:rPr>
        <w:t>’</w:t>
      </w:r>
      <w:r w:rsidR="00285E76" w:rsidRPr="005470AD">
        <w:rPr>
          <w:u w:color="000000"/>
          <w:bdr w:val="nil"/>
        </w:rPr>
        <w:t xml:space="preserve">une </w:t>
      </w:r>
      <w:r w:rsidR="008D6A33" w:rsidRPr="005470AD">
        <w:rPr>
          <w:u w:color="000000"/>
          <w:bdr w:val="nil"/>
        </w:rPr>
        <w:t>réparation »</w:t>
      </w:r>
      <w:r w:rsidRPr="005470AD">
        <w:rPr>
          <w:u w:color="000000"/>
          <w:bdr w:val="nil"/>
        </w:rPr>
        <w:t>. Lorsqu</w:t>
      </w:r>
      <w:r w:rsidR="00A95CF8" w:rsidRPr="005470AD">
        <w:rPr>
          <w:u w:color="000000"/>
          <w:bdr w:val="nil"/>
        </w:rPr>
        <w:t>’</w:t>
      </w:r>
      <w:r w:rsidRPr="005470AD">
        <w:rPr>
          <w:u w:color="000000"/>
          <w:bdr w:val="nil"/>
        </w:rPr>
        <w:t>elle l</w:t>
      </w:r>
      <w:r w:rsidR="00A95CF8" w:rsidRPr="005470AD">
        <w:rPr>
          <w:u w:color="000000"/>
          <w:bdr w:val="nil"/>
        </w:rPr>
        <w:t>’</w:t>
      </w:r>
      <w:r w:rsidRPr="005470AD">
        <w:rPr>
          <w:u w:color="000000"/>
          <w:bdr w:val="nil"/>
        </w:rPr>
        <w:t xml:space="preserve">estime nécessaire, la Cour peut ordonner des réparations en rapport avec les peines </w:t>
      </w:r>
      <w:r w:rsidR="00B62FD7" w:rsidRPr="005470AD">
        <w:rPr>
          <w:u w:color="000000"/>
          <w:bdr w:val="nil"/>
        </w:rPr>
        <w:t xml:space="preserve">prononcées </w:t>
      </w:r>
      <w:r w:rsidRPr="005470AD">
        <w:rPr>
          <w:u w:color="000000"/>
          <w:bdr w:val="nil"/>
        </w:rPr>
        <w:t>à</w:t>
      </w:r>
      <w:r w:rsidR="00876F3F" w:rsidRPr="005470AD">
        <w:rPr>
          <w:u w:color="000000"/>
          <w:bdr w:val="nil"/>
        </w:rPr>
        <w:t xml:space="preserve"> l</w:t>
      </w:r>
      <w:r w:rsidR="00A95CF8" w:rsidRPr="005470AD">
        <w:rPr>
          <w:u w:color="000000"/>
          <w:bdr w:val="nil"/>
        </w:rPr>
        <w:t>’</w:t>
      </w:r>
      <w:r w:rsidR="00876F3F" w:rsidRPr="005470AD">
        <w:rPr>
          <w:u w:color="000000"/>
          <w:bdr w:val="nil"/>
        </w:rPr>
        <w:t>encontre d</w:t>
      </w:r>
      <w:r w:rsidR="00A95CF8" w:rsidRPr="005470AD">
        <w:rPr>
          <w:u w:color="000000"/>
          <w:bdr w:val="nil"/>
        </w:rPr>
        <w:t>’</w:t>
      </w:r>
      <w:r w:rsidRPr="005470AD">
        <w:rPr>
          <w:u w:color="000000"/>
          <w:bdr w:val="nil"/>
        </w:rPr>
        <w:t>une victime de violation d</w:t>
      </w:r>
      <w:r w:rsidR="0059256A" w:rsidRPr="005470AD">
        <w:rPr>
          <w:u w:color="000000"/>
          <w:bdr w:val="nil"/>
        </w:rPr>
        <w:t>es</w:t>
      </w:r>
      <w:r w:rsidRPr="005470AD">
        <w:rPr>
          <w:u w:color="000000"/>
          <w:bdr w:val="nil"/>
        </w:rPr>
        <w:t xml:space="preserve"> droits de l</w:t>
      </w:r>
      <w:r w:rsidR="00A95CF8" w:rsidRPr="005470AD">
        <w:rPr>
          <w:u w:color="000000"/>
          <w:bdr w:val="nil"/>
        </w:rPr>
        <w:t>’</w:t>
      </w:r>
      <w:r w:rsidRPr="005470AD">
        <w:rPr>
          <w:u w:color="000000"/>
          <w:bdr w:val="nil"/>
        </w:rPr>
        <w:t>homme ou des peuples.</w:t>
      </w:r>
      <w:r w:rsidR="00572887" w:rsidRPr="005470AD">
        <w:rPr>
          <w:u w:color="000000"/>
          <w:bdr w:val="nil"/>
        </w:rPr>
        <w:t xml:space="preserve"> La Cour rejette donc ce moyen.</w:t>
      </w:r>
    </w:p>
    <w:p w14:paraId="5A7A43FE" w14:textId="77777777" w:rsidR="00FA5831" w:rsidRPr="005470AD" w:rsidRDefault="00FA5831" w:rsidP="002624E4">
      <w:pPr>
        <w:rPr>
          <w:rFonts w:eastAsia="Calibri"/>
          <w:u w:color="000000"/>
          <w:bdr w:val="nil"/>
          <w:lang w:eastAsia="en-GB"/>
        </w:rPr>
      </w:pPr>
    </w:p>
    <w:p w14:paraId="0A7A1C18" w14:textId="492242D0" w:rsidR="007550ED" w:rsidRPr="005470AD" w:rsidRDefault="007550ED" w:rsidP="002624E4">
      <w:pPr>
        <w:rPr>
          <w:rFonts w:eastAsia="Calibri"/>
          <w:u w:color="000000"/>
          <w:bdr w:val="nil"/>
        </w:rPr>
      </w:pPr>
      <w:r w:rsidRPr="005470AD">
        <w:rPr>
          <w:u w:color="000000"/>
          <w:bdr w:val="nil"/>
        </w:rPr>
        <w:lastRenderedPageBreak/>
        <w:t>S</w:t>
      </w:r>
      <w:r w:rsidR="00A95CF8" w:rsidRPr="005470AD">
        <w:rPr>
          <w:u w:color="000000"/>
          <w:bdr w:val="nil"/>
        </w:rPr>
        <w:t>’</w:t>
      </w:r>
      <w:r w:rsidRPr="005470AD">
        <w:rPr>
          <w:u w:color="000000"/>
          <w:bdr w:val="nil"/>
        </w:rPr>
        <w:t xml:space="preserve">agissant </w:t>
      </w:r>
      <w:r w:rsidR="00FA5831" w:rsidRPr="005470AD">
        <w:rPr>
          <w:u w:color="000000"/>
          <w:bdr w:val="nil"/>
        </w:rPr>
        <w:t>d</w:t>
      </w:r>
      <w:r w:rsidR="009577FE" w:rsidRPr="005470AD">
        <w:rPr>
          <w:u w:color="000000"/>
          <w:bdr w:val="nil"/>
        </w:rPr>
        <w:t>u</w:t>
      </w:r>
      <w:r w:rsidR="00FA5831" w:rsidRPr="005470AD">
        <w:rPr>
          <w:u w:color="000000"/>
          <w:bdr w:val="nil"/>
        </w:rPr>
        <w:t xml:space="preserve"> </w:t>
      </w:r>
      <w:r w:rsidRPr="005470AD">
        <w:rPr>
          <w:u w:color="000000"/>
          <w:bdr w:val="nil"/>
        </w:rPr>
        <w:t>troisième moyen, la Cour rappelle les dispositions de l</w:t>
      </w:r>
      <w:r w:rsidR="00A95CF8" w:rsidRPr="005470AD">
        <w:rPr>
          <w:u w:color="000000"/>
          <w:bdr w:val="nil"/>
        </w:rPr>
        <w:t>’</w:t>
      </w:r>
      <w:r w:rsidRPr="005470AD">
        <w:rPr>
          <w:u w:color="000000"/>
          <w:bdr w:val="nil"/>
        </w:rPr>
        <w:t>article 7 du Protocole, en vertu desquelles elle interprète et applique les dispositions de la Charte et des autres instruments relatifs aux droits de l</w:t>
      </w:r>
      <w:r w:rsidR="00A95CF8" w:rsidRPr="005470AD">
        <w:rPr>
          <w:u w:color="000000"/>
          <w:bdr w:val="nil"/>
        </w:rPr>
        <w:t>’</w:t>
      </w:r>
      <w:r w:rsidRPr="005470AD">
        <w:rPr>
          <w:u w:color="000000"/>
          <w:bdr w:val="nil"/>
        </w:rPr>
        <w:t>homme ratifiés par l</w:t>
      </w:r>
      <w:r w:rsidR="00A95CF8" w:rsidRPr="005470AD">
        <w:rPr>
          <w:u w:color="000000"/>
          <w:bdr w:val="nil"/>
        </w:rPr>
        <w:t>’</w:t>
      </w:r>
      <w:r w:rsidRPr="005470AD">
        <w:rPr>
          <w:u w:color="000000"/>
          <w:bdr w:val="nil"/>
        </w:rPr>
        <w:t>État défendeur. La Cour se prononcera donc sur les questions soulevées dans la Requête, que le Requérant ait ou non cité les dispositions idoines de la Charte et des autres instruments relatifs aux droits de l</w:t>
      </w:r>
      <w:r w:rsidR="00A95CF8" w:rsidRPr="005470AD">
        <w:rPr>
          <w:u w:color="000000"/>
          <w:bdr w:val="nil"/>
        </w:rPr>
        <w:t>’</w:t>
      </w:r>
      <w:r w:rsidRPr="005470AD">
        <w:rPr>
          <w:u w:color="000000"/>
          <w:bdr w:val="nil"/>
        </w:rPr>
        <w:t>homme ratifiés par l</w:t>
      </w:r>
      <w:r w:rsidR="00A95CF8" w:rsidRPr="005470AD">
        <w:rPr>
          <w:u w:color="000000"/>
          <w:bdr w:val="nil"/>
        </w:rPr>
        <w:t>’</w:t>
      </w:r>
      <w:r w:rsidRPr="005470AD">
        <w:rPr>
          <w:u w:color="000000"/>
          <w:bdr w:val="nil"/>
        </w:rPr>
        <w:t>État défendeur.</w:t>
      </w:r>
      <w:r w:rsidRPr="005470AD">
        <w:rPr>
          <w:rStyle w:val="FootnoteReference"/>
          <w:rFonts w:ascii="Arial" w:eastAsia="Calibri" w:hAnsi="Arial" w:cs="Arial"/>
          <w:u w:color="000000"/>
          <w:bdr w:val="nil"/>
          <w:lang w:eastAsia="en-GB"/>
        </w:rPr>
        <w:footnoteReference w:id="9"/>
      </w:r>
      <w:r w:rsidRPr="005470AD">
        <w:rPr>
          <w:u w:color="000000"/>
          <w:bdr w:val="nil"/>
        </w:rPr>
        <w:t xml:space="preserve"> La Cour observe que, en l</w:t>
      </w:r>
      <w:r w:rsidR="00A95CF8" w:rsidRPr="005470AD">
        <w:rPr>
          <w:u w:color="000000"/>
          <w:bdr w:val="nil"/>
        </w:rPr>
        <w:t>’</w:t>
      </w:r>
      <w:r w:rsidRPr="005470AD">
        <w:rPr>
          <w:u w:color="000000"/>
          <w:bdr w:val="nil"/>
        </w:rPr>
        <w:t>espèce, le Requérant allègue que l</w:t>
      </w:r>
      <w:r w:rsidR="00A95CF8" w:rsidRPr="005470AD">
        <w:rPr>
          <w:u w:color="000000"/>
          <w:bdr w:val="nil"/>
        </w:rPr>
        <w:t>’</w:t>
      </w:r>
      <w:r w:rsidRPr="005470AD">
        <w:rPr>
          <w:u w:color="000000"/>
          <w:bdr w:val="nil"/>
        </w:rPr>
        <w:t>État défendeur a violé son droit à un procès équitable, protégé par l</w:t>
      </w:r>
      <w:r w:rsidR="00A95CF8" w:rsidRPr="005470AD">
        <w:rPr>
          <w:u w:color="000000"/>
          <w:bdr w:val="nil"/>
        </w:rPr>
        <w:t>’</w:t>
      </w:r>
      <w:r w:rsidRPr="005470AD">
        <w:rPr>
          <w:u w:color="000000"/>
          <w:bdr w:val="nil"/>
        </w:rPr>
        <w:t>article 7 de la Charte. La Cour rejette, en conséquence, le troisième moyen relatif à l</w:t>
      </w:r>
      <w:r w:rsidR="00A95CF8" w:rsidRPr="005470AD">
        <w:rPr>
          <w:u w:color="000000"/>
          <w:bdr w:val="nil"/>
        </w:rPr>
        <w:t>’</w:t>
      </w:r>
      <w:r w:rsidRPr="005470AD">
        <w:rPr>
          <w:u w:color="000000"/>
          <w:bdr w:val="nil"/>
        </w:rPr>
        <w:t>exception d</w:t>
      </w:r>
      <w:r w:rsidR="00A95CF8" w:rsidRPr="005470AD">
        <w:rPr>
          <w:u w:color="000000"/>
          <w:bdr w:val="nil"/>
        </w:rPr>
        <w:t>’</w:t>
      </w:r>
      <w:r w:rsidRPr="005470AD">
        <w:rPr>
          <w:u w:color="000000"/>
          <w:bdr w:val="nil"/>
        </w:rPr>
        <w:t>incompétence matérielle.</w:t>
      </w:r>
    </w:p>
    <w:p w14:paraId="0C061265" w14:textId="77777777" w:rsidR="007A06E9" w:rsidRPr="005470AD" w:rsidRDefault="007A06E9" w:rsidP="002624E4">
      <w:pPr>
        <w:rPr>
          <w:u w:color="000000"/>
          <w:bdr w:val="nil"/>
        </w:rPr>
      </w:pPr>
    </w:p>
    <w:p w14:paraId="2A2D9EFD" w14:textId="530F4A65" w:rsidR="00D3265B" w:rsidRPr="005470AD" w:rsidRDefault="00D3265B" w:rsidP="002624E4">
      <w:pPr>
        <w:rPr>
          <w:rFonts w:eastAsia="Calibri"/>
          <w:u w:color="000000"/>
          <w:bdr w:val="nil"/>
        </w:rPr>
      </w:pPr>
      <w:r w:rsidRPr="005470AD">
        <w:rPr>
          <w:u w:color="000000"/>
          <w:bdr w:val="nil"/>
        </w:rPr>
        <w:t>À la lumière de ce qui précède, la Cour rejette l</w:t>
      </w:r>
      <w:r w:rsidR="00A95CF8" w:rsidRPr="005470AD">
        <w:rPr>
          <w:u w:color="000000"/>
          <w:bdr w:val="nil"/>
        </w:rPr>
        <w:t>’</w:t>
      </w:r>
      <w:r w:rsidRPr="005470AD">
        <w:rPr>
          <w:u w:color="000000"/>
          <w:bdr w:val="nil"/>
        </w:rPr>
        <w:t>exception soulevée par l</w:t>
      </w:r>
      <w:r w:rsidR="00A95CF8" w:rsidRPr="005470AD">
        <w:rPr>
          <w:u w:color="000000"/>
          <w:bdr w:val="nil"/>
        </w:rPr>
        <w:t>’</w:t>
      </w:r>
      <w:r w:rsidRPr="005470AD">
        <w:rPr>
          <w:u w:color="000000"/>
          <w:bdr w:val="nil"/>
        </w:rPr>
        <w:t xml:space="preserve">État défendeur et </w:t>
      </w:r>
      <w:r w:rsidR="00592575" w:rsidRPr="005470AD">
        <w:rPr>
          <w:u w:color="000000"/>
          <w:bdr w:val="nil"/>
        </w:rPr>
        <w:t>déclare</w:t>
      </w:r>
      <w:r w:rsidR="003B2922" w:rsidRPr="005470AD">
        <w:rPr>
          <w:u w:color="000000"/>
          <w:bdr w:val="nil"/>
        </w:rPr>
        <w:t xml:space="preserve"> </w:t>
      </w:r>
      <w:r w:rsidRPr="005470AD">
        <w:rPr>
          <w:u w:color="000000"/>
          <w:bdr w:val="nil"/>
        </w:rPr>
        <w:t>qu</w:t>
      </w:r>
      <w:r w:rsidR="00A95CF8" w:rsidRPr="005470AD">
        <w:rPr>
          <w:u w:color="000000"/>
          <w:bdr w:val="nil"/>
        </w:rPr>
        <w:t>’</w:t>
      </w:r>
      <w:r w:rsidRPr="005470AD">
        <w:rPr>
          <w:u w:color="000000"/>
          <w:bdr w:val="nil"/>
        </w:rPr>
        <w:t xml:space="preserve">elle a la compétence matérielle pour connaître de la présente Requête. </w:t>
      </w:r>
    </w:p>
    <w:p w14:paraId="5A93253C" w14:textId="77777777" w:rsidR="00D3265B" w:rsidRPr="005470AD" w:rsidRDefault="00D3265B" w:rsidP="002624E4">
      <w:pPr>
        <w:rPr>
          <w:u w:color="000000"/>
          <w:bdr w:val="nil"/>
          <w:lang w:eastAsia="en-GB"/>
        </w:rPr>
      </w:pPr>
    </w:p>
    <w:p w14:paraId="7B7390D4" w14:textId="146B3966" w:rsidR="00B14B75" w:rsidRPr="005470AD" w:rsidRDefault="005C1EEC" w:rsidP="002624E4">
      <w:bookmarkStart w:id="17" w:name="_Toc136592698"/>
      <w:r w:rsidRPr="005470AD">
        <w:t>Sur les a</w:t>
      </w:r>
      <w:r w:rsidR="00B14B75" w:rsidRPr="005470AD">
        <w:t>utres aspects de la compétence</w:t>
      </w:r>
      <w:bookmarkEnd w:id="17"/>
    </w:p>
    <w:p w14:paraId="1B87FDD8" w14:textId="77777777" w:rsidR="00B14B75" w:rsidRPr="005470AD" w:rsidRDefault="00B14B75" w:rsidP="002624E4"/>
    <w:p w14:paraId="13440BDC" w14:textId="7A94EF3A" w:rsidR="000A55D9" w:rsidRPr="005470AD" w:rsidRDefault="000A55D9" w:rsidP="002624E4">
      <w:r w:rsidRPr="005470AD">
        <w:t>La Cour note que l</w:t>
      </w:r>
      <w:r w:rsidR="00A95CF8" w:rsidRPr="005470AD">
        <w:t>’</w:t>
      </w:r>
      <w:r w:rsidRPr="005470AD">
        <w:t>État défendeur ne conteste pas sa compétence personnelle, temporelle et territoriale. Néanmoins, conformément à la règle 49(1) du Règlement,</w:t>
      </w:r>
      <w:r w:rsidRPr="005470AD">
        <w:rPr>
          <w:vertAlign w:val="superscript"/>
        </w:rPr>
        <w:footnoteReference w:id="10"/>
      </w:r>
      <w:r w:rsidRPr="005470AD">
        <w:t xml:space="preserve"> elle doit s</w:t>
      </w:r>
      <w:r w:rsidR="00A95CF8" w:rsidRPr="005470AD">
        <w:t>’</w:t>
      </w:r>
      <w:r w:rsidRPr="005470AD">
        <w:t>assurer que tous les aspects de sa compétence sont remplis avant de poursuivre l</w:t>
      </w:r>
      <w:r w:rsidR="00A95CF8" w:rsidRPr="005470AD">
        <w:t>’</w:t>
      </w:r>
      <w:r w:rsidRPr="005470AD">
        <w:t xml:space="preserve">examen de la Requête. </w:t>
      </w:r>
    </w:p>
    <w:p w14:paraId="470D4C69" w14:textId="77777777" w:rsidR="002933AE" w:rsidRPr="005470AD" w:rsidRDefault="002933AE" w:rsidP="002624E4"/>
    <w:p w14:paraId="3E3A253D" w14:textId="68734D15" w:rsidR="00853416" w:rsidRPr="005470AD" w:rsidRDefault="00853416" w:rsidP="002624E4">
      <w:r w:rsidRPr="005470AD">
        <w:rPr>
          <w:bCs/>
        </w:rPr>
        <w:t>S</w:t>
      </w:r>
      <w:r w:rsidR="00A95CF8" w:rsidRPr="005470AD">
        <w:rPr>
          <w:bCs/>
        </w:rPr>
        <w:t>’</w:t>
      </w:r>
      <w:r w:rsidRPr="005470AD">
        <w:rPr>
          <w:bCs/>
        </w:rPr>
        <w:t>agissant</w:t>
      </w:r>
      <w:r w:rsidRPr="005470AD">
        <w:t xml:space="preserve"> de sa compétence personnelle, la Cour rappelle, comme indiqué au paragraphe 2 du présent Arrêt, que le 21 novembre 2019, l</w:t>
      </w:r>
      <w:r w:rsidR="00A95CF8" w:rsidRPr="005470AD">
        <w:t>’</w:t>
      </w:r>
      <w:r w:rsidRPr="005470AD">
        <w:t>État défendeur a déposé l</w:t>
      </w:r>
      <w:r w:rsidR="00A95CF8" w:rsidRPr="005470AD">
        <w:t>’</w:t>
      </w:r>
      <w:r w:rsidRPr="005470AD">
        <w:t>instrument de retrait de la Déclaration. La Cour a décidé que le retrait de la Déclaration n</w:t>
      </w:r>
      <w:r w:rsidR="00A95CF8" w:rsidRPr="005470AD">
        <w:t>’</w:t>
      </w:r>
      <w:r w:rsidRPr="005470AD">
        <w:t>avait aucun effet rétroactif. Par conséquent, il n</w:t>
      </w:r>
      <w:r w:rsidR="00A95CF8" w:rsidRPr="005470AD">
        <w:t>’</w:t>
      </w:r>
      <w:r w:rsidRPr="005470AD">
        <w:t>a aucune incidence, ni sur les affaires pendantes devant la Cour avant le dépôt de l</w:t>
      </w:r>
      <w:r w:rsidR="00A95CF8" w:rsidRPr="005470AD">
        <w:t>’</w:t>
      </w:r>
      <w:r w:rsidRPr="005470AD">
        <w:t>instrument de retrait de la Déclaration, ni sur les nouvelles affaires introduites avant sa prise d</w:t>
      </w:r>
      <w:r w:rsidR="00A95CF8" w:rsidRPr="005470AD">
        <w:t>’</w:t>
      </w:r>
      <w:r w:rsidRPr="005470AD">
        <w:t>effet, un (1) an après le dépôt de l</w:t>
      </w:r>
      <w:r w:rsidR="00A95CF8" w:rsidRPr="005470AD">
        <w:t>’</w:t>
      </w:r>
      <w:r w:rsidRPr="005470AD">
        <w:t>instrument y relatif, soit le 22 novembre 2020. Par conséquent, la Cour estime qu</w:t>
      </w:r>
      <w:r w:rsidR="00A95CF8" w:rsidRPr="005470AD">
        <w:t>’</w:t>
      </w:r>
      <w:r w:rsidRPr="005470AD">
        <w:t>elle a la compétence personnelle pour connaître de la présente Requête, celle-ci ayant été déposée avant le retrait de la Déclaration.</w:t>
      </w:r>
    </w:p>
    <w:p w14:paraId="2DA5326B" w14:textId="77777777" w:rsidR="00392822" w:rsidRPr="005470AD" w:rsidRDefault="00392822" w:rsidP="002624E4">
      <w:pPr>
        <w:rPr>
          <w:color w:val="000000" w:themeColor="text1"/>
        </w:rPr>
      </w:pPr>
    </w:p>
    <w:p w14:paraId="358BEFF0" w14:textId="357E58D8" w:rsidR="00392822" w:rsidRPr="005470AD" w:rsidRDefault="00392822" w:rsidP="002624E4">
      <w:pPr>
        <w:rPr>
          <w:color w:val="000000" w:themeColor="text1"/>
        </w:rPr>
      </w:pPr>
      <w:r w:rsidRPr="005470AD">
        <w:rPr>
          <w:color w:val="000000" w:themeColor="text1"/>
        </w:rPr>
        <w:t>S</w:t>
      </w:r>
      <w:r w:rsidR="00A95CF8" w:rsidRPr="005470AD">
        <w:rPr>
          <w:color w:val="000000" w:themeColor="text1"/>
        </w:rPr>
        <w:t>’</w:t>
      </w:r>
      <w:r w:rsidRPr="005470AD">
        <w:rPr>
          <w:color w:val="000000" w:themeColor="text1"/>
        </w:rPr>
        <w:t>agissant de sa compétence temporelle, la Cour relève que les dates pertinentes, en ce qui concerne l</w:t>
      </w:r>
      <w:r w:rsidR="00A95CF8" w:rsidRPr="005470AD">
        <w:rPr>
          <w:color w:val="000000" w:themeColor="text1"/>
        </w:rPr>
        <w:t>’</w:t>
      </w:r>
      <w:r w:rsidRPr="005470AD">
        <w:rPr>
          <w:color w:val="000000" w:themeColor="text1"/>
        </w:rPr>
        <w:t>État défendeur, sont celles de l</w:t>
      </w:r>
      <w:r w:rsidR="00A95CF8" w:rsidRPr="005470AD">
        <w:rPr>
          <w:color w:val="000000" w:themeColor="text1"/>
        </w:rPr>
        <w:t>’</w:t>
      </w:r>
      <w:r w:rsidRPr="005470AD">
        <w:rPr>
          <w:color w:val="000000" w:themeColor="text1"/>
        </w:rPr>
        <w:t>entrée en vigueur de la Charte et du Protocole</w:t>
      </w:r>
      <w:r w:rsidR="005D1F5F" w:rsidRPr="005470AD">
        <w:rPr>
          <w:color w:val="000000" w:themeColor="text1"/>
        </w:rPr>
        <w:t>.</w:t>
      </w:r>
    </w:p>
    <w:p w14:paraId="7C0C6EE4" w14:textId="77777777" w:rsidR="007314A0" w:rsidRPr="005470AD" w:rsidRDefault="007314A0" w:rsidP="002624E4">
      <w:pPr>
        <w:rPr>
          <w:color w:val="000000" w:themeColor="text1"/>
        </w:rPr>
      </w:pPr>
    </w:p>
    <w:p w14:paraId="66580FC1" w14:textId="5A4879AB" w:rsidR="00392822" w:rsidRPr="005470AD" w:rsidRDefault="00392822" w:rsidP="002624E4">
      <w:pPr>
        <w:rPr>
          <w:bCs/>
        </w:rPr>
      </w:pPr>
      <w:r w:rsidRPr="005470AD">
        <w:rPr>
          <w:color w:val="000000" w:themeColor="text1"/>
        </w:rPr>
        <w:t>En l</w:t>
      </w:r>
      <w:r w:rsidR="00A95CF8" w:rsidRPr="005470AD">
        <w:rPr>
          <w:color w:val="000000" w:themeColor="text1"/>
        </w:rPr>
        <w:t>’</w:t>
      </w:r>
      <w:r w:rsidRPr="005470AD">
        <w:rPr>
          <w:color w:val="000000" w:themeColor="text1"/>
        </w:rPr>
        <w:t>espèce, la Cour relève que les violations alléguées par le Requérant sont fondées sur les arrêts de la Haute Cour et de la Cour d</w:t>
      </w:r>
      <w:r w:rsidR="00A95CF8" w:rsidRPr="005470AD">
        <w:rPr>
          <w:color w:val="000000" w:themeColor="text1"/>
        </w:rPr>
        <w:t>’</w:t>
      </w:r>
      <w:r w:rsidRPr="005470AD">
        <w:rPr>
          <w:color w:val="000000" w:themeColor="text1"/>
        </w:rPr>
        <w:t>appel rendus respectivement le 29 juin 2005 et le 21 mai 2009, soit après la ratification de la Charte et du Protocole par l</w:t>
      </w:r>
      <w:r w:rsidR="00A95CF8" w:rsidRPr="005470AD">
        <w:rPr>
          <w:color w:val="000000" w:themeColor="text1"/>
        </w:rPr>
        <w:t>’</w:t>
      </w:r>
      <w:r w:rsidRPr="005470AD">
        <w:rPr>
          <w:color w:val="000000" w:themeColor="text1"/>
        </w:rPr>
        <w:t>État défendeur. En outre, les violations alléguées ont un caractère continu, le Requérant restant</w:t>
      </w:r>
      <w:r w:rsidRPr="005470AD">
        <w:t xml:space="preserve"> </w:t>
      </w:r>
      <w:r w:rsidRPr="005470AD">
        <w:rPr>
          <w:color w:val="000000" w:themeColor="text1"/>
        </w:rPr>
        <w:t>condamné et en attente de l</w:t>
      </w:r>
      <w:r w:rsidR="00A95CF8" w:rsidRPr="005470AD">
        <w:rPr>
          <w:color w:val="000000" w:themeColor="text1"/>
        </w:rPr>
        <w:t>’</w:t>
      </w:r>
      <w:r w:rsidRPr="005470AD">
        <w:rPr>
          <w:color w:val="000000" w:themeColor="text1"/>
        </w:rPr>
        <w:t xml:space="preserve">exécution de la peine capitale prononcée à son encontre par la Haute Cour de </w:t>
      </w:r>
      <w:r w:rsidR="009005B9" w:rsidRPr="005470AD">
        <w:rPr>
          <w:color w:val="000000" w:themeColor="text1"/>
        </w:rPr>
        <w:t>Bukoba</w:t>
      </w:r>
      <w:r w:rsidRPr="005470AD">
        <w:rPr>
          <w:color w:val="000000" w:themeColor="text1"/>
        </w:rPr>
        <w:t>, sur la base de ce qu</w:t>
      </w:r>
      <w:r w:rsidR="00A95CF8" w:rsidRPr="005470AD">
        <w:rPr>
          <w:color w:val="000000" w:themeColor="text1"/>
        </w:rPr>
        <w:t>’</w:t>
      </w:r>
      <w:r w:rsidRPr="005470AD">
        <w:rPr>
          <w:color w:val="000000" w:themeColor="text1"/>
        </w:rPr>
        <w:t>il considère comme une procédure inéquitable.</w:t>
      </w:r>
      <w:r w:rsidRPr="005470AD">
        <w:rPr>
          <w:rStyle w:val="FootnoteReference"/>
          <w:rFonts w:ascii="Arial" w:hAnsi="Arial" w:cs="Arial"/>
        </w:rPr>
        <w:footnoteReference w:id="11"/>
      </w:r>
      <w:r w:rsidRPr="005470AD">
        <w:rPr>
          <w:color w:val="000000" w:themeColor="text1"/>
        </w:rPr>
        <w:t xml:space="preserve"> </w:t>
      </w:r>
    </w:p>
    <w:p w14:paraId="297088E3" w14:textId="77777777" w:rsidR="0013295E" w:rsidRPr="005470AD" w:rsidRDefault="0013295E" w:rsidP="002624E4">
      <w:pPr>
        <w:rPr>
          <w:bCs/>
        </w:rPr>
      </w:pPr>
    </w:p>
    <w:p w14:paraId="31F2B989" w14:textId="01756C31" w:rsidR="00853416" w:rsidRPr="005470AD" w:rsidRDefault="00853416" w:rsidP="002624E4">
      <w:r w:rsidRPr="005470AD">
        <w:t>La Cour estime également qu</w:t>
      </w:r>
      <w:r w:rsidR="00A95CF8" w:rsidRPr="005470AD">
        <w:t>’</w:t>
      </w:r>
      <w:r w:rsidRPr="005470AD">
        <w:t>elle a la compétence territoriale en l</w:t>
      </w:r>
      <w:r w:rsidR="00A95CF8" w:rsidRPr="005470AD">
        <w:t>’</w:t>
      </w:r>
      <w:r w:rsidRPr="005470AD">
        <w:t>espèce dans la mesure où les violations alléguées se sont produites sur le territoire de l</w:t>
      </w:r>
      <w:r w:rsidR="00A95CF8" w:rsidRPr="005470AD">
        <w:t>’</w:t>
      </w:r>
      <w:r w:rsidRPr="005470AD">
        <w:t>État défendeur.</w:t>
      </w:r>
    </w:p>
    <w:p w14:paraId="036A1661" w14:textId="77777777" w:rsidR="00CF049B" w:rsidRPr="005470AD" w:rsidRDefault="00CF049B" w:rsidP="002624E4"/>
    <w:p w14:paraId="4D3CFE91" w14:textId="53B47EA0" w:rsidR="00B14B75" w:rsidRPr="005470AD" w:rsidRDefault="00B14B75" w:rsidP="002624E4">
      <w:pPr>
        <w:rPr>
          <w:rStyle w:val="tlid-translation"/>
          <w:rFonts w:ascii="Arial" w:hAnsi="Arial" w:cs="Arial"/>
          <w:bCs/>
        </w:rPr>
      </w:pPr>
      <w:r w:rsidRPr="005470AD">
        <w:t>Compte tenu de ce qui précède, la Cour conclut qu</w:t>
      </w:r>
      <w:r w:rsidR="00A95CF8" w:rsidRPr="005470AD">
        <w:t>’</w:t>
      </w:r>
      <w:r w:rsidRPr="005470AD">
        <w:t>elle est compétente pour connaître de la présente Requête</w:t>
      </w:r>
      <w:r w:rsidRPr="005470AD">
        <w:rPr>
          <w:rStyle w:val="tlid-translation"/>
          <w:rFonts w:ascii="Arial" w:hAnsi="Arial"/>
        </w:rPr>
        <w:t>.</w:t>
      </w:r>
    </w:p>
    <w:p w14:paraId="37FEE648" w14:textId="77777777" w:rsidR="00F95F7C" w:rsidRPr="005470AD" w:rsidRDefault="00F95F7C" w:rsidP="002624E4">
      <w:pPr>
        <w:rPr>
          <w:bCs/>
        </w:rPr>
      </w:pPr>
    </w:p>
    <w:p w14:paraId="6424182B" w14:textId="77777777" w:rsidR="00EE0A5E" w:rsidRPr="005470AD" w:rsidRDefault="00EE0A5E" w:rsidP="002624E4">
      <w:pPr>
        <w:rPr>
          <w:bCs/>
        </w:rPr>
      </w:pPr>
    </w:p>
    <w:p w14:paraId="48D51752" w14:textId="77777777" w:rsidR="00B14B75" w:rsidRPr="005470AD" w:rsidRDefault="00B14B75" w:rsidP="002624E4">
      <w:bookmarkStart w:id="18" w:name="_Toc136592699"/>
      <w:r w:rsidRPr="005470AD">
        <w:t>SUR LA RECEVABILITÉ</w:t>
      </w:r>
      <w:bookmarkEnd w:id="18"/>
    </w:p>
    <w:p w14:paraId="31EC835A" w14:textId="77777777" w:rsidR="00B14B75" w:rsidRPr="005470AD" w:rsidRDefault="00B14B75" w:rsidP="002624E4"/>
    <w:p w14:paraId="5977D003" w14:textId="43308EAE" w:rsidR="0009712C" w:rsidRPr="005470AD" w:rsidRDefault="00B14B75" w:rsidP="002624E4">
      <w:r w:rsidRPr="005470AD">
        <w:t>Aux termes de l</w:t>
      </w:r>
      <w:r w:rsidR="00A95CF8" w:rsidRPr="005470AD">
        <w:t>’</w:t>
      </w:r>
      <w:r w:rsidRPr="005470AD">
        <w:t>article 6(2) du Protocole, « la Cour statue sur la recevabilité des requêtes en tenant compte des dispositions énoncées à l</w:t>
      </w:r>
      <w:r w:rsidR="00A95CF8" w:rsidRPr="005470AD">
        <w:t>’</w:t>
      </w:r>
      <w:r w:rsidRPr="005470AD">
        <w:t xml:space="preserve">article 56 de la Charte ». </w:t>
      </w:r>
    </w:p>
    <w:p w14:paraId="6473E565" w14:textId="77777777" w:rsidR="0009712C" w:rsidRPr="005470AD" w:rsidRDefault="0009712C" w:rsidP="002624E4"/>
    <w:p w14:paraId="4D343985" w14:textId="1B3992EC" w:rsidR="00B14B75" w:rsidRPr="005470AD" w:rsidRDefault="00B14B75" w:rsidP="002624E4">
      <w:r w:rsidRPr="005470AD">
        <w:t>En vertu des règles 49(1) et 50 du Règlement, « [l]a Cour procède à un examen de la recevabilité des requêtes introduites devant elle conformément aux articles 56 de la Charte et 6, alinéa 2 du Protocole, et au [</w:t>
      </w:r>
      <w:r w:rsidR="00A55F18" w:rsidRPr="005470AD">
        <w:t>…</w:t>
      </w:r>
      <w:r w:rsidRPr="005470AD">
        <w:t>] Règlement ».</w:t>
      </w:r>
    </w:p>
    <w:p w14:paraId="05E3E32A" w14:textId="4AEC002E" w:rsidR="00B14B75" w:rsidRPr="005470AD" w:rsidRDefault="00B14B75" w:rsidP="002624E4">
      <w:r w:rsidRPr="005470AD">
        <w:t>La règle 50(2) du Règlement, qui reprend en substance les dispositions de l</w:t>
      </w:r>
      <w:r w:rsidR="00A95CF8" w:rsidRPr="005470AD">
        <w:t>’</w:t>
      </w:r>
      <w:r w:rsidRPr="005470AD">
        <w:t xml:space="preserve">article 56 de la Charte, </w:t>
      </w:r>
      <w:r w:rsidR="00163154" w:rsidRPr="005470AD">
        <w:t>est libellée</w:t>
      </w:r>
      <w:r w:rsidRPr="005470AD">
        <w:t xml:space="preserve"> comme suit</w:t>
      </w:r>
      <w:r w:rsidR="00163154" w:rsidRPr="005470AD">
        <w:t xml:space="preserve"> </w:t>
      </w:r>
      <w:r w:rsidRPr="005470AD">
        <w:t>:</w:t>
      </w:r>
    </w:p>
    <w:p w14:paraId="21F6497E" w14:textId="77777777" w:rsidR="00A55F18" w:rsidRPr="005470AD" w:rsidRDefault="00A55F18" w:rsidP="002624E4">
      <w:pPr>
        <w:rPr>
          <w:szCs w:val="28"/>
        </w:rPr>
      </w:pPr>
    </w:p>
    <w:p w14:paraId="7FC5CDC4" w14:textId="478EAD91" w:rsidR="00B14B75" w:rsidRPr="005470AD" w:rsidRDefault="0099655C" w:rsidP="002624E4">
      <w:pPr>
        <w:rPr>
          <w:rFonts w:eastAsia="Calibri"/>
          <w:sz w:val="22"/>
          <w:szCs w:val="22"/>
        </w:rPr>
      </w:pPr>
      <w:r w:rsidRPr="005470AD">
        <w:rPr>
          <w:sz w:val="22"/>
        </w:rPr>
        <w:t xml:space="preserve">Les </w:t>
      </w:r>
      <w:r w:rsidR="00251C62" w:rsidRPr="005470AD">
        <w:rPr>
          <w:sz w:val="22"/>
        </w:rPr>
        <w:t>r</w:t>
      </w:r>
      <w:r w:rsidRPr="005470AD">
        <w:rPr>
          <w:sz w:val="22"/>
        </w:rPr>
        <w:t>equêtes déposées devant la Cour doivent remplir toutes les conditions ci-après :</w:t>
      </w:r>
    </w:p>
    <w:p w14:paraId="6273CCF1" w14:textId="54A728A7" w:rsidR="00B14B75" w:rsidRPr="005470AD" w:rsidRDefault="00406856" w:rsidP="002624E4">
      <w:pPr>
        <w:rPr>
          <w:sz w:val="22"/>
          <w:szCs w:val="22"/>
        </w:rPr>
      </w:pPr>
      <w:r w:rsidRPr="005470AD">
        <w:rPr>
          <w:sz w:val="22"/>
        </w:rPr>
        <w:t>Indiquer l</w:t>
      </w:r>
      <w:r w:rsidR="00A95CF8" w:rsidRPr="005470AD">
        <w:rPr>
          <w:sz w:val="22"/>
        </w:rPr>
        <w:t>’</w:t>
      </w:r>
      <w:r w:rsidRPr="005470AD">
        <w:rPr>
          <w:sz w:val="22"/>
        </w:rPr>
        <w:t>identité de leur auteur même si celui-ci demande à la Cour de garder l</w:t>
      </w:r>
      <w:r w:rsidR="00A95CF8" w:rsidRPr="005470AD">
        <w:rPr>
          <w:sz w:val="22"/>
        </w:rPr>
        <w:t>’</w:t>
      </w:r>
      <w:r w:rsidRPr="005470AD">
        <w:rPr>
          <w:sz w:val="22"/>
        </w:rPr>
        <w:t>anonymat ;</w:t>
      </w:r>
    </w:p>
    <w:p w14:paraId="0F8A1365" w14:textId="3F602B2C" w:rsidR="00B14B75" w:rsidRPr="005470AD" w:rsidRDefault="00406856" w:rsidP="002624E4">
      <w:pPr>
        <w:rPr>
          <w:sz w:val="22"/>
          <w:szCs w:val="22"/>
        </w:rPr>
      </w:pPr>
      <w:r w:rsidRPr="005470AD">
        <w:rPr>
          <w:sz w:val="22"/>
        </w:rPr>
        <w:t>Être compatibles avec l</w:t>
      </w:r>
      <w:r w:rsidR="00A95CF8" w:rsidRPr="005470AD">
        <w:rPr>
          <w:sz w:val="22"/>
        </w:rPr>
        <w:t>’</w:t>
      </w:r>
      <w:r w:rsidRPr="005470AD">
        <w:rPr>
          <w:sz w:val="22"/>
        </w:rPr>
        <w:t>Acte constitutif de l</w:t>
      </w:r>
      <w:r w:rsidR="00A95CF8" w:rsidRPr="005470AD">
        <w:rPr>
          <w:sz w:val="22"/>
        </w:rPr>
        <w:t>’</w:t>
      </w:r>
      <w:r w:rsidRPr="005470AD">
        <w:rPr>
          <w:sz w:val="22"/>
        </w:rPr>
        <w:t>Union africaine et la Charte ;</w:t>
      </w:r>
    </w:p>
    <w:p w14:paraId="3F16B500" w14:textId="685650EC" w:rsidR="00B14B75" w:rsidRPr="005470AD" w:rsidRDefault="00406856" w:rsidP="002624E4">
      <w:pPr>
        <w:rPr>
          <w:sz w:val="22"/>
          <w:szCs w:val="22"/>
        </w:rPr>
      </w:pPr>
      <w:r w:rsidRPr="005470AD">
        <w:rPr>
          <w:sz w:val="22"/>
        </w:rPr>
        <w:t>Ne pas être rédigées dans des termes outrageants ou insultants à l</w:t>
      </w:r>
      <w:r w:rsidR="00A95CF8" w:rsidRPr="005470AD">
        <w:rPr>
          <w:sz w:val="22"/>
        </w:rPr>
        <w:t>’</w:t>
      </w:r>
      <w:r w:rsidRPr="005470AD">
        <w:rPr>
          <w:sz w:val="22"/>
        </w:rPr>
        <w:t>égard de l</w:t>
      </w:r>
      <w:r w:rsidR="00A95CF8" w:rsidRPr="005470AD">
        <w:rPr>
          <w:sz w:val="22"/>
        </w:rPr>
        <w:t>’</w:t>
      </w:r>
      <w:r w:rsidRPr="005470AD">
        <w:rPr>
          <w:sz w:val="22"/>
        </w:rPr>
        <w:t>État concerné et ses institutions ou de l</w:t>
      </w:r>
      <w:r w:rsidR="00A95CF8" w:rsidRPr="005470AD">
        <w:rPr>
          <w:sz w:val="22"/>
        </w:rPr>
        <w:t>’</w:t>
      </w:r>
      <w:r w:rsidRPr="005470AD">
        <w:rPr>
          <w:sz w:val="22"/>
        </w:rPr>
        <w:t>Union africaine ;</w:t>
      </w:r>
    </w:p>
    <w:p w14:paraId="652A9A63" w14:textId="3E73AD81" w:rsidR="00B14B75" w:rsidRPr="005470AD" w:rsidRDefault="00406856" w:rsidP="002624E4">
      <w:pPr>
        <w:rPr>
          <w:sz w:val="22"/>
          <w:szCs w:val="22"/>
        </w:rPr>
      </w:pPr>
      <w:r w:rsidRPr="005470AD">
        <w:rPr>
          <w:sz w:val="22"/>
        </w:rPr>
        <w:t>Ne pas se limiter à rassembler exclusivement des nouvelles diffusées par les moyens de communication de masse ;</w:t>
      </w:r>
    </w:p>
    <w:p w14:paraId="2E71BC8E" w14:textId="5F7373CC" w:rsidR="00B14B75" w:rsidRPr="005470AD" w:rsidRDefault="00406856" w:rsidP="002624E4">
      <w:pPr>
        <w:rPr>
          <w:sz w:val="22"/>
          <w:szCs w:val="22"/>
        </w:rPr>
      </w:pPr>
      <w:r w:rsidRPr="005470AD">
        <w:rPr>
          <w:sz w:val="22"/>
        </w:rPr>
        <w:t>Être postérieures à l</w:t>
      </w:r>
      <w:r w:rsidR="00A95CF8" w:rsidRPr="005470AD">
        <w:rPr>
          <w:sz w:val="22"/>
        </w:rPr>
        <w:t>’</w:t>
      </w:r>
      <w:r w:rsidRPr="005470AD">
        <w:rPr>
          <w:sz w:val="22"/>
        </w:rPr>
        <w:t>épuisement des recours internes s</w:t>
      </w:r>
      <w:r w:rsidR="00A95CF8" w:rsidRPr="005470AD">
        <w:rPr>
          <w:sz w:val="22"/>
        </w:rPr>
        <w:t>’</w:t>
      </w:r>
      <w:r w:rsidRPr="005470AD">
        <w:rPr>
          <w:sz w:val="22"/>
        </w:rPr>
        <w:t>ils existent, à moins qu</w:t>
      </w:r>
      <w:r w:rsidR="00A95CF8" w:rsidRPr="005470AD">
        <w:rPr>
          <w:sz w:val="22"/>
        </w:rPr>
        <w:t>’</w:t>
      </w:r>
      <w:r w:rsidRPr="005470AD">
        <w:rPr>
          <w:sz w:val="22"/>
        </w:rPr>
        <w:t>il ne soit manifeste à la Cour que la procédure de ces recours se prolonge de façon anormale ;</w:t>
      </w:r>
    </w:p>
    <w:p w14:paraId="5C5B5F56" w14:textId="6B0B7068" w:rsidR="00B14B75" w:rsidRPr="005470AD" w:rsidRDefault="00406856" w:rsidP="002624E4">
      <w:pPr>
        <w:rPr>
          <w:sz w:val="22"/>
          <w:szCs w:val="22"/>
        </w:rPr>
      </w:pPr>
      <w:r w:rsidRPr="005470AD">
        <w:rPr>
          <w:sz w:val="22"/>
        </w:rPr>
        <w:t>Être introduites dans un délai raisonnable courant depuis l</w:t>
      </w:r>
      <w:r w:rsidR="00A95CF8" w:rsidRPr="005470AD">
        <w:rPr>
          <w:sz w:val="22"/>
        </w:rPr>
        <w:t>’</w:t>
      </w:r>
      <w:r w:rsidRPr="005470AD">
        <w:rPr>
          <w:sz w:val="22"/>
        </w:rPr>
        <w:t>épuisement des recours internes ou depuis la date retenue par la Cour comme faisant commencer à courir le délai de sa saisine ;</w:t>
      </w:r>
    </w:p>
    <w:p w14:paraId="38655895" w14:textId="5C5C3120" w:rsidR="00B14B75" w:rsidRPr="005470AD" w:rsidRDefault="00612DE0" w:rsidP="002624E4">
      <w:pPr>
        <w:rPr>
          <w:sz w:val="22"/>
          <w:szCs w:val="22"/>
        </w:rPr>
      </w:pPr>
      <w:r w:rsidRPr="005470AD">
        <w:rPr>
          <w:sz w:val="22"/>
        </w:rPr>
        <w:t>Ne pas concerner des affaires qui ont été réglées par les États concernés, conformément aux principes de la Charte des Nations Unies, de l</w:t>
      </w:r>
      <w:r w:rsidR="00A95CF8" w:rsidRPr="005470AD">
        <w:rPr>
          <w:sz w:val="22"/>
        </w:rPr>
        <w:t>’</w:t>
      </w:r>
      <w:r w:rsidRPr="005470AD">
        <w:rPr>
          <w:sz w:val="22"/>
        </w:rPr>
        <w:t>Acte constitutif de l</w:t>
      </w:r>
      <w:r w:rsidR="00A95CF8" w:rsidRPr="005470AD">
        <w:rPr>
          <w:sz w:val="22"/>
        </w:rPr>
        <w:t>’</w:t>
      </w:r>
      <w:r w:rsidRPr="005470AD">
        <w:rPr>
          <w:sz w:val="22"/>
        </w:rPr>
        <w:t>Union africaine ou des dispositions de la Charte.</w:t>
      </w:r>
    </w:p>
    <w:p w14:paraId="45F35E7B" w14:textId="77777777" w:rsidR="00192701" w:rsidRPr="005470AD" w:rsidRDefault="00192701" w:rsidP="002624E4"/>
    <w:p w14:paraId="745001C3" w14:textId="7F117718" w:rsidR="00192701" w:rsidRPr="005470AD" w:rsidRDefault="00192701" w:rsidP="002624E4">
      <w:r w:rsidRPr="005470AD">
        <w:t>La Cour note que l</w:t>
      </w:r>
      <w:r w:rsidR="00A95CF8" w:rsidRPr="005470AD">
        <w:t>’</w:t>
      </w:r>
      <w:r w:rsidRPr="005470AD">
        <w:t>État défendeur soulève deux (2) exceptions</w:t>
      </w:r>
      <w:r w:rsidR="00E85598" w:rsidRPr="005470AD">
        <w:t xml:space="preserve"> d</w:t>
      </w:r>
      <w:r w:rsidR="00A95CF8" w:rsidRPr="005470AD">
        <w:t>’</w:t>
      </w:r>
      <w:r w:rsidR="00E85598" w:rsidRPr="005470AD">
        <w:t>ir</w:t>
      </w:r>
      <w:r w:rsidRPr="005470AD">
        <w:t>recevabilité de la Requête</w:t>
      </w:r>
      <w:r w:rsidR="008A5973" w:rsidRPr="005470AD">
        <w:t>, l</w:t>
      </w:r>
      <w:r w:rsidR="00A95CF8" w:rsidRPr="005470AD">
        <w:t>’</w:t>
      </w:r>
      <w:r w:rsidR="008A5973" w:rsidRPr="005470AD">
        <w:t>une</w:t>
      </w:r>
      <w:r w:rsidR="00F60CE2" w:rsidRPr="005470AD">
        <w:t xml:space="preserve"> tirée </w:t>
      </w:r>
      <w:r w:rsidR="00064884" w:rsidRPr="005470AD">
        <w:t xml:space="preserve">du </w:t>
      </w:r>
      <w:r w:rsidR="00064884" w:rsidRPr="005470AD">
        <w:rPr>
          <w:bCs/>
        </w:rPr>
        <w:t>non-épuisement</w:t>
      </w:r>
      <w:r w:rsidR="00064884" w:rsidRPr="005470AD">
        <w:t xml:space="preserve"> des recours internes</w:t>
      </w:r>
      <w:r w:rsidR="00D675D0" w:rsidRPr="005470AD">
        <w:t xml:space="preserve"> </w:t>
      </w:r>
      <w:r w:rsidR="00F60CE2" w:rsidRPr="005470AD">
        <w:t xml:space="preserve">et </w:t>
      </w:r>
      <w:r w:rsidR="008A5973" w:rsidRPr="005470AD">
        <w:t>l</w:t>
      </w:r>
      <w:r w:rsidR="00A95CF8" w:rsidRPr="005470AD">
        <w:t>’</w:t>
      </w:r>
      <w:r w:rsidR="008A5973" w:rsidRPr="005470AD">
        <w:t>autre</w:t>
      </w:r>
      <w:r w:rsidR="00F60CE2" w:rsidRPr="005470AD">
        <w:t xml:space="preserve"> </w:t>
      </w:r>
      <w:r w:rsidR="00E85598" w:rsidRPr="005470AD">
        <w:t>du dépôt</w:t>
      </w:r>
      <w:r w:rsidR="00D675D0" w:rsidRPr="005470AD">
        <w:t xml:space="preserve"> </w:t>
      </w:r>
      <w:r w:rsidR="00E85598" w:rsidRPr="005470AD">
        <w:t xml:space="preserve">de </w:t>
      </w:r>
      <w:r w:rsidRPr="005470AD">
        <w:t xml:space="preserve">la Requête dans un délai </w:t>
      </w:r>
      <w:r w:rsidR="00E85598" w:rsidRPr="005470AD">
        <w:t xml:space="preserve">non </w:t>
      </w:r>
      <w:r w:rsidRPr="005470AD">
        <w:t>raisonnable.</w:t>
      </w:r>
    </w:p>
    <w:p w14:paraId="4272A884" w14:textId="77777777" w:rsidR="008033FC" w:rsidRPr="005470AD" w:rsidRDefault="008033FC" w:rsidP="002624E4"/>
    <w:p w14:paraId="6EF64DEF" w14:textId="34AA639B" w:rsidR="00A269FF" w:rsidRPr="005470AD" w:rsidRDefault="005C1EEC" w:rsidP="002624E4">
      <w:bookmarkStart w:id="19" w:name="_Toc136592700"/>
      <w:r w:rsidRPr="005470AD">
        <w:t>Sur l’e</w:t>
      </w:r>
      <w:r w:rsidR="00B14B75" w:rsidRPr="005470AD">
        <w:t>xception tirée du non-épuisement des recours internes</w:t>
      </w:r>
      <w:bookmarkEnd w:id="19"/>
    </w:p>
    <w:p w14:paraId="21513F4F" w14:textId="77777777" w:rsidR="00554EF9" w:rsidRPr="005470AD" w:rsidRDefault="00554EF9" w:rsidP="002624E4"/>
    <w:p w14:paraId="0AC09256" w14:textId="6A6A1F32" w:rsidR="00382154" w:rsidRPr="005470AD" w:rsidRDefault="00382154" w:rsidP="002624E4">
      <w:r w:rsidRPr="005470AD">
        <w:t>L</w:t>
      </w:r>
      <w:r w:rsidR="00A95CF8" w:rsidRPr="005470AD">
        <w:t>’</w:t>
      </w:r>
      <w:r w:rsidRPr="005470AD">
        <w:t>État défendeur soutient qu</w:t>
      </w:r>
      <w:r w:rsidR="00A95CF8" w:rsidRPr="005470AD">
        <w:t>’</w:t>
      </w:r>
      <w:r w:rsidR="00E85598" w:rsidRPr="005470AD">
        <w:t>en violation</w:t>
      </w:r>
      <w:r w:rsidRPr="005470AD">
        <w:t xml:space="preserve"> de l</w:t>
      </w:r>
      <w:r w:rsidR="00A95CF8" w:rsidRPr="005470AD">
        <w:t>’</w:t>
      </w:r>
      <w:r w:rsidRPr="005470AD">
        <w:t>article 40(5) du Règlement de la Cour,</w:t>
      </w:r>
      <w:r w:rsidR="00447F46" w:rsidRPr="005470AD">
        <w:rPr>
          <w:rStyle w:val="FootnoteReference"/>
          <w:rFonts w:ascii="Arial" w:hAnsi="Arial" w:cs="Arial"/>
        </w:rPr>
        <w:footnoteReference w:id="12"/>
      </w:r>
      <w:r w:rsidRPr="005470AD">
        <w:t xml:space="preserve"> la Requête a été introduite de façon prématuré</w:t>
      </w:r>
      <w:r w:rsidR="001A1100" w:rsidRPr="005470AD">
        <w:t xml:space="preserve">e. </w:t>
      </w:r>
      <w:r w:rsidR="008A5973" w:rsidRPr="005470AD">
        <w:rPr>
          <w:bCs/>
        </w:rPr>
        <w:t>Il affirme</w:t>
      </w:r>
      <w:r w:rsidR="001A1100" w:rsidRPr="005470AD">
        <w:rPr>
          <w:bCs/>
        </w:rPr>
        <w:t xml:space="preserve"> que</w:t>
      </w:r>
      <w:r w:rsidR="001A1100" w:rsidRPr="005470AD">
        <w:t xml:space="preserve"> le </w:t>
      </w:r>
      <w:r w:rsidRPr="005470AD">
        <w:t>Requérant n</w:t>
      </w:r>
      <w:r w:rsidR="00A95CF8" w:rsidRPr="005470AD">
        <w:t>’</w:t>
      </w:r>
      <w:r w:rsidRPr="005470AD">
        <w:t>a pas exercé le recours en inconstitutionnalité devant la Haute Cour conformément à l</w:t>
      </w:r>
      <w:r w:rsidR="00A95CF8" w:rsidRPr="005470AD">
        <w:t>’</w:t>
      </w:r>
      <w:r w:rsidRPr="005470AD">
        <w:t>article 13(6) de la Constitution de Tanzanie (1977), ni demandé la révision de la décision de la Cour d</w:t>
      </w:r>
      <w:r w:rsidR="00A95CF8" w:rsidRPr="005470AD">
        <w:t>’</w:t>
      </w:r>
      <w:r w:rsidRPr="005470AD">
        <w:t xml:space="preserve">appel </w:t>
      </w:r>
      <w:r w:rsidR="00E85598" w:rsidRPr="005470AD">
        <w:t>pour qu</w:t>
      </w:r>
      <w:r w:rsidR="00A95CF8" w:rsidRPr="005470AD">
        <w:t>’</w:t>
      </w:r>
      <w:r w:rsidR="00E85598" w:rsidRPr="005470AD">
        <w:t>il soit remédié</w:t>
      </w:r>
      <w:r w:rsidR="00E16350" w:rsidRPr="005470AD">
        <w:t xml:space="preserve"> </w:t>
      </w:r>
      <w:r w:rsidRPr="005470AD">
        <w:t>à la violation alléguée de son droit à ce que sa cause soit entendue.</w:t>
      </w:r>
    </w:p>
    <w:p w14:paraId="35A61DC7" w14:textId="77777777" w:rsidR="00B008CC" w:rsidRPr="005470AD" w:rsidRDefault="00B008CC" w:rsidP="002624E4"/>
    <w:p w14:paraId="39AB3797" w14:textId="3FA1D946" w:rsidR="005D7598" w:rsidRPr="005470AD" w:rsidRDefault="00B27CF7" w:rsidP="002624E4">
      <w:r w:rsidRPr="005470AD">
        <w:t xml:space="preserve">Dans </w:t>
      </w:r>
      <w:r w:rsidR="00BE478F" w:rsidRPr="005470AD">
        <w:rPr>
          <w:bCs/>
        </w:rPr>
        <w:t>l</w:t>
      </w:r>
      <w:r w:rsidRPr="005470AD">
        <w:rPr>
          <w:bCs/>
        </w:rPr>
        <w:t>a</w:t>
      </w:r>
      <w:r w:rsidRPr="005470AD">
        <w:t xml:space="preserve"> Réplique, le Requérant soutient qu</w:t>
      </w:r>
      <w:r w:rsidR="00A95CF8" w:rsidRPr="005470AD">
        <w:t>’</w:t>
      </w:r>
      <w:r w:rsidRPr="005470AD">
        <w:t>il a épuisé les recours internes avant de saisir la Cour. Il fait valoir qu</w:t>
      </w:r>
      <w:r w:rsidR="00A95CF8" w:rsidRPr="005470AD">
        <w:t>’</w:t>
      </w:r>
      <w:r w:rsidRPr="005470AD">
        <w:t xml:space="preserve">un recours en inconstitutionnalité aurait peu de chance de prospérer dans la mesure où un juge chargé de statuer sur les requêtes en inconstitutionnalité ne </w:t>
      </w:r>
      <w:r w:rsidR="00610172" w:rsidRPr="005470AD">
        <w:t xml:space="preserve">peut, </w:t>
      </w:r>
      <w:r w:rsidRPr="005470AD">
        <w:t>à lui seul</w:t>
      </w:r>
      <w:r w:rsidR="00610172" w:rsidRPr="005470AD">
        <w:t>,</w:t>
      </w:r>
      <w:r w:rsidRPr="005470AD">
        <w:t xml:space="preserve"> annuler la décision de la Cour d</w:t>
      </w:r>
      <w:r w:rsidR="00A95CF8" w:rsidRPr="005470AD">
        <w:t>’</w:t>
      </w:r>
      <w:r w:rsidRPr="005470AD">
        <w:t xml:space="preserve">appel, qui a été rendue par un collège de trois </w:t>
      </w:r>
      <w:r w:rsidRPr="005470AD">
        <w:lastRenderedPageBreak/>
        <w:t>juges. En outre, le Requérant réfute l</w:t>
      </w:r>
      <w:r w:rsidR="00A95CF8" w:rsidRPr="005470AD">
        <w:t>’</w:t>
      </w:r>
      <w:r w:rsidRPr="005470AD">
        <w:t>affirmation selon laquelle il n</w:t>
      </w:r>
      <w:r w:rsidR="00A95CF8" w:rsidRPr="005470AD">
        <w:t>’</w:t>
      </w:r>
      <w:r w:rsidRPr="005470AD">
        <w:t>a pas exercé de recours en révision, étant donné qu</w:t>
      </w:r>
      <w:r w:rsidR="00A95CF8" w:rsidRPr="005470AD">
        <w:t>’</w:t>
      </w:r>
      <w:r w:rsidRPr="005470AD">
        <w:t>il a déposé un avis de requête en révision de la décision de la Cour d</w:t>
      </w:r>
      <w:r w:rsidR="00A95CF8" w:rsidRPr="005470AD">
        <w:t>’</w:t>
      </w:r>
      <w:r w:rsidRPr="005470AD">
        <w:t>appel, qui a été reçu par le « Greffe de la Cour d</w:t>
      </w:r>
      <w:r w:rsidR="00A95CF8" w:rsidRPr="005470AD">
        <w:t>’</w:t>
      </w:r>
      <w:r w:rsidRPr="005470AD">
        <w:t xml:space="preserve">appel de Bukoba le 11 mars 2014 ». </w:t>
      </w:r>
    </w:p>
    <w:p w14:paraId="4EED0681" w14:textId="77777777" w:rsidR="00454B2B" w:rsidRPr="005470AD" w:rsidRDefault="00454B2B" w:rsidP="002624E4"/>
    <w:p w14:paraId="62DF0C20" w14:textId="3E228FA2" w:rsidR="005D7598" w:rsidRPr="005470AD" w:rsidRDefault="00192701" w:rsidP="002624E4">
      <w:r w:rsidRPr="005470AD">
        <w:t>***</w:t>
      </w:r>
    </w:p>
    <w:p w14:paraId="23B8F020" w14:textId="77777777" w:rsidR="00E16350" w:rsidRPr="005470AD" w:rsidRDefault="00E16350" w:rsidP="002624E4">
      <w:pPr>
        <w:rPr>
          <w:iCs/>
        </w:rPr>
      </w:pPr>
    </w:p>
    <w:p w14:paraId="277D1B45" w14:textId="0DE8CE54" w:rsidR="00B27CF7" w:rsidRPr="005470AD" w:rsidRDefault="00B27CF7" w:rsidP="002624E4">
      <w:pPr>
        <w:rPr>
          <w:iCs/>
        </w:rPr>
      </w:pPr>
      <w:r w:rsidRPr="005470AD">
        <w:t>La Cour relève qu</w:t>
      </w:r>
      <w:r w:rsidR="00A95CF8" w:rsidRPr="005470AD">
        <w:t>’</w:t>
      </w:r>
      <w:r w:rsidRPr="005470AD">
        <w:t>aux termes de l</w:t>
      </w:r>
      <w:r w:rsidR="00A95CF8" w:rsidRPr="005470AD">
        <w:t>’</w:t>
      </w:r>
      <w:r w:rsidRPr="005470AD">
        <w:t>article 56(5) de la Charte, dont les dispositions sont reprises par la règle 50(2)(e) du Règlement, toute requête dont elle est saisie doit satisfaire à l</w:t>
      </w:r>
      <w:r w:rsidR="00A95CF8" w:rsidRPr="005470AD">
        <w:t>’</w:t>
      </w:r>
      <w:r w:rsidRPr="005470AD">
        <w:t>exigence de l</w:t>
      </w:r>
      <w:r w:rsidR="00A95CF8" w:rsidRPr="005470AD">
        <w:t>’</w:t>
      </w:r>
      <w:r w:rsidRPr="005470AD">
        <w:t xml:space="preserve">épuisement des recours internes. </w:t>
      </w:r>
      <w:r w:rsidR="00970D6E" w:rsidRPr="005470AD">
        <w:t xml:space="preserve">Cette </w:t>
      </w:r>
      <w:r w:rsidR="00D057A9" w:rsidRPr="005470AD">
        <w:t xml:space="preserve">exigence </w:t>
      </w:r>
      <w:r w:rsidRPr="005470AD">
        <w:t>vise à donner aux États la possibilité de traiter les violations des droits de l</w:t>
      </w:r>
      <w:r w:rsidR="00A95CF8" w:rsidRPr="005470AD">
        <w:t>’</w:t>
      </w:r>
      <w:r w:rsidRPr="005470AD">
        <w:t>homme relevant d</w:t>
      </w:r>
      <w:r w:rsidR="009143DD" w:rsidRPr="005470AD">
        <w:t>e</w:t>
      </w:r>
      <w:r w:rsidRPr="005470AD">
        <w:t xml:space="preserve"> leur juridiction avant qu</w:t>
      </w:r>
      <w:r w:rsidR="00A95CF8" w:rsidRPr="005470AD">
        <w:t>’</w:t>
      </w:r>
      <w:r w:rsidRPr="005470AD">
        <w:t>un organe international des droits de l</w:t>
      </w:r>
      <w:r w:rsidR="00A95CF8" w:rsidRPr="005470AD">
        <w:t>’</w:t>
      </w:r>
      <w:r w:rsidRPr="005470AD">
        <w:t>homme ne soit saisi pour déterminer la responsabilité de l</w:t>
      </w:r>
      <w:r w:rsidR="00A95CF8" w:rsidRPr="005470AD">
        <w:t>’</w:t>
      </w:r>
      <w:r w:rsidRPr="005470AD">
        <w:t>État à cet égard.</w:t>
      </w:r>
      <w:r w:rsidRPr="005470AD">
        <w:rPr>
          <w:vertAlign w:val="superscript"/>
        </w:rPr>
        <w:footnoteReference w:id="13"/>
      </w:r>
      <w:r w:rsidRPr="005470AD">
        <w:t xml:space="preserve"> </w:t>
      </w:r>
    </w:p>
    <w:p w14:paraId="614E3421" w14:textId="77777777" w:rsidR="005856F4" w:rsidRPr="005470AD" w:rsidRDefault="005856F4" w:rsidP="002624E4">
      <w:pPr>
        <w:rPr>
          <w:iCs/>
        </w:rPr>
      </w:pPr>
    </w:p>
    <w:p w14:paraId="649653C7" w14:textId="79599A49" w:rsidR="002A037B" w:rsidRPr="005470AD" w:rsidRDefault="00B27CF7" w:rsidP="002624E4">
      <w:r w:rsidRPr="005470AD">
        <w:t>La Cour de céans a également conclu dans un certain nombre d</w:t>
      </w:r>
      <w:r w:rsidR="00A95CF8" w:rsidRPr="005470AD">
        <w:t>’</w:t>
      </w:r>
      <w:r w:rsidRPr="005470AD">
        <w:t>affaires impliquant l</w:t>
      </w:r>
      <w:r w:rsidR="00A95CF8" w:rsidRPr="005470AD">
        <w:t>’</w:t>
      </w:r>
      <w:r w:rsidRPr="005470AD">
        <w:t>État défendeur que les recours en inconstitutionnalité devant la Haute Cour et le recours en révision, tel qu</w:t>
      </w:r>
      <w:r w:rsidR="00A95CF8" w:rsidRPr="005470AD">
        <w:t>’</w:t>
      </w:r>
      <w:r w:rsidRPr="005470AD">
        <w:t>ils s</w:t>
      </w:r>
      <w:r w:rsidR="00A95CF8" w:rsidRPr="005470AD">
        <w:t>’</w:t>
      </w:r>
      <w:r w:rsidRPr="005470AD">
        <w:t>appliquent dans le système judiciaire de l</w:t>
      </w:r>
      <w:r w:rsidR="00A95CF8" w:rsidRPr="005470AD">
        <w:t>’</w:t>
      </w:r>
      <w:r w:rsidRPr="005470AD">
        <w:t>État défendeur, sont des recours extraordinaires qu</w:t>
      </w:r>
      <w:r w:rsidR="00A95CF8" w:rsidRPr="005470AD">
        <w:t>’</w:t>
      </w:r>
      <w:r w:rsidRPr="005470AD">
        <w:t>un Requérant n</w:t>
      </w:r>
      <w:r w:rsidR="00A95CF8" w:rsidRPr="005470AD">
        <w:t>’</w:t>
      </w:r>
      <w:r w:rsidRPr="005470AD">
        <w:t>est pas tenu d</w:t>
      </w:r>
      <w:r w:rsidR="00A95CF8" w:rsidRPr="005470AD">
        <w:t>’</w:t>
      </w:r>
      <w:r w:rsidRPr="005470AD">
        <w:t>épuiser avant de la saisir.</w:t>
      </w:r>
      <w:r w:rsidRPr="005470AD">
        <w:rPr>
          <w:rStyle w:val="FootnoteReference"/>
          <w:rFonts w:ascii="Arial" w:hAnsi="Arial" w:cs="Arial"/>
        </w:rPr>
        <w:footnoteReference w:id="14"/>
      </w:r>
      <w:r w:rsidRPr="005470AD">
        <w:t xml:space="preserve"> </w:t>
      </w:r>
    </w:p>
    <w:p w14:paraId="11288B5E" w14:textId="77777777" w:rsidR="002A037B" w:rsidRPr="005470AD" w:rsidRDefault="002A037B" w:rsidP="002624E4"/>
    <w:p w14:paraId="5B43D51D" w14:textId="0C8707B1" w:rsidR="00B27CF7" w:rsidRPr="005470AD" w:rsidRDefault="00B27CF7" w:rsidP="002624E4">
      <w:r w:rsidRPr="005470AD">
        <w:t xml:space="preserve">La Cour </w:t>
      </w:r>
      <w:r w:rsidR="004A487C" w:rsidRPr="005470AD">
        <w:t>relève</w:t>
      </w:r>
      <w:r w:rsidRPr="005470AD">
        <w:t xml:space="preserve"> que</w:t>
      </w:r>
      <w:r w:rsidR="004A487C" w:rsidRPr="005470AD">
        <w:t xml:space="preserve"> la</w:t>
      </w:r>
      <w:r w:rsidR="00CC3F16" w:rsidRPr="005470AD">
        <w:t xml:space="preserve"> </w:t>
      </w:r>
      <w:r w:rsidR="00290874" w:rsidRPr="005470AD">
        <w:t>Cour d</w:t>
      </w:r>
      <w:r w:rsidR="00A95CF8" w:rsidRPr="005470AD">
        <w:t>’</w:t>
      </w:r>
      <w:r w:rsidR="00290874" w:rsidRPr="005470AD">
        <w:t>appel de Tanzanie, l</w:t>
      </w:r>
      <w:r w:rsidR="00A95CF8" w:rsidRPr="005470AD">
        <w:t>’</w:t>
      </w:r>
      <w:r w:rsidR="00290874" w:rsidRPr="005470AD">
        <w:t>organe judiciaire suprême de l</w:t>
      </w:r>
      <w:r w:rsidR="00A95CF8" w:rsidRPr="005470AD">
        <w:t>’</w:t>
      </w:r>
      <w:r w:rsidR="00290874" w:rsidRPr="005470AD">
        <w:t>État défendeur, a, par son Arrêt du 21 mai 2009 sur l</w:t>
      </w:r>
      <w:r w:rsidR="00A95CF8" w:rsidRPr="005470AD">
        <w:t>’</w:t>
      </w:r>
      <w:r w:rsidR="00D34C12" w:rsidRPr="005470AD">
        <w:t>appel du Requérant, confirmé la</w:t>
      </w:r>
      <w:r w:rsidR="00290874" w:rsidRPr="005470AD">
        <w:t xml:space="preserve"> condamnation </w:t>
      </w:r>
      <w:r w:rsidR="00D34C12" w:rsidRPr="005470AD">
        <w:t xml:space="preserve">de celui-ci </w:t>
      </w:r>
      <w:r w:rsidR="00290874" w:rsidRPr="005470AD">
        <w:t>à la suite de procédures qui, selon l</w:t>
      </w:r>
      <w:r w:rsidR="00D34C12" w:rsidRPr="005470AD">
        <w:t>e Requérant</w:t>
      </w:r>
      <w:r w:rsidR="00290874" w:rsidRPr="005470AD">
        <w:t>, ont violé ses droits.</w:t>
      </w:r>
      <w:r w:rsidR="00D449DC" w:rsidRPr="005470AD">
        <w:t xml:space="preserve"> La Cour</w:t>
      </w:r>
      <w:r w:rsidR="00A153E3" w:rsidRPr="005470AD">
        <w:t xml:space="preserve"> estime donc que le R</w:t>
      </w:r>
      <w:r w:rsidR="00D34C12" w:rsidRPr="005470AD">
        <w:t xml:space="preserve">equérant a épuisé les </w:t>
      </w:r>
      <w:r w:rsidR="00D449DC" w:rsidRPr="005470AD">
        <w:t xml:space="preserve">recours </w:t>
      </w:r>
      <w:r w:rsidR="00A02232" w:rsidRPr="005470AD">
        <w:t>internes avant d</w:t>
      </w:r>
      <w:r w:rsidR="00D34C12" w:rsidRPr="005470AD">
        <w:t>e la saisir</w:t>
      </w:r>
      <w:r w:rsidR="00D449DC" w:rsidRPr="005470AD">
        <w:t>.</w:t>
      </w:r>
    </w:p>
    <w:p w14:paraId="02661218" w14:textId="77777777" w:rsidR="00554FCF" w:rsidRPr="005470AD" w:rsidRDefault="00554FCF" w:rsidP="002624E4"/>
    <w:p w14:paraId="416A9BC5" w14:textId="4D5A466B" w:rsidR="005856F4" w:rsidRPr="005470AD" w:rsidRDefault="005856F4" w:rsidP="002624E4">
      <w:r w:rsidRPr="005470AD">
        <w:t>À la lumière de ce qui précède, la Cour rejette l</w:t>
      </w:r>
      <w:r w:rsidR="00A95CF8" w:rsidRPr="005470AD">
        <w:t>’</w:t>
      </w:r>
      <w:r w:rsidRPr="005470AD">
        <w:t>exception tirée du non-épuisement des recours internes, soulevée par l</w:t>
      </w:r>
      <w:r w:rsidR="00A95CF8" w:rsidRPr="005470AD">
        <w:t>’</w:t>
      </w:r>
      <w:r w:rsidRPr="005470AD">
        <w:t xml:space="preserve">État défendeur. </w:t>
      </w:r>
    </w:p>
    <w:p w14:paraId="351F08E0" w14:textId="77777777" w:rsidR="00A61BAF" w:rsidRPr="005470AD" w:rsidRDefault="00A61BAF" w:rsidP="002624E4"/>
    <w:p w14:paraId="4C100AB9" w14:textId="29F0A8CD" w:rsidR="00B14B75" w:rsidRPr="005470AD" w:rsidRDefault="005C1EEC" w:rsidP="002624E4">
      <w:bookmarkStart w:id="20" w:name="_Toc136592701"/>
      <w:r w:rsidRPr="005470AD">
        <w:t>Sur l’e</w:t>
      </w:r>
      <w:r w:rsidR="00B14B75" w:rsidRPr="005470AD">
        <w:t>xception tirée du dépôt de la Requête dans un délai non raisonnable</w:t>
      </w:r>
      <w:bookmarkEnd w:id="20"/>
      <w:r w:rsidR="00B14B75" w:rsidRPr="005470AD">
        <w:t xml:space="preserve"> </w:t>
      </w:r>
    </w:p>
    <w:p w14:paraId="1E7836B2" w14:textId="23A3A423" w:rsidR="00B14B75" w:rsidRPr="005470AD" w:rsidRDefault="00447F46" w:rsidP="002624E4">
      <w:r w:rsidRPr="005470AD">
        <w:tab/>
      </w:r>
    </w:p>
    <w:p w14:paraId="1F66FC6C" w14:textId="52C08DCB" w:rsidR="00D3213D" w:rsidRPr="005470AD" w:rsidRDefault="00D3213D" w:rsidP="002624E4">
      <w:r w:rsidRPr="005470AD">
        <w:t>L</w:t>
      </w:r>
      <w:r w:rsidR="00A95CF8" w:rsidRPr="005470AD">
        <w:t>’</w:t>
      </w:r>
      <w:r w:rsidRPr="005470AD">
        <w:t>État défendeur soutient que la Requête n</w:t>
      </w:r>
      <w:r w:rsidR="00A95CF8" w:rsidRPr="005470AD">
        <w:t>’</w:t>
      </w:r>
      <w:r w:rsidRPr="005470AD">
        <w:t>a pas été déposée dans un délai raisonnable conformément à l</w:t>
      </w:r>
      <w:r w:rsidR="00A95CF8" w:rsidRPr="005470AD">
        <w:t>’</w:t>
      </w:r>
      <w:r w:rsidRPr="005470AD">
        <w:t>article 40(6) du Règlement de la Cour</w:t>
      </w:r>
      <w:r w:rsidR="008922A0" w:rsidRPr="005470AD">
        <w:t>.</w:t>
      </w:r>
      <w:r w:rsidR="00447F46" w:rsidRPr="005470AD">
        <w:rPr>
          <w:rStyle w:val="FootnoteReference"/>
          <w:rFonts w:ascii="Arial" w:hAnsi="Arial" w:cs="Arial"/>
        </w:rPr>
        <w:footnoteReference w:id="15"/>
      </w:r>
      <w:r w:rsidR="00610172" w:rsidRPr="005470AD">
        <w:t xml:space="preserve"> </w:t>
      </w:r>
      <w:r w:rsidR="008922A0" w:rsidRPr="005470AD">
        <w:t xml:space="preserve">À </w:t>
      </w:r>
      <w:r w:rsidR="00610172" w:rsidRPr="005470AD">
        <w:t>cet égard, il</w:t>
      </w:r>
      <w:r w:rsidRPr="005470AD">
        <w:t xml:space="preserve"> invoque quatre (4) moyens. Premièrement, l</w:t>
      </w:r>
      <w:r w:rsidR="00A95CF8" w:rsidRPr="005470AD">
        <w:t>’</w:t>
      </w:r>
      <w:r w:rsidRPr="005470AD">
        <w:t>État défendeur affirme que la requête en révision « dont copie a été jointe par le Requérant</w:t>
      </w:r>
      <w:r w:rsidR="000453B8" w:rsidRPr="005470AD">
        <w:t>,</w:t>
      </w:r>
      <w:r w:rsidRPr="005470AD">
        <w:t xml:space="preserve"> n</w:t>
      </w:r>
      <w:r w:rsidR="00A95CF8" w:rsidRPr="005470AD">
        <w:t>’</w:t>
      </w:r>
      <w:r w:rsidRPr="005470AD">
        <w:t>a pas été déposée au greffe de la Cour d</w:t>
      </w:r>
      <w:r w:rsidR="00A95CF8" w:rsidRPr="005470AD">
        <w:t>’</w:t>
      </w:r>
      <w:r w:rsidRPr="005470AD">
        <w:t>appel, aucune preuve de signification n</w:t>
      </w:r>
      <w:r w:rsidR="00A95CF8" w:rsidRPr="005470AD">
        <w:t>’</w:t>
      </w:r>
      <w:r w:rsidRPr="005470AD">
        <w:t>a</w:t>
      </w:r>
      <w:r w:rsidR="000453B8" w:rsidRPr="005470AD">
        <w:t>yant</w:t>
      </w:r>
      <w:r w:rsidRPr="005470AD">
        <w:t xml:space="preserve"> été produite par le Requérant</w:t>
      </w:r>
      <w:r w:rsidR="000453B8" w:rsidRPr="005470AD">
        <w:t> ;</w:t>
      </w:r>
      <w:r w:rsidRPr="005470AD">
        <w:t xml:space="preserve"> la requête n</w:t>
      </w:r>
      <w:r w:rsidR="00A95CF8" w:rsidRPr="005470AD">
        <w:t>’</w:t>
      </w:r>
      <w:r w:rsidRPr="005470AD">
        <w:t>a pas été visée par le greffier, elle ne comporte aucun cachet prouvant qu</w:t>
      </w:r>
      <w:r w:rsidR="00A95CF8" w:rsidRPr="005470AD">
        <w:t>’</w:t>
      </w:r>
      <w:r w:rsidRPr="005470AD">
        <w:t>elle a été reçue par l</w:t>
      </w:r>
      <w:r w:rsidR="00A95CF8" w:rsidRPr="005470AD">
        <w:t>’</w:t>
      </w:r>
      <w:r w:rsidRPr="005470AD">
        <w:t>État défendeur</w:t>
      </w:r>
      <w:r w:rsidR="00DB6F42" w:rsidRPr="005470AD">
        <w:t>, ni</w:t>
      </w:r>
      <w:r w:rsidRPr="005470AD">
        <w:t xml:space="preserve"> </w:t>
      </w:r>
      <w:r w:rsidR="00EE2C23" w:rsidRPr="005470AD">
        <w:t xml:space="preserve">de </w:t>
      </w:r>
      <w:r w:rsidRPr="005470AD">
        <w:t>numéro de référence attribué par la Cour ». Deuxièmement, « l</w:t>
      </w:r>
      <w:r w:rsidR="00A95CF8" w:rsidRPr="005470AD">
        <w:t>’</w:t>
      </w:r>
      <w:r w:rsidRPr="005470AD">
        <w:t>avis de requête en révision a été déposé après cinq (5) ans, au mépris de la règle 66 du Règlement de la Cour d</w:t>
      </w:r>
      <w:r w:rsidR="00A95CF8" w:rsidRPr="005470AD">
        <w:t>’</w:t>
      </w:r>
      <w:r w:rsidRPr="005470AD">
        <w:t xml:space="preserve">appel, </w:t>
      </w:r>
      <w:r w:rsidR="004D2CDA" w:rsidRPr="005470AD">
        <w:t xml:space="preserve">selon laquelle </w:t>
      </w:r>
      <w:r w:rsidRPr="005470AD">
        <w:t>l</w:t>
      </w:r>
      <w:r w:rsidR="00A95CF8" w:rsidRPr="005470AD">
        <w:t>’</w:t>
      </w:r>
      <w:r w:rsidRPr="005470AD">
        <w:t xml:space="preserve">avis de requête en révision doit être déposé </w:t>
      </w:r>
      <w:r w:rsidR="00EE2C23" w:rsidRPr="005470AD">
        <w:t xml:space="preserve">dans les </w:t>
      </w:r>
      <w:r w:rsidR="00DF260E" w:rsidRPr="005470AD">
        <w:t>soixante</w:t>
      </w:r>
      <w:r w:rsidRPr="005470AD">
        <w:t xml:space="preserve"> (60) jours à compter de la date de l</w:t>
      </w:r>
      <w:r w:rsidR="00A95CF8" w:rsidRPr="005470AD">
        <w:t>’</w:t>
      </w:r>
      <w:r w:rsidRPr="005470AD">
        <w:t xml:space="preserve">arrêt ». Troisièmement, la Requête devant la Cour africaine a été déposée après sept (7) ans, </w:t>
      </w:r>
      <w:r w:rsidR="004D2CDA" w:rsidRPr="005470AD">
        <w:t>ce qui n</w:t>
      </w:r>
      <w:r w:rsidR="00A95CF8" w:rsidRPr="005470AD">
        <w:t>’</w:t>
      </w:r>
      <w:r w:rsidR="004D2CDA" w:rsidRPr="005470AD">
        <w:t>est pas</w:t>
      </w:r>
      <w:r w:rsidRPr="005470AD">
        <w:t xml:space="preserve"> conforme à la décision de la Commission africaine des droits de l</w:t>
      </w:r>
      <w:r w:rsidR="00A95CF8" w:rsidRPr="005470AD">
        <w:t>’</w:t>
      </w:r>
      <w:r w:rsidRPr="005470AD">
        <w:t>homme et des peuples (</w:t>
      </w:r>
      <w:r w:rsidR="000453B8" w:rsidRPr="005470AD">
        <w:t xml:space="preserve">la </w:t>
      </w:r>
      <w:r w:rsidRPr="005470AD">
        <w:t>Commission) dans l</w:t>
      </w:r>
      <w:r w:rsidR="00A95CF8" w:rsidRPr="005470AD">
        <w:t>’</w:t>
      </w:r>
      <w:r w:rsidRPr="005470AD">
        <w:t xml:space="preserve">affaire </w:t>
      </w:r>
      <w:r w:rsidRPr="005470AD">
        <w:rPr>
          <w:i/>
        </w:rPr>
        <w:t>Majuru c. Zimbabwe</w:t>
      </w:r>
      <w:r w:rsidRPr="005470AD">
        <w:t>, qui indique que le dépôt d</w:t>
      </w:r>
      <w:r w:rsidR="00A95CF8" w:rsidRPr="005470AD">
        <w:t>’</w:t>
      </w:r>
      <w:r w:rsidRPr="005470AD">
        <w:t>une requête après une période de six (6) mois est non raisonnable. Quatrièmement, en déposant la présente Requête, le Requérant a prouvé que son incarcération n</w:t>
      </w:r>
      <w:r w:rsidR="00A95CF8" w:rsidRPr="005470AD">
        <w:t>’</w:t>
      </w:r>
      <w:r w:rsidRPr="005470AD">
        <w:t xml:space="preserve">a pas entravé son accès à la Cour. </w:t>
      </w:r>
    </w:p>
    <w:p w14:paraId="731308A8" w14:textId="77777777" w:rsidR="0040082D" w:rsidRPr="005470AD" w:rsidRDefault="0040082D" w:rsidP="002624E4"/>
    <w:p w14:paraId="69E72813" w14:textId="5F898ABC" w:rsidR="0040082D" w:rsidRPr="005470AD" w:rsidRDefault="005856F4" w:rsidP="002624E4">
      <w:r w:rsidRPr="005470AD">
        <w:t>En réplique, le Requérant fait valoir que le Règlement de la Cour ne comporte aucune disposition sur l</w:t>
      </w:r>
      <w:r w:rsidR="004D2CDA" w:rsidRPr="005470AD">
        <w:t>e</w:t>
      </w:r>
      <w:r w:rsidRPr="005470AD">
        <w:t xml:space="preserve"> </w:t>
      </w:r>
      <w:r w:rsidR="00BB3DB7" w:rsidRPr="005470AD">
        <w:t xml:space="preserve">délai de </w:t>
      </w:r>
      <w:r w:rsidRPr="005470AD">
        <w:t>dépôt d</w:t>
      </w:r>
      <w:r w:rsidR="00A95CF8" w:rsidRPr="005470AD">
        <w:t>’</w:t>
      </w:r>
      <w:r w:rsidRPr="005470AD">
        <w:t xml:space="preserve">une requête, mais que le délai raisonnable est déterminé au cas par cas. Le Requérant soutient en outre que sa </w:t>
      </w:r>
      <w:r w:rsidR="00A02232" w:rsidRPr="005470AD">
        <w:t>R</w:t>
      </w:r>
      <w:r w:rsidRPr="005470AD">
        <w:t xml:space="preserve">equête a été déposée dans un délai raisonnable, </w:t>
      </w:r>
      <w:r w:rsidR="00F50D06" w:rsidRPr="005470AD">
        <w:t>dans la mesure où</w:t>
      </w:r>
      <w:r w:rsidRPr="005470AD">
        <w:t xml:space="preserve"> son recours en révision n</w:t>
      </w:r>
      <w:r w:rsidR="00A95CF8" w:rsidRPr="005470AD">
        <w:t>’</w:t>
      </w:r>
      <w:r w:rsidRPr="005470AD">
        <w:t>a pas encore été définitivement tranché</w:t>
      </w:r>
      <w:r w:rsidR="003D10EE" w:rsidRPr="005470AD">
        <w:t>.</w:t>
      </w:r>
      <w:r w:rsidRPr="005470AD">
        <w:t xml:space="preserve"> </w:t>
      </w:r>
      <w:r w:rsidR="003D10EE" w:rsidRPr="005470AD">
        <w:t>Il soutient également</w:t>
      </w:r>
      <w:r w:rsidRPr="005470AD">
        <w:t xml:space="preserve"> que son incarcération dans le couloir de la mort a limité sa capacité à assurer un suivi de l</w:t>
      </w:r>
      <w:r w:rsidR="00A95CF8" w:rsidRPr="005470AD">
        <w:t>’</w:t>
      </w:r>
      <w:r w:rsidRPr="005470AD">
        <w:t>instruction dudit recours, ainsi qu</w:t>
      </w:r>
      <w:r w:rsidR="00A95CF8" w:rsidRPr="005470AD">
        <w:t>’</w:t>
      </w:r>
      <w:r w:rsidRPr="005470AD">
        <w:t>à accéder à la Cour d</w:t>
      </w:r>
      <w:r w:rsidR="00A95CF8" w:rsidRPr="005470AD">
        <w:t>’</w:t>
      </w:r>
      <w:r w:rsidRPr="005470AD">
        <w:t xml:space="preserve">appel et à la Cour de céans. </w:t>
      </w:r>
    </w:p>
    <w:p w14:paraId="46BF960F" w14:textId="77777777" w:rsidR="006A1FFE" w:rsidRPr="005470AD" w:rsidRDefault="006A1FFE" w:rsidP="002624E4"/>
    <w:p w14:paraId="1FDA9B9C" w14:textId="64C077C4" w:rsidR="0049614B" w:rsidRPr="005470AD" w:rsidRDefault="00B07208" w:rsidP="002624E4">
      <w:r w:rsidRPr="005470AD">
        <w:t>***</w:t>
      </w:r>
    </w:p>
    <w:p w14:paraId="48B829E1" w14:textId="77777777" w:rsidR="00962489" w:rsidRPr="005470AD" w:rsidRDefault="00962489" w:rsidP="002624E4"/>
    <w:p w14:paraId="44A893BF" w14:textId="5166F4B0" w:rsidR="0049614B" w:rsidRPr="005470AD" w:rsidRDefault="0049614B" w:rsidP="002624E4">
      <w:r w:rsidRPr="005470AD">
        <w:t xml:space="preserve">La Cour note que la question à trancher est celle de savoir si le délai auquel le Requérant </w:t>
      </w:r>
      <w:r w:rsidR="002B418D" w:rsidRPr="005470AD">
        <w:t>l</w:t>
      </w:r>
      <w:r w:rsidR="00A95CF8" w:rsidRPr="005470AD">
        <w:t>’</w:t>
      </w:r>
      <w:r w:rsidRPr="005470AD">
        <w:t>a saisi</w:t>
      </w:r>
      <w:r w:rsidR="002B418D" w:rsidRPr="005470AD">
        <w:t>e</w:t>
      </w:r>
      <w:r w:rsidRPr="005470AD">
        <w:t xml:space="preserve"> est raisonnable au sens de l</w:t>
      </w:r>
      <w:r w:rsidR="00A95CF8" w:rsidRPr="005470AD">
        <w:t>’</w:t>
      </w:r>
      <w:r w:rsidRPr="005470AD">
        <w:t xml:space="preserve">article 56(6) de la Charte, lu conjointement avec la règle 50(2)(f) du Règlement. </w:t>
      </w:r>
    </w:p>
    <w:p w14:paraId="1238EF24" w14:textId="77777777" w:rsidR="0049614B" w:rsidRPr="005470AD" w:rsidRDefault="0049614B" w:rsidP="002624E4"/>
    <w:p w14:paraId="46C4101D" w14:textId="3BE49573" w:rsidR="0049614B" w:rsidRPr="005470AD" w:rsidRDefault="0049614B" w:rsidP="002624E4">
      <w:r w:rsidRPr="005470AD">
        <w:t>Conformément à l</w:t>
      </w:r>
      <w:r w:rsidR="00A95CF8" w:rsidRPr="005470AD">
        <w:t>’</w:t>
      </w:r>
      <w:r w:rsidRPr="005470AD">
        <w:t>article 56(6) de la Charte dont les dispositions sont reprises à la règle 50(2)(f) du Règlement, une requête n</w:t>
      </w:r>
      <w:r w:rsidR="00A95CF8" w:rsidRPr="005470AD">
        <w:t>’</w:t>
      </w:r>
      <w:r w:rsidRPr="005470AD">
        <w:t>est recevable que si elle est « introduite dans un délai raisonnable courant depuis l</w:t>
      </w:r>
      <w:r w:rsidR="00A95CF8" w:rsidRPr="005470AD">
        <w:t>’</w:t>
      </w:r>
      <w:r w:rsidRPr="005470AD">
        <w:t>épuisement des recours internes ou depuis la date retenue par la Cour comme faisant commencer à courir le délai de sa saisine ». Ces dispositions ne fixent pas de délai dans lequel la Cour doit être saisie.</w:t>
      </w:r>
    </w:p>
    <w:p w14:paraId="4B562836" w14:textId="77777777" w:rsidR="00E05523" w:rsidRPr="005470AD" w:rsidRDefault="00E05523" w:rsidP="002624E4"/>
    <w:p w14:paraId="2317E452" w14:textId="17431A4D" w:rsidR="00B863F7" w:rsidRPr="005470AD" w:rsidRDefault="00DB50B2" w:rsidP="002624E4">
      <w:r w:rsidRPr="005470AD">
        <w:t>En ce qui concerne le premier moyen de l</w:t>
      </w:r>
      <w:r w:rsidR="00A95CF8" w:rsidRPr="005470AD">
        <w:t>’</w:t>
      </w:r>
      <w:r w:rsidRPr="005470AD">
        <w:t xml:space="preserve">exception </w:t>
      </w:r>
      <w:r w:rsidR="004D2CDA" w:rsidRPr="005470AD">
        <w:t xml:space="preserve">tiré de ce que </w:t>
      </w:r>
      <w:r w:rsidRPr="005470AD">
        <w:t>la requête en révision n</w:t>
      </w:r>
      <w:r w:rsidR="00A95CF8" w:rsidRPr="005470AD">
        <w:t>’</w:t>
      </w:r>
      <w:r w:rsidRPr="005470AD">
        <w:t>a jamais été déposée</w:t>
      </w:r>
      <w:r w:rsidR="004D2CDA" w:rsidRPr="005470AD">
        <w:t>, ni</w:t>
      </w:r>
      <w:r w:rsidRPr="005470AD">
        <w:t xml:space="preserve"> signifiée à l</w:t>
      </w:r>
      <w:r w:rsidR="00A95CF8" w:rsidRPr="005470AD">
        <w:t>’</w:t>
      </w:r>
      <w:r w:rsidRPr="005470AD">
        <w:t>État défendeur, la Cour note une contradiction dans l</w:t>
      </w:r>
      <w:r w:rsidR="004D2CDA" w:rsidRPr="005470AD">
        <w:t>es</w:t>
      </w:r>
      <w:r w:rsidRPr="005470AD">
        <w:t xml:space="preserve"> </w:t>
      </w:r>
      <w:r w:rsidR="004D2CDA" w:rsidRPr="005470AD">
        <w:t>arguments</w:t>
      </w:r>
      <w:r w:rsidRPr="005470AD">
        <w:t xml:space="preserve"> de l</w:t>
      </w:r>
      <w:r w:rsidR="00A95CF8" w:rsidRPr="005470AD">
        <w:t>’</w:t>
      </w:r>
      <w:r w:rsidRPr="005470AD">
        <w:t>État défendeur puisque, d</w:t>
      </w:r>
      <w:r w:rsidR="00A95CF8" w:rsidRPr="005470AD">
        <w:t>’</w:t>
      </w:r>
      <w:r w:rsidRPr="005470AD">
        <w:t>une part, il conteste le dépôt et la signification de la requête en révision et, d</w:t>
      </w:r>
      <w:r w:rsidR="00A95CF8" w:rsidRPr="005470AD">
        <w:t>’</w:t>
      </w:r>
      <w:r w:rsidRPr="005470AD">
        <w:t xml:space="preserve">autre part, il reconnaît que la demande a été déposée, bien que hors délai. </w:t>
      </w:r>
    </w:p>
    <w:p w14:paraId="729A5279" w14:textId="77777777" w:rsidR="00B863F7" w:rsidRPr="005470AD" w:rsidRDefault="00B863F7" w:rsidP="002624E4"/>
    <w:p w14:paraId="2A2BCA4C" w14:textId="1C9731A8" w:rsidR="003B6119" w:rsidRPr="005470AD" w:rsidRDefault="00DB50B2" w:rsidP="002624E4">
      <w:r w:rsidRPr="005470AD">
        <w:t>Les 7 octobre et 12 novembre 2022 et le 25 janvier 2023, la Cour a demandé au Requérant de déposer des documents indiquant que</w:t>
      </w:r>
      <w:r w:rsidR="00150BBD" w:rsidRPr="005470AD">
        <w:t xml:space="preserve"> </w:t>
      </w:r>
      <w:r w:rsidR="00666865" w:rsidRPr="005470AD">
        <w:t>la Cour d</w:t>
      </w:r>
      <w:r w:rsidR="00A95CF8" w:rsidRPr="005470AD">
        <w:t>’</w:t>
      </w:r>
      <w:r w:rsidR="00666865" w:rsidRPr="005470AD">
        <w:t>A</w:t>
      </w:r>
      <w:r w:rsidR="00150BBD" w:rsidRPr="005470AD">
        <w:t>ppel lui a accordé l</w:t>
      </w:r>
      <w:r w:rsidR="00A95CF8" w:rsidRPr="005470AD">
        <w:t>’</w:t>
      </w:r>
      <w:r w:rsidR="00150BBD" w:rsidRPr="005470AD">
        <w:t>autorisation de déposer s</w:t>
      </w:r>
      <w:r w:rsidR="00A50434" w:rsidRPr="005470AD">
        <w:t>a R</w:t>
      </w:r>
      <w:r w:rsidR="00150BBD" w:rsidRPr="005470AD">
        <w:t>equête en révision hors délai et que l</w:t>
      </w:r>
      <w:r w:rsidR="003B6119" w:rsidRPr="005470AD">
        <w:t xml:space="preserve">adite </w:t>
      </w:r>
      <w:r w:rsidR="004348D7" w:rsidRPr="005470AD">
        <w:t>r</w:t>
      </w:r>
      <w:r w:rsidR="00150BBD" w:rsidRPr="005470AD">
        <w:t>equête a été déposée et signifié</w:t>
      </w:r>
      <w:r w:rsidR="00A50434" w:rsidRPr="005470AD">
        <w:t>e</w:t>
      </w:r>
      <w:r w:rsidR="00150BBD" w:rsidRPr="005470AD">
        <w:t xml:space="preserve"> à l</w:t>
      </w:r>
      <w:r w:rsidR="00A95CF8" w:rsidRPr="005470AD">
        <w:t>’</w:t>
      </w:r>
      <w:r w:rsidR="00150BBD" w:rsidRPr="005470AD">
        <w:t>État défendeur.</w:t>
      </w:r>
      <w:r w:rsidR="00BB4E1F" w:rsidRPr="005470AD">
        <w:t xml:space="preserve"> Le Requérant n</w:t>
      </w:r>
      <w:r w:rsidR="00A95CF8" w:rsidRPr="005470AD">
        <w:t>’</w:t>
      </w:r>
      <w:r w:rsidR="009027DD" w:rsidRPr="005470AD">
        <w:t>y a pas donné suite</w:t>
      </w:r>
      <w:r w:rsidR="00BB4E1F" w:rsidRPr="005470AD">
        <w:t>.</w:t>
      </w:r>
      <w:r w:rsidR="00D675D0" w:rsidRPr="005470AD">
        <w:t xml:space="preserve"> </w:t>
      </w:r>
      <w:r w:rsidR="004348D7" w:rsidRPr="005470AD">
        <w:t>Compte tenu de</w:t>
      </w:r>
      <w:r w:rsidR="00BB4E1F" w:rsidRPr="005470AD">
        <w:t xml:space="preserve"> ce</w:t>
      </w:r>
      <w:r w:rsidR="004348D7" w:rsidRPr="005470AD">
        <w:t xml:space="preserve"> qui précède</w:t>
      </w:r>
      <w:r w:rsidR="00BB4E1F" w:rsidRPr="005470AD">
        <w:t>, la Cour estime que l</w:t>
      </w:r>
      <w:r w:rsidR="00A95CF8" w:rsidRPr="005470AD">
        <w:t>’</w:t>
      </w:r>
      <w:r w:rsidR="00BB4E1F" w:rsidRPr="005470AD">
        <w:t>allégation du Re</w:t>
      </w:r>
      <w:r w:rsidR="00150BBD" w:rsidRPr="005470AD">
        <w:t>quérant selon laquelle l</w:t>
      </w:r>
      <w:r w:rsidR="00666865" w:rsidRPr="005470AD">
        <w:t xml:space="preserve">a </w:t>
      </w:r>
      <w:r w:rsidR="009E1CFB" w:rsidRPr="005470AD">
        <w:t xml:space="preserve">requête </w:t>
      </w:r>
      <w:r w:rsidR="00BB4E1F" w:rsidRPr="005470AD">
        <w:t>en révision</w:t>
      </w:r>
      <w:r w:rsidR="003B6119" w:rsidRPr="005470AD">
        <w:t xml:space="preserve"> était pendant</w:t>
      </w:r>
      <w:r w:rsidR="00B527DC" w:rsidRPr="005470AD">
        <w:t>e</w:t>
      </w:r>
      <w:r w:rsidR="009E1CFB" w:rsidRPr="005470AD">
        <w:t xml:space="preserve"> au moment de la saisine de </w:t>
      </w:r>
      <w:r w:rsidR="00BB4E1F" w:rsidRPr="005470AD">
        <w:t>la Cour</w:t>
      </w:r>
      <w:r w:rsidR="00150BBD" w:rsidRPr="005470AD">
        <w:t xml:space="preserve"> </w:t>
      </w:r>
      <w:r w:rsidR="009E1CFB" w:rsidRPr="005470AD">
        <w:t xml:space="preserve">de céans, </w:t>
      </w:r>
      <w:r w:rsidR="00150BBD" w:rsidRPr="005470AD">
        <w:t>n</w:t>
      </w:r>
      <w:r w:rsidR="00A95CF8" w:rsidRPr="005470AD">
        <w:t>’</w:t>
      </w:r>
      <w:r w:rsidR="00150BBD" w:rsidRPr="005470AD">
        <w:t>a pas été prouvée.</w:t>
      </w:r>
      <w:r w:rsidRPr="005470AD">
        <w:t xml:space="preserve"> </w:t>
      </w:r>
    </w:p>
    <w:p w14:paraId="7FA0A4AD" w14:textId="77777777" w:rsidR="003B6119" w:rsidRPr="005470AD" w:rsidRDefault="003B6119" w:rsidP="002624E4"/>
    <w:p w14:paraId="651D2438" w14:textId="4EBA25F9" w:rsidR="00584B95" w:rsidRPr="005470AD" w:rsidRDefault="00584B95" w:rsidP="002624E4">
      <w:r w:rsidRPr="005470AD">
        <w:t>La Cour note, en ce qui concerne le deuxième moyen de l</w:t>
      </w:r>
      <w:r w:rsidR="00A95CF8" w:rsidRPr="005470AD">
        <w:t>’</w:t>
      </w:r>
      <w:r w:rsidRPr="005470AD">
        <w:t>exception, qu</w:t>
      </w:r>
      <w:r w:rsidR="00A95CF8" w:rsidRPr="005470AD">
        <w:t>’</w:t>
      </w:r>
      <w:r w:rsidR="0088209E" w:rsidRPr="005470AD">
        <w:t xml:space="preserve">en tout état de cause, </w:t>
      </w:r>
      <w:r w:rsidRPr="005470AD">
        <w:t>le respect des délais relatifs aux procédures internes n</w:t>
      </w:r>
      <w:r w:rsidR="00A95CF8" w:rsidRPr="005470AD">
        <w:t>’</w:t>
      </w:r>
      <w:r w:rsidRPr="005470AD">
        <w:t>est pas pertinent pour évaluer le caractère raisonnable du délai de dépôt des requêtes devant elle. La Cour estime donc que l</w:t>
      </w:r>
      <w:r w:rsidR="00A95CF8" w:rsidRPr="005470AD">
        <w:t>’</w:t>
      </w:r>
      <w:r w:rsidRPr="005470AD">
        <w:t>argument de l</w:t>
      </w:r>
      <w:r w:rsidR="00A95CF8" w:rsidRPr="005470AD">
        <w:t>’</w:t>
      </w:r>
      <w:r w:rsidRPr="005470AD">
        <w:t>État défendeur selon lequel le Requérant aurait dû déposer l</w:t>
      </w:r>
      <w:r w:rsidR="00A95CF8" w:rsidRPr="005470AD">
        <w:t>’</w:t>
      </w:r>
      <w:r w:rsidRPr="005470AD">
        <w:t>avis de requête en révision de l</w:t>
      </w:r>
      <w:r w:rsidR="00A95CF8" w:rsidRPr="005470AD">
        <w:t>’</w:t>
      </w:r>
      <w:r w:rsidRPr="005470AD">
        <w:t>arrêt de la Cour d</w:t>
      </w:r>
      <w:r w:rsidR="00A95CF8" w:rsidRPr="005470AD">
        <w:t>’</w:t>
      </w:r>
      <w:r w:rsidRPr="005470AD">
        <w:t xml:space="preserve">appel dans un délai de soixante (60) jours est </w:t>
      </w:r>
      <w:r w:rsidR="000E0CE2" w:rsidRPr="005470AD">
        <w:t>sans incidence</w:t>
      </w:r>
      <w:r w:rsidR="004D2CDA" w:rsidRPr="005470AD">
        <w:t xml:space="preserve"> sur </w:t>
      </w:r>
      <w:r w:rsidRPr="005470AD">
        <w:t>l</w:t>
      </w:r>
      <w:r w:rsidR="00A95CF8" w:rsidRPr="005470AD">
        <w:t>’</w:t>
      </w:r>
      <w:r w:rsidRPr="005470AD">
        <w:t xml:space="preserve">évaluation du caractère raisonnable du délai de dépôt de la Requête devant la Cour de céans. </w:t>
      </w:r>
    </w:p>
    <w:p w14:paraId="2A036A16" w14:textId="4DB10579" w:rsidR="00584B95" w:rsidRPr="005470AD" w:rsidRDefault="00584B95" w:rsidP="002624E4"/>
    <w:p w14:paraId="5BF34C5E" w14:textId="2FE7E8CA" w:rsidR="00C6072F" w:rsidRPr="005470AD" w:rsidRDefault="00B503AF" w:rsidP="002624E4">
      <w:r w:rsidRPr="005470AD">
        <w:t xml:space="preserve">En ce qui concerne le troisième moyen, </w:t>
      </w:r>
      <w:r w:rsidR="004D2CDA" w:rsidRPr="005470AD">
        <w:t xml:space="preserve">la Cour relève que, </w:t>
      </w:r>
      <w:r w:rsidRPr="005470AD">
        <w:t>conformément à sa jurisprudence constante, l</w:t>
      </w:r>
      <w:r w:rsidR="00A95CF8" w:rsidRPr="005470AD">
        <w:t>’</w:t>
      </w:r>
      <w:r w:rsidRPr="005470AD">
        <w:t>approche au cas par cas appliquée dans la décision de la Commission dans l</w:t>
      </w:r>
      <w:r w:rsidR="00A95CF8" w:rsidRPr="005470AD">
        <w:t>’</w:t>
      </w:r>
      <w:r w:rsidRPr="005470AD">
        <w:t xml:space="preserve">affaire </w:t>
      </w:r>
      <w:r w:rsidRPr="005470AD">
        <w:rPr>
          <w:i/>
        </w:rPr>
        <w:t>Majuru c. Zimbabwe</w:t>
      </w:r>
      <w:r w:rsidR="00C6072F" w:rsidRPr="005470AD">
        <w:rPr>
          <w:rStyle w:val="FootnoteReference"/>
          <w:rFonts w:ascii="Arial" w:hAnsi="Arial" w:cs="Arial"/>
        </w:rPr>
        <w:footnoteReference w:id="16"/>
      </w:r>
      <w:r w:rsidRPr="005470AD">
        <w:t xml:space="preserve"> est celle qui est applicable, et non la norme </w:t>
      </w:r>
      <w:r w:rsidRPr="005470AD">
        <w:lastRenderedPageBreak/>
        <w:t>des six mois.</w:t>
      </w:r>
      <w:r w:rsidR="00C6072F" w:rsidRPr="005470AD">
        <w:rPr>
          <w:vertAlign w:val="superscript"/>
        </w:rPr>
        <w:footnoteReference w:id="17"/>
      </w:r>
      <w:r w:rsidRPr="005470AD">
        <w:t xml:space="preserve"> Par conséquent, l</w:t>
      </w:r>
      <w:r w:rsidR="00A95CF8" w:rsidRPr="005470AD">
        <w:t>’</w:t>
      </w:r>
      <w:r w:rsidRPr="005470AD">
        <w:t>argument de l</w:t>
      </w:r>
      <w:r w:rsidR="00A95CF8" w:rsidRPr="005470AD">
        <w:t>’</w:t>
      </w:r>
      <w:r w:rsidRPr="005470AD">
        <w:t xml:space="preserve">État défendeur selon lequel </w:t>
      </w:r>
      <w:r w:rsidR="003E2DE7" w:rsidRPr="005470AD">
        <w:t>le dépôt d</w:t>
      </w:r>
      <w:r w:rsidR="00A95CF8" w:rsidRPr="005470AD">
        <w:t>’</w:t>
      </w:r>
      <w:r w:rsidR="003E2DE7" w:rsidRPr="005470AD">
        <w:t xml:space="preserve">une </w:t>
      </w:r>
      <w:r w:rsidR="004348D7" w:rsidRPr="005470AD">
        <w:t>r</w:t>
      </w:r>
      <w:r w:rsidR="00581C88" w:rsidRPr="005470AD">
        <w:t xml:space="preserve">equête devant </w:t>
      </w:r>
      <w:r w:rsidR="0088209E" w:rsidRPr="005470AD">
        <w:t xml:space="preserve">la </w:t>
      </w:r>
      <w:r w:rsidR="00581C88" w:rsidRPr="005470AD">
        <w:t>Cour</w:t>
      </w:r>
      <w:r w:rsidR="0088209E" w:rsidRPr="005470AD">
        <w:t xml:space="preserve"> de céans</w:t>
      </w:r>
      <w:r w:rsidRPr="005470AD">
        <w:t xml:space="preserve"> plus de six (6) mois après l</w:t>
      </w:r>
      <w:r w:rsidR="00A95CF8" w:rsidRPr="005470AD">
        <w:t>’</w:t>
      </w:r>
      <w:r w:rsidRPr="005470AD">
        <w:t xml:space="preserve">épuisement des recours internes, devrait être considéré comme </w:t>
      </w:r>
      <w:r w:rsidR="00A56FB7" w:rsidRPr="005470AD">
        <w:t>l</w:t>
      </w:r>
      <w:r w:rsidR="00A95CF8" w:rsidRPr="005470AD">
        <w:t>’</w:t>
      </w:r>
      <w:r w:rsidR="00A56FB7" w:rsidRPr="005470AD">
        <w:t xml:space="preserve">ayant été de manière </w:t>
      </w:r>
      <w:r w:rsidR="004348D7" w:rsidRPr="005470AD">
        <w:t xml:space="preserve">non </w:t>
      </w:r>
      <w:r w:rsidRPr="005470AD">
        <w:t xml:space="preserve">raisonnable, ne saurait être retenu. </w:t>
      </w:r>
    </w:p>
    <w:p w14:paraId="214682CF" w14:textId="77777777" w:rsidR="00B503AF" w:rsidRPr="005470AD" w:rsidRDefault="00B503AF" w:rsidP="002624E4"/>
    <w:p w14:paraId="25A1FB9D" w14:textId="16D36951" w:rsidR="00B503AF" w:rsidRPr="005470AD" w:rsidRDefault="00B503AF" w:rsidP="002624E4">
      <w:r w:rsidRPr="005470AD">
        <w:t>En l</w:t>
      </w:r>
      <w:r w:rsidR="00A95CF8" w:rsidRPr="005470AD">
        <w:t>’</w:t>
      </w:r>
      <w:r w:rsidRPr="005470AD">
        <w:t>espèce, la Cour relève que le Requérant a épuisé les recours internes le 21 mai 2009, lorsque la Cour d</w:t>
      </w:r>
      <w:r w:rsidR="00A95CF8" w:rsidRPr="005470AD">
        <w:t>’</w:t>
      </w:r>
      <w:r w:rsidRPr="005470AD">
        <w:t>appel siégeant à Mwanza a rendu son arrêt rejetant son recours.</w:t>
      </w:r>
      <w:r w:rsidR="00D675D0" w:rsidRPr="005470AD">
        <w:t xml:space="preserve"> </w:t>
      </w:r>
      <w:r w:rsidR="004D2CDA" w:rsidRPr="005470AD">
        <w:t xml:space="preserve">Cette </w:t>
      </w:r>
      <w:r w:rsidRPr="005470AD">
        <w:t xml:space="preserve">date </w:t>
      </w:r>
      <w:r w:rsidR="004D2CDA" w:rsidRPr="005470AD">
        <w:t>devrait être le point de départ</w:t>
      </w:r>
      <w:r w:rsidRPr="005470AD">
        <w:t xml:space="preserve"> </w:t>
      </w:r>
      <w:r w:rsidR="004D2CDA" w:rsidRPr="005470AD">
        <w:t xml:space="preserve">du </w:t>
      </w:r>
      <w:r w:rsidRPr="005470AD">
        <w:t xml:space="preserve">décompte pour apprécier le </w:t>
      </w:r>
      <w:r w:rsidR="004D2CDA" w:rsidRPr="005470AD">
        <w:t xml:space="preserve">caractère raisonnable du </w:t>
      </w:r>
      <w:r w:rsidRPr="005470AD">
        <w:t xml:space="preserve">délai </w:t>
      </w:r>
      <w:r w:rsidR="004D2CDA" w:rsidRPr="005470AD">
        <w:t xml:space="preserve">de </w:t>
      </w:r>
      <w:r w:rsidRPr="005470AD">
        <w:t>saisi</w:t>
      </w:r>
      <w:r w:rsidR="004D2CDA" w:rsidRPr="005470AD">
        <w:t>ne</w:t>
      </w:r>
      <w:r w:rsidRPr="005470AD">
        <w:t xml:space="preserve"> </w:t>
      </w:r>
      <w:r w:rsidR="0049148B" w:rsidRPr="005470AD">
        <w:t xml:space="preserve">de </w:t>
      </w:r>
      <w:r w:rsidRPr="005470AD">
        <w:t>la Cour. Cependant, ce n</w:t>
      </w:r>
      <w:r w:rsidR="00A95CF8" w:rsidRPr="005470AD">
        <w:t>’</w:t>
      </w:r>
      <w:r w:rsidRPr="005470AD">
        <w:t>est qu</w:t>
      </w:r>
      <w:r w:rsidR="00A95CF8" w:rsidRPr="005470AD">
        <w:t>’</w:t>
      </w:r>
      <w:r w:rsidRPr="005470AD">
        <w:t xml:space="preserve">après le 29 mars 2010, </w:t>
      </w:r>
      <w:r w:rsidR="004D2CDA" w:rsidRPr="005470AD">
        <w:t>date du dépôt</w:t>
      </w:r>
      <w:r w:rsidR="00D675D0" w:rsidRPr="005470AD">
        <w:t xml:space="preserve"> </w:t>
      </w:r>
      <w:r w:rsidR="004D2CDA" w:rsidRPr="005470AD">
        <w:t>de</w:t>
      </w:r>
      <w:r w:rsidRPr="005470AD">
        <w:t xml:space="preserve"> la Déclaration</w:t>
      </w:r>
      <w:r w:rsidR="00DA1734" w:rsidRPr="005470AD">
        <w:t>,</w:t>
      </w:r>
      <w:r w:rsidRPr="005470AD">
        <w:t xml:space="preserve"> que le Requérant a pu </w:t>
      </w:r>
      <w:r w:rsidR="004D2CDA" w:rsidRPr="005470AD">
        <w:t>introdui</w:t>
      </w:r>
      <w:r w:rsidR="009B2987" w:rsidRPr="005470AD">
        <w:t>r</w:t>
      </w:r>
      <w:r w:rsidR="004D2CDA" w:rsidRPr="005470AD">
        <w:t xml:space="preserve">e </w:t>
      </w:r>
      <w:r w:rsidRPr="005470AD">
        <w:t>la Requête. Normalement, la période à prendre en compte pour l</w:t>
      </w:r>
      <w:r w:rsidR="00A95CF8" w:rsidRPr="005470AD">
        <w:t>’</w:t>
      </w:r>
      <w:r w:rsidRPr="005470AD">
        <w:t>appréciation du délai de dépôt de la Requête devrait être les six (6) ans, deux (2) mois et dix-neuf (19) jours</w:t>
      </w:r>
      <w:r w:rsidR="005E65BC" w:rsidRPr="005470AD">
        <w:t>,</w:t>
      </w:r>
      <w:r w:rsidRPr="005470AD">
        <w:t xml:space="preserve"> </w:t>
      </w:r>
      <w:r w:rsidR="005E65BC" w:rsidRPr="005470AD">
        <w:t xml:space="preserve">correspondant </w:t>
      </w:r>
      <w:r w:rsidRPr="005470AD">
        <w:t>à la période qui s</w:t>
      </w:r>
      <w:r w:rsidR="00A95CF8" w:rsidRPr="005470AD">
        <w:t>’</w:t>
      </w:r>
      <w:r w:rsidRPr="005470AD">
        <w:t>est écoulée entre le 29 mars 2010, date du dépôt par l</w:t>
      </w:r>
      <w:r w:rsidR="00A95CF8" w:rsidRPr="005470AD">
        <w:t>’</w:t>
      </w:r>
      <w:r w:rsidRPr="005470AD">
        <w:t xml:space="preserve">État défendeur de la Déclaration, et </w:t>
      </w:r>
      <w:r w:rsidR="004D2CDA" w:rsidRPr="005470AD">
        <w:t xml:space="preserve">celle </w:t>
      </w:r>
      <w:r w:rsidRPr="005470AD">
        <w:t xml:space="preserve">du dépôt de la Requête le 8 juin 2016. </w:t>
      </w:r>
    </w:p>
    <w:p w14:paraId="33388833" w14:textId="77777777" w:rsidR="00962804" w:rsidRPr="005470AD" w:rsidRDefault="00962804" w:rsidP="002624E4"/>
    <w:p w14:paraId="478E7BE4" w14:textId="0779B9E8" w:rsidR="00962804" w:rsidRPr="005470AD" w:rsidRDefault="00962804" w:rsidP="002624E4">
      <w:r w:rsidRPr="005470AD">
        <w:t xml:space="preserve">La Cour relève toutefois que la période allant de 2007 à 2013 </w:t>
      </w:r>
      <w:r w:rsidR="004D2CDA" w:rsidRPr="005470AD">
        <w:t>correspond aux</w:t>
      </w:r>
      <w:r w:rsidRPr="005470AD">
        <w:t xml:space="preserve"> premières années d</w:t>
      </w:r>
      <w:r w:rsidR="00A95CF8" w:rsidRPr="005470AD">
        <w:t>’</w:t>
      </w:r>
      <w:r w:rsidRPr="005470AD">
        <w:t>exercice de la Cour. Comme la Cour l</w:t>
      </w:r>
      <w:r w:rsidR="00A95CF8" w:rsidRPr="005470AD">
        <w:t>’</w:t>
      </w:r>
      <w:r w:rsidRPr="005470AD">
        <w:t>a relevé dans ses arrêts antérieurs, pendant la période indiquée, l</w:t>
      </w:r>
      <w:r w:rsidR="00A95CF8" w:rsidRPr="005470AD">
        <w:t>’</w:t>
      </w:r>
      <w:r w:rsidRPr="005470AD">
        <w:t>on ne peut présumer que le grand public, à fortiori les personnes dans la situation du Requérant en l</w:t>
      </w:r>
      <w:r w:rsidR="00A95CF8" w:rsidRPr="005470AD">
        <w:t>’</w:t>
      </w:r>
      <w:r w:rsidRPr="005470AD">
        <w:t>espèce, aient eu une connaissance suffisante de l</w:t>
      </w:r>
      <w:r w:rsidR="00A95CF8" w:rsidRPr="005470AD">
        <w:t>’</w:t>
      </w:r>
      <w:r w:rsidRPr="005470AD">
        <w:t>existence de la Cour pour déposer leurs requêtes peu après l</w:t>
      </w:r>
      <w:r w:rsidR="00A95CF8" w:rsidRPr="005470AD">
        <w:t>’</w:t>
      </w:r>
      <w:r w:rsidRPr="005470AD">
        <w:t>épuisement des recours internes.</w:t>
      </w:r>
      <w:r w:rsidRPr="005470AD">
        <w:rPr>
          <w:rStyle w:val="FootnoteReference"/>
          <w:rFonts w:ascii="Arial" w:hAnsi="Arial" w:cs="Arial"/>
        </w:rPr>
        <w:footnoteReference w:id="18"/>
      </w:r>
      <w:r w:rsidRPr="005470AD">
        <w:t xml:space="preserve"> Par conséquent, la période à prendre en compte dans l</w:t>
      </w:r>
      <w:r w:rsidR="00A95CF8" w:rsidRPr="005470AD">
        <w:t>’</w:t>
      </w:r>
      <w:r w:rsidRPr="005470AD">
        <w:t>appréciation du caractère raisonnable du délai de dépôt de la Requête, est celle comprise entre 2013, date à laquelle le public aurait dû avoir connaissance de l</w:t>
      </w:r>
      <w:r w:rsidR="00A95CF8" w:rsidRPr="005470AD">
        <w:t>’</w:t>
      </w:r>
      <w:r w:rsidRPr="005470AD">
        <w:t>existence de la Cour, et 2016, année du dépôt de la Requête, soit une période de trois (3) ans.</w:t>
      </w:r>
    </w:p>
    <w:p w14:paraId="63F24506" w14:textId="77777777" w:rsidR="00962804" w:rsidRPr="005470AD" w:rsidRDefault="00962804" w:rsidP="002624E4"/>
    <w:p w14:paraId="7C60DEA5" w14:textId="3AE6C9E8" w:rsidR="00AE660D" w:rsidRPr="005470AD" w:rsidRDefault="00AE660D" w:rsidP="002624E4">
      <w:r w:rsidRPr="005470AD">
        <w:t>La Cour rappelle sa jurisprudence selon laquelle : « … le caractère raisonnable du délai de sa saisine dépend des circonstances particulières de chaque affaire et devrait être apprécié au cas par cas ».</w:t>
      </w:r>
      <w:r w:rsidRPr="005470AD">
        <w:rPr>
          <w:vertAlign w:val="superscript"/>
          <w:lang w:bidi="fr-FR"/>
        </w:rPr>
        <w:footnoteReference w:id="19"/>
      </w:r>
      <w:r w:rsidRPr="005470AD">
        <w:t xml:space="preserve"> Dans cette optique, la Cour a pris en considération des circonstances telles que le fait d</w:t>
      </w:r>
      <w:r w:rsidR="00A95CF8" w:rsidRPr="005470AD">
        <w:t>’</w:t>
      </w:r>
      <w:r w:rsidRPr="005470AD">
        <w:t>être incarcéré, d</w:t>
      </w:r>
      <w:r w:rsidR="00A95CF8" w:rsidRPr="005470AD">
        <w:t>’</w:t>
      </w:r>
      <w:r w:rsidRPr="005470AD">
        <w:t>être détenu dans le couloir de la mort, avec pour conséquence la restriction des mouvements et du flux d</w:t>
      </w:r>
      <w:r w:rsidR="00A95CF8" w:rsidRPr="005470AD">
        <w:t>’</w:t>
      </w:r>
      <w:r w:rsidRPr="005470AD">
        <w:t>information,</w:t>
      </w:r>
      <w:r w:rsidRPr="005470AD">
        <w:rPr>
          <w:rStyle w:val="FootnoteReference"/>
          <w:rFonts w:ascii="Arial" w:hAnsi="Arial" w:cs="Arial"/>
          <w:lang w:bidi="fr-FR"/>
        </w:rPr>
        <w:footnoteReference w:id="20"/>
      </w:r>
      <w:r w:rsidRPr="005470AD">
        <w:t xml:space="preserve"> le fait d</w:t>
      </w:r>
      <w:r w:rsidR="00A95CF8" w:rsidRPr="005470AD">
        <w:t>’</w:t>
      </w:r>
      <w:r w:rsidRPr="005470AD">
        <w:t>être profane en droit et de ne pas bénéficier d</w:t>
      </w:r>
      <w:r w:rsidR="00A95CF8" w:rsidRPr="005470AD">
        <w:t>’</w:t>
      </w:r>
      <w:r w:rsidRPr="005470AD">
        <w:t>une assistance judiciaire,</w:t>
      </w:r>
      <w:r w:rsidRPr="005470AD">
        <w:rPr>
          <w:vertAlign w:val="superscript"/>
          <w:lang w:bidi="fr-FR"/>
        </w:rPr>
        <w:footnoteReference w:id="21"/>
      </w:r>
      <w:r w:rsidRPr="005470AD">
        <w:t xml:space="preserve"> </w:t>
      </w:r>
      <w:r w:rsidR="00601939" w:rsidRPr="005470AD">
        <w:t xml:space="preserve">et </w:t>
      </w:r>
      <w:r w:rsidRPr="005470AD">
        <w:t>de ne pas avoir connaissance de l</w:t>
      </w:r>
      <w:r w:rsidR="00A95CF8" w:rsidRPr="005470AD">
        <w:t>’</w:t>
      </w:r>
      <w:r w:rsidRPr="005470AD">
        <w:t>existence de la Cour</w:t>
      </w:r>
      <w:r w:rsidR="00DA1734" w:rsidRPr="005470AD">
        <w:t>.</w:t>
      </w:r>
      <w:r w:rsidRPr="005470AD">
        <w:rPr>
          <w:rStyle w:val="FootnoteReference"/>
          <w:rFonts w:ascii="Arial" w:hAnsi="Arial" w:cs="Arial"/>
          <w:lang w:bidi="fr-FR"/>
        </w:rPr>
        <w:footnoteReference w:id="22"/>
      </w:r>
      <w:r w:rsidRPr="005470AD">
        <w:t xml:space="preserve"> Néanmoins, ces circonstances doivent être prouvées.</w:t>
      </w:r>
    </w:p>
    <w:p w14:paraId="606DA1E2" w14:textId="77777777" w:rsidR="00093090" w:rsidRPr="005470AD" w:rsidRDefault="00093090" w:rsidP="002624E4"/>
    <w:p w14:paraId="12A15D75" w14:textId="4269F849" w:rsidR="00AE660D" w:rsidRPr="005470AD" w:rsidRDefault="00E16562" w:rsidP="002624E4">
      <w:r w:rsidRPr="005470AD">
        <w:t>Dans la présente Requête, la Cour note que le Requérant n</w:t>
      </w:r>
      <w:r w:rsidR="00A95CF8" w:rsidRPr="005470AD">
        <w:t>’</w:t>
      </w:r>
      <w:r w:rsidRPr="005470AD">
        <w:t>est pas seulement incarcéré, mais qu</w:t>
      </w:r>
      <w:r w:rsidR="00A95CF8" w:rsidRPr="005470AD">
        <w:t>’</w:t>
      </w:r>
      <w:r w:rsidRPr="005470AD">
        <w:t>il est dans le couloir de la mort depuis sa condamnation en 2005, avec pour conséquence une restriction de ses mouvements et du flux d</w:t>
      </w:r>
      <w:r w:rsidR="00A95CF8" w:rsidRPr="005470AD">
        <w:t>’</w:t>
      </w:r>
      <w:r w:rsidRPr="005470AD">
        <w:t xml:space="preserve">informations, ce qui, conformément aux conclusions de la Cour, dans des affaires similaires antérieures, pouvait </w:t>
      </w:r>
      <w:r w:rsidRPr="005470AD">
        <w:lastRenderedPageBreak/>
        <w:t>entraîner des retards dans le dépôt des requêtes</w:t>
      </w:r>
      <w:r w:rsidR="00DA1734" w:rsidRPr="005470AD">
        <w:t>.</w:t>
      </w:r>
      <w:r w:rsidR="005F6E19" w:rsidRPr="005470AD">
        <w:rPr>
          <w:rStyle w:val="FootnoteReference"/>
          <w:rFonts w:ascii="Arial" w:hAnsi="Arial" w:cs="Arial"/>
        </w:rPr>
        <w:footnoteReference w:id="23"/>
      </w:r>
      <w:r w:rsidRPr="005470AD">
        <w:t xml:space="preserve"> La Cour estime que cette situation fait échec au quatrième moyen de l</w:t>
      </w:r>
      <w:r w:rsidR="00A95CF8" w:rsidRPr="005470AD">
        <w:t>’</w:t>
      </w:r>
      <w:r w:rsidRPr="005470AD">
        <w:t>exception de l</w:t>
      </w:r>
      <w:r w:rsidR="00A95CF8" w:rsidRPr="005470AD">
        <w:t>’</w:t>
      </w:r>
      <w:r w:rsidRPr="005470AD">
        <w:t>État défendeur, selon lequel le Requérant ne peut prétendre avoir été empêché d</w:t>
      </w:r>
      <w:r w:rsidR="00A95CF8" w:rsidRPr="005470AD">
        <w:t>’</w:t>
      </w:r>
      <w:r w:rsidRPr="005470AD">
        <w:t>accéder à la Cour, puisque la question qui se pose est celle du respect des délais. La Cour observe enfin que le Requérant assure lui-même sa défense devant la Cour de céans.</w:t>
      </w:r>
    </w:p>
    <w:p w14:paraId="2C8EEF3B" w14:textId="77777777" w:rsidR="002C4346" w:rsidRPr="005470AD" w:rsidRDefault="002C4346" w:rsidP="002624E4"/>
    <w:p w14:paraId="77A49214" w14:textId="7666DEC2" w:rsidR="005F6E19" w:rsidRPr="005470AD" w:rsidRDefault="002C4346" w:rsidP="002624E4">
      <w:r w:rsidRPr="005470AD">
        <w:t>Au regard de ce qui précède, la Cour estime que le délai de trois (3)</w:t>
      </w:r>
      <w:r w:rsidR="00D675D0" w:rsidRPr="005470AD">
        <w:t xml:space="preserve"> </w:t>
      </w:r>
      <w:r w:rsidR="009116BB" w:rsidRPr="005470AD">
        <w:t>ans</w:t>
      </w:r>
      <w:r w:rsidR="009577FE" w:rsidRPr="005470AD">
        <w:t xml:space="preserve"> </w:t>
      </w:r>
      <w:r w:rsidR="009116BB" w:rsidRPr="005470AD">
        <w:t>observé</w:t>
      </w:r>
      <w:r w:rsidRPr="005470AD">
        <w:t xml:space="preserve"> par le Requérant avant d</w:t>
      </w:r>
      <w:r w:rsidR="00A95CF8" w:rsidRPr="005470AD">
        <w:t>’</w:t>
      </w:r>
      <w:r w:rsidRPr="005470AD">
        <w:t>introduire sa Requête est raisonnable au sens de l</w:t>
      </w:r>
      <w:r w:rsidR="00A95CF8" w:rsidRPr="005470AD">
        <w:t>’</w:t>
      </w:r>
      <w:r w:rsidRPr="005470AD">
        <w:t>article 56(6) de la Charte et de la règle 50(2)(f) du Règlement.</w:t>
      </w:r>
    </w:p>
    <w:p w14:paraId="7CCCB215" w14:textId="77777777" w:rsidR="00E16562" w:rsidRPr="005470AD" w:rsidRDefault="00E16562" w:rsidP="002624E4"/>
    <w:p w14:paraId="5B31D680" w14:textId="788C489D" w:rsidR="003414E7" w:rsidRPr="005470AD" w:rsidRDefault="002C4346" w:rsidP="002624E4">
      <w:r w:rsidRPr="005470AD">
        <w:t>En conséquence, la Cour rejette l</w:t>
      </w:r>
      <w:r w:rsidR="00A95CF8" w:rsidRPr="005470AD">
        <w:t>’</w:t>
      </w:r>
      <w:r w:rsidRPr="005470AD">
        <w:t>exception d</w:t>
      </w:r>
      <w:r w:rsidR="00A95CF8" w:rsidRPr="005470AD">
        <w:t>’</w:t>
      </w:r>
      <w:r w:rsidRPr="005470AD">
        <w:t>irrecevabilité soulevée par l</w:t>
      </w:r>
      <w:r w:rsidR="00A95CF8" w:rsidRPr="005470AD">
        <w:t>’</w:t>
      </w:r>
      <w:r w:rsidRPr="005470AD">
        <w:t xml:space="preserve">État défendeur, tirée du dépôt de la présente Requête dans un délai non raisonnable. </w:t>
      </w:r>
    </w:p>
    <w:p w14:paraId="0CDC3F5E" w14:textId="77777777" w:rsidR="00250B8F" w:rsidRPr="005470AD" w:rsidRDefault="00250B8F" w:rsidP="002624E4"/>
    <w:p w14:paraId="3721F39D" w14:textId="35F12695" w:rsidR="00B14B75" w:rsidRPr="005470AD" w:rsidRDefault="005C1EEC" w:rsidP="002624E4">
      <w:bookmarkStart w:id="21" w:name="_Toc136592702"/>
      <w:r w:rsidRPr="005470AD">
        <w:t>Sur les a</w:t>
      </w:r>
      <w:r w:rsidR="00B14B75" w:rsidRPr="005470AD">
        <w:t>utres conditions de recevabilité</w:t>
      </w:r>
      <w:bookmarkEnd w:id="21"/>
      <w:r w:rsidR="00B14B75" w:rsidRPr="005470AD">
        <w:t xml:space="preserve"> </w:t>
      </w:r>
    </w:p>
    <w:p w14:paraId="2C8BA10F" w14:textId="77777777" w:rsidR="00B14B75" w:rsidRPr="005470AD" w:rsidRDefault="00B14B75" w:rsidP="002624E4"/>
    <w:p w14:paraId="109EB204" w14:textId="5253021E" w:rsidR="00EA1502" w:rsidRPr="005470AD" w:rsidRDefault="00B14B75" w:rsidP="002624E4">
      <w:r w:rsidRPr="005470AD">
        <w:t>La Cour relève qu</w:t>
      </w:r>
      <w:r w:rsidR="00A95CF8" w:rsidRPr="005470AD">
        <w:t>’</w:t>
      </w:r>
      <w:r w:rsidRPr="005470AD">
        <w:t>aucune contestation n</w:t>
      </w:r>
      <w:r w:rsidR="00A95CF8" w:rsidRPr="005470AD">
        <w:t>’</w:t>
      </w:r>
      <w:r w:rsidRPr="005470AD">
        <w:t>a été soulevée concernant le respect des conditions énoncées à la règle 50(2), (a), (b), (c), (d), (e) et (g) du Règlement. Toutefois, elle doit s</w:t>
      </w:r>
      <w:r w:rsidR="00A95CF8" w:rsidRPr="005470AD">
        <w:t>’</w:t>
      </w:r>
      <w:r w:rsidRPr="005470AD">
        <w:t>assurer que la Requête remplit ces critères.</w:t>
      </w:r>
    </w:p>
    <w:p w14:paraId="3BB1B217" w14:textId="77777777" w:rsidR="00EA1502" w:rsidRPr="005470AD" w:rsidRDefault="00EA1502" w:rsidP="002624E4"/>
    <w:p w14:paraId="53A4AD1D" w14:textId="117EF6C2" w:rsidR="00D11EE2" w:rsidRPr="005470AD" w:rsidRDefault="00D11EE2" w:rsidP="002624E4">
      <w:r w:rsidRPr="005470AD">
        <w:t xml:space="preserve">Il ressort du dossier que le Requérant a été clairement identifié par son nom, conformément à la règle 50(2)(a) du Règlement. </w:t>
      </w:r>
    </w:p>
    <w:p w14:paraId="6F921842" w14:textId="77777777" w:rsidR="00D11EE2" w:rsidRPr="005470AD" w:rsidRDefault="00D11EE2" w:rsidP="002624E4"/>
    <w:p w14:paraId="52B99D4D" w14:textId="000FB385" w:rsidR="00D11EE2" w:rsidRPr="005470AD" w:rsidRDefault="00D11EE2" w:rsidP="002624E4">
      <w:r w:rsidRPr="005470AD">
        <w:t>La Cour relève également que les demandes formulées par le Requérant visent à protéger ses droits garantis par la Charte. Elle note, en outre, que l</w:t>
      </w:r>
      <w:r w:rsidR="00A95CF8" w:rsidRPr="005470AD">
        <w:t>’</w:t>
      </w:r>
      <w:r w:rsidRPr="005470AD">
        <w:t>un des objectifs de l</w:t>
      </w:r>
      <w:r w:rsidR="00A95CF8" w:rsidRPr="005470AD">
        <w:t>’</w:t>
      </w:r>
      <w:r w:rsidRPr="005470AD">
        <w:t>Acte constitutif de l</w:t>
      </w:r>
      <w:r w:rsidR="00A95CF8" w:rsidRPr="005470AD">
        <w:t>’</w:t>
      </w:r>
      <w:r w:rsidRPr="005470AD">
        <w:t>Union africaine, tel qu</w:t>
      </w:r>
      <w:r w:rsidR="00A95CF8" w:rsidRPr="005470AD">
        <w:t>’</w:t>
      </w:r>
      <w:r w:rsidRPr="005470AD">
        <w:t>énoncé en son article 3(h), est la promotion et la protection des droits de l</w:t>
      </w:r>
      <w:r w:rsidR="00A95CF8" w:rsidRPr="005470AD">
        <w:t>’</w:t>
      </w:r>
      <w:r w:rsidRPr="005470AD">
        <w:t>homme et des peuples. La Cour en conclut que la Requête est compatible avec l</w:t>
      </w:r>
      <w:r w:rsidR="00A95CF8" w:rsidRPr="005470AD">
        <w:t>’</w:t>
      </w:r>
      <w:r w:rsidRPr="005470AD">
        <w:t>Acte constitutif de l</w:t>
      </w:r>
      <w:r w:rsidR="00A95CF8" w:rsidRPr="005470AD">
        <w:t>’</w:t>
      </w:r>
      <w:r w:rsidRPr="005470AD">
        <w:t>Union africaine et la Charte et qu</w:t>
      </w:r>
      <w:r w:rsidR="00A95CF8" w:rsidRPr="005470AD">
        <w:t>’</w:t>
      </w:r>
      <w:r w:rsidRPr="005470AD">
        <w:t>elle satisfait aux exigences de l</w:t>
      </w:r>
      <w:r w:rsidR="00A95CF8" w:rsidRPr="005470AD">
        <w:t>’</w:t>
      </w:r>
      <w:r w:rsidRPr="005470AD">
        <w:t>article 50(2)(b) du Règlement.</w:t>
      </w:r>
    </w:p>
    <w:p w14:paraId="469EE55E" w14:textId="77777777" w:rsidR="00621DAC" w:rsidRPr="005470AD" w:rsidRDefault="00621DAC" w:rsidP="002624E4"/>
    <w:p w14:paraId="34561718" w14:textId="5A4CC1EA" w:rsidR="00D11EE2" w:rsidRPr="005470AD" w:rsidRDefault="00D11EE2" w:rsidP="002624E4">
      <w:r w:rsidRPr="005470AD">
        <w:t>La Cour observe, par ailleurs, que la Requête ne contient aucun terme outrageant ou insultant à l</w:t>
      </w:r>
      <w:r w:rsidR="00A95CF8" w:rsidRPr="005470AD">
        <w:t>’</w:t>
      </w:r>
      <w:r w:rsidRPr="005470AD">
        <w:t>égard de l</w:t>
      </w:r>
      <w:r w:rsidR="00A95CF8" w:rsidRPr="005470AD">
        <w:t>’</w:t>
      </w:r>
      <w:r w:rsidRPr="005470AD">
        <w:t>État défendeur ou de ses institutions, ou encore de l</w:t>
      </w:r>
      <w:r w:rsidR="00A95CF8" w:rsidRPr="005470AD">
        <w:t>’</w:t>
      </w:r>
      <w:r w:rsidRPr="005470AD">
        <w:t>Union africaine ; ce qui la rend conforme à l</w:t>
      </w:r>
      <w:r w:rsidR="00A95CF8" w:rsidRPr="005470AD">
        <w:t>’</w:t>
      </w:r>
      <w:r w:rsidRPr="005470AD">
        <w:t xml:space="preserve">exigence de la règle 50(2)(c) du Règlement. </w:t>
      </w:r>
    </w:p>
    <w:p w14:paraId="42229670" w14:textId="77777777" w:rsidR="00015DFE" w:rsidRPr="005470AD" w:rsidRDefault="00015DFE" w:rsidP="002624E4"/>
    <w:p w14:paraId="2973DC4E" w14:textId="348061A7" w:rsidR="00D11EE2" w:rsidRPr="005470AD" w:rsidRDefault="00D11EE2" w:rsidP="002624E4">
      <w:r w:rsidRPr="005470AD">
        <w:t>La Cour observe également que la Requête n</w:t>
      </w:r>
      <w:r w:rsidR="00A95CF8" w:rsidRPr="005470AD">
        <w:t>’</w:t>
      </w:r>
      <w:r w:rsidRPr="005470AD">
        <w:t>est pas fondée exclusivement sur des nouvelles diffusées par des moyens de communication de masse, mais sur des documents judiciaires émanant des juridictions internes de l</w:t>
      </w:r>
      <w:r w:rsidR="00A95CF8" w:rsidRPr="005470AD">
        <w:t>’</w:t>
      </w:r>
      <w:r w:rsidRPr="005470AD">
        <w:t>État défendeur. Elle est donc conforme à la règle 50(2)(d) du Règlement.</w:t>
      </w:r>
    </w:p>
    <w:p w14:paraId="16DE620F" w14:textId="77777777" w:rsidR="00D11EE2" w:rsidRPr="005470AD" w:rsidRDefault="00D11EE2" w:rsidP="002624E4"/>
    <w:p w14:paraId="48BC3573" w14:textId="5BD5EED1" w:rsidR="00D11EE2" w:rsidRPr="005470AD" w:rsidRDefault="00D11EE2" w:rsidP="002624E4">
      <w:r w:rsidRPr="005470AD">
        <w:t>La Cour estime également que la Requête ne soulève aucune question déjà réglée par l</w:t>
      </w:r>
      <w:r w:rsidR="00A95CF8" w:rsidRPr="005470AD">
        <w:t>’</w:t>
      </w:r>
      <w:r w:rsidRPr="005470AD">
        <w:t>État défendeur conformément aux principes de la Charte des Nations Unies ou de l</w:t>
      </w:r>
      <w:r w:rsidR="00A95CF8" w:rsidRPr="005470AD">
        <w:t>’</w:t>
      </w:r>
      <w:r w:rsidRPr="005470AD">
        <w:t>Acte constitutif de l</w:t>
      </w:r>
      <w:r w:rsidR="00A95CF8" w:rsidRPr="005470AD">
        <w:t>’</w:t>
      </w:r>
      <w:r w:rsidRPr="005470AD">
        <w:t>UA, au sens de la règle 50(2)(g) du Règlement.</w:t>
      </w:r>
    </w:p>
    <w:p w14:paraId="775B4707" w14:textId="77777777" w:rsidR="00D11EE2" w:rsidRPr="005470AD" w:rsidRDefault="00D11EE2" w:rsidP="002624E4"/>
    <w:p w14:paraId="5A31DFFC" w14:textId="28289826" w:rsidR="00D11EE2" w:rsidRPr="005470AD" w:rsidRDefault="00BC4B16" w:rsidP="002624E4">
      <w:pPr>
        <w:rPr>
          <w:bCs/>
        </w:rPr>
      </w:pPr>
      <w:r w:rsidRPr="005470AD">
        <w:t xml:space="preserve">La </w:t>
      </w:r>
      <w:r w:rsidR="00D11EE2" w:rsidRPr="005470AD">
        <w:t xml:space="preserve">Cour </w:t>
      </w:r>
      <w:r w:rsidRPr="005470AD">
        <w:t xml:space="preserve">en </w:t>
      </w:r>
      <w:r w:rsidR="00D11EE2" w:rsidRPr="005470AD">
        <w:t>conclut que la Requête remplit toutes les conditions énoncées à l</w:t>
      </w:r>
      <w:r w:rsidR="00A95CF8" w:rsidRPr="005470AD">
        <w:t>’</w:t>
      </w:r>
      <w:r w:rsidR="00D11EE2" w:rsidRPr="005470AD">
        <w:t>article 56 de la Charte, tel que repris à la règle 50(2) du Règlement, et la déclare, par conséquent, recevable.</w:t>
      </w:r>
    </w:p>
    <w:p w14:paraId="6B2ECB67" w14:textId="77777777" w:rsidR="00FB2214" w:rsidRPr="005470AD" w:rsidRDefault="00FB2214" w:rsidP="002624E4">
      <w:pPr>
        <w:rPr>
          <w:bCs/>
          <w:lang w:bidi="fr-FR"/>
        </w:rPr>
      </w:pPr>
    </w:p>
    <w:p w14:paraId="578417B3" w14:textId="77777777" w:rsidR="00B14B75" w:rsidRPr="005470AD" w:rsidRDefault="00B14B75" w:rsidP="002624E4"/>
    <w:p w14:paraId="6459E3B3" w14:textId="44C0D672" w:rsidR="00D11EE2" w:rsidRPr="005470AD" w:rsidRDefault="00D11EE2" w:rsidP="002624E4">
      <w:bookmarkStart w:id="22" w:name="_Toc136592703"/>
      <w:r w:rsidRPr="005470AD">
        <w:t>SUR LE FOND</w:t>
      </w:r>
      <w:bookmarkEnd w:id="22"/>
      <w:r w:rsidRPr="005470AD">
        <w:t xml:space="preserve"> </w:t>
      </w:r>
    </w:p>
    <w:p w14:paraId="34EFAFBA" w14:textId="77777777" w:rsidR="0022177A" w:rsidRPr="005470AD" w:rsidRDefault="0022177A" w:rsidP="002624E4"/>
    <w:p w14:paraId="22C21D2A" w14:textId="6C9E7E9F" w:rsidR="00666865" w:rsidRPr="005470AD" w:rsidRDefault="00CE4BE6" w:rsidP="002624E4">
      <w:pPr>
        <w:rPr>
          <w:bCs/>
        </w:rPr>
      </w:pPr>
      <w:r w:rsidRPr="005470AD">
        <w:rPr>
          <w:bCs/>
        </w:rPr>
        <w:t xml:space="preserve">Le Requérant </w:t>
      </w:r>
      <w:r w:rsidR="0081782A" w:rsidRPr="005470AD">
        <w:rPr>
          <w:bCs/>
        </w:rPr>
        <w:t xml:space="preserve">allègue la violation </w:t>
      </w:r>
      <w:r w:rsidR="00BC0BDE" w:rsidRPr="005470AD">
        <w:rPr>
          <w:bCs/>
        </w:rPr>
        <w:t xml:space="preserve">de ses droits au procès équitable notamment </w:t>
      </w:r>
      <w:r w:rsidR="0081782A" w:rsidRPr="005470AD">
        <w:rPr>
          <w:bCs/>
        </w:rPr>
        <w:t xml:space="preserve">(A) </w:t>
      </w:r>
      <w:r w:rsidR="00BC0BDE" w:rsidRPr="005470AD">
        <w:rPr>
          <w:bCs/>
        </w:rPr>
        <w:t>le</w:t>
      </w:r>
      <w:r w:rsidR="0081782A" w:rsidRPr="005470AD">
        <w:rPr>
          <w:bCs/>
        </w:rPr>
        <w:t xml:space="preserve"> droit à ce que sa cause soit entendue, (B) </w:t>
      </w:r>
      <w:r w:rsidR="00BC0BDE" w:rsidRPr="005470AD">
        <w:rPr>
          <w:bCs/>
        </w:rPr>
        <w:t xml:space="preserve">le droit d’être jugé dans un délai raisonnable </w:t>
      </w:r>
      <w:r w:rsidR="0081782A" w:rsidRPr="005470AD">
        <w:rPr>
          <w:bCs/>
        </w:rPr>
        <w:t xml:space="preserve">et (C) </w:t>
      </w:r>
      <w:r w:rsidR="00BC0BDE" w:rsidRPr="005470AD">
        <w:rPr>
          <w:bCs/>
        </w:rPr>
        <w:t>le</w:t>
      </w:r>
      <w:r w:rsidR="0081782A" w:rsidRPr="005470AD">
        <w:rPr>
          <w:bCs/>
        </w:rPr>
        <w:t xml:space="preserve"> droit à la défense.</w:t>
      </w:r>
    </w:p>
    <w:p w14:paraId="6D911779" w14:textId="20E75F3D" w:rsidR="0032137A" w:rsidRPr="005470AD" w:rsidRDefault="0032137A" w:rsidP="002624E4"/>
    <w:p w14:paraId="47EB1939" w14:textId="4589770E" w:rsidR="0022177A" w:rsidRPr="005470AD" w:rsidRDefault="00FD5616" w:rsidP="002624E4">
      <w:bookmarkStart w:id="23" w:name="_Toc136592704"/>
      <w:r w:rsidRPr="005470AD">
        <w:t>Violation alléguée du droit à ce que sa cause soit entendue</w:t>
      </w:r>
      <w:bookmarkEnd w:id="23"/>
    </w:p>
    <w:p w14:paraId="38FA9B51" w14:textId="0775A943" w:rsidR="00FD5616" w:rsidRPr="005470AD" w:rsidRDefault="00FD5616" w:rsidP="002624E4">
      <w:r w:rsidRPr="005470AD">
        <w:t xml:space="preserve"> </w:t>
      </w:r>
    </w:p>
    <w:p w14:paraId="2CEF38D1" w14:textId="3EB569A4" w:rsidR="00D31F60" w:rsidRPr="005470AD" w:rsidRDefault="00052F7C" w:rsidP="002624E4">
      <w:r w:rsidRPr="005470AD">
        <w:t>Le Requérant soulève deux (2) griefs en ce qui concerne le droit à ce que sa cause soit entendue</w:t>
      </w:r>
      <w:r w:rsidR="00C40117" w:rsidRPr="005470AD">
        <w:t xml:space="preserve">, à savoir </w:t>
      </w:r>
      <w:r w:rsidR="00B26FA8" w:rsidRPr="005470AD">
        <w:t xml:space="preserve">que </w:t>
      </w:r>
      <w:r w:rsidR="00D31F60" w:rsidRPr="005470AD">
        <w:t xml:space="preserve">(i) la Haute Cour a admis à tort comme </w:t>
      </w:r>
      <w:r w:rsidR="00BD3851" w:rsidRPr="005470AD">
        <w:t xml:space="preserve">élément de </w:t>
      </w:r>
      <w:r w:rsidR="00D31F60" w:rsidRPr="005470AD">
        <w:t>preuve la déc</w:t>
      </w:r>
      <w:r w:rsidR="00B26FA8" w:rsidRPr="005470AD">
        <w:t>laration auto-incriminante du Re</w:t>
      </w:r>
      <w:r w:rsidR="00D31F60" w:rsidRPr="005470AD">
        <w:t xml:space="preserve">quérant, </w:t>
      </w:r>
      <w:r w:rsidR="00B26FA8" w:rsidRPr="005470AD">
        <w:t>par rapport à laquelle il s</w:t>
      </w:r>
      <w:r w:rsidR="00A95CF8" w:rsidRPr="005470AD">
        <w:t>’</w:t>
      </w:r>
      <w:r w:rsidR="00B26FA8" w:rsidRPr="005470AD">
        <w:t>est rétracté</w:t>
      </w:r>
      <w:r w:rsidR="00D31F60" w:rsidRPr="005470AD">
        <w:t xml:space="preserve">, et </w:t>
      </w:r>
      <w:r w:rsidR="00C40117" w:rsidRPr="005470AD">
        <w:t xml:space="preserve">que </w:t>
      </w:r>
      <w:r w:rsidR="00D31F60" w:rsidRPr="005470AD">
        <w:t xml:space="preserve">(ii) la </w:t>
      </w:r>
      <w:r w:rsidR="00B26FA8" w:rsidRPr="005470AD">
        <w:t>Cour</w:t>
      </w:r>
      <w:r w:rsidR="00D675D0" w:rsidRPr="005470AD">
        <w:t xml:space="preserve"> </w:t>
      </w:r>
      <w:r w:rsidR="00B26FA8" w:rsidRPr="005470AD">
        <w:t>d</w:t>
      </w:r>
      <w:r w:rsidR="00A95CF8" w:rsidRPr="005470AD">
        <w:t>’</w:t>
      </w:r>
      <w:r w:rsidR="00B26FA8" w:rsidRPr="005470AD">
        <w:t>Appel</w:t>
      </w:r>
      <w:r w:rsidR="00D31F60" w:rsidRPr="005470AD">
        <w:t xml:space="preserve"> a commis une erreur de droit et de fait en </w:t>
      </w:r>
      <w:r w:rsidR="002F7FF7" w:rsidRPr="005470AD">
        <w:t>ne prenant pas en compte</w:t>
      </w:r>
      <w:r w:rsidR="00D31F60" w:rsidRPr="005470AD">
        <w:t xml:space="preserve"> son moyen de défense selon lequel la déclaration extrajudiciaire a été </w:t>
      </w:r>
      <w:r w:rsidR="00266538" w:rsidRPr="005470AD">
        <w:t>extorquée</w:t>
      </w:r>
      <w:r w:rsidR="00D31F60" w:rsidRPr="005470AD">
        <w:t xml:space="preserve">. </w:t>
      </w:r>
    </w:p>
    <w:p w14:paraId="403E980E" w14:textId="04198601" w:rsidR="00383EAB" w:rsidRPr="005470AD" w:rsidRDefault="00383EAB" w:rsidP="002624E4"/>
    <w:p w14:paraId="26E6D924" w14:textId="75549C1D" w:rsidR="00534A67" w:rsidRPr="005470AD" w:rsidRDefault="00B10E75" w:rsidP="002624E4">
      <w:r w:rsidRPr="005470AD">
        <w:t>L</w:t>
      </w:r>
      <w:r w:rsidR="00A95CF8" w:rsidRPr="005470AD">
        <w:t>’</w:t>
      </w:r>
      <w:r w:rsidRPr="005470AD">
        <w:t>État défendeur conteste ces deux allégations et demande que le Requérant</w:t>
      </w:r>
      <w:r w:rsidR="00BC3D4A" w:rsidRPr="005470AD">
        <w:t xml:space="preserve"> </w:t>
      </w:r>
      <w:r w:rsidRPr="005470AD">
        <w:t xml:space="preserve">en apporte les preuves les plus irréfutables. En ce qui concerne la première allégation, </w:t>
      </w:r>
      <w:r w:rsidR="00534A67" w:rsidRPr="005470AD">
        <w:t>l</w:t>
      </w:r>
      <w:r w:rsidR="00A95CF8" w:rsidRPr="005470AD">
        <w:t>’</w:t>
      </w:r>
      <w:r w:rsidR="00534A67" w:rsidRPr="005470AD">
        <w:t>État défendeur soutient que, suite à l</w:t>
      </w:r>
      <w:r w:rsidR="00A95CF8" w:rsidRPr="005470AD">
        <w:t>’</w:t>
      </w:r>
      <w:r w:rsidR="00534A67" w:rsidRPr="005470AD">
        <w:t>exception soulevée</w:t>
      </w:r>
      <w:r w:rsidR="00031EC6" w:rsidRPr="005470AD">
        <w:t xml:space="preserve"> par le </w:t>
      </w:r>
      <w:r w:rsidR="00991668" w:rsidRPr="005470AD">
        <w:t>Conseil du</w:t>
      </w:r>
      <w:r w:rsidR="00534A67" w:rsidRPr="005470AD">
        <w:t xml:space="preserve"> Requérant </w:t>
      </w:r>
      <w:r w:rsidR="00170D4F" w:rsidRPr="005470AD">
        <w:t>contre l</w:t>
      </w:r>
      <w:r w:rsidR="00A95CF8" w:rsidRPr="005470AD">
        <w:t>’</w:t>
      </w:r>
      <w:r w:rsidR="00170D4F" w:rsidRPr="005470AD">
        <w:t xml:space="preserve">admission </w:t>
      </w:r>
      <w:r w:rsidR="00534A67" w:rsidRPr="005470AD">
        <w:t xml:space="preserve">de la déclaration auto-incriminante comme </w:t>
      </w:r>
      <w:r w:rsidR="00BD3851" w:rsidRPr="005470AD">
        <w:t xml:space="preserve">élément de </w:t>
      </w:r>
      <w:r w:rsidR="00534A67" w:rsidRPr="005470AD">
        <w:t xml:space="preserve">preuve, la Haute Cour a </w:t>
      </w:r>
      <w:r w:rsidR="00266538" w:rsidRPr="005470AD">
        <w:t xml:space="preserve">examiné </w:t>
      </w:r>
      <w:r w:rsidR="00D516CC" w:rsidRPr="005470AD">
        <w:t xml:space="preserve">une procédure </w:t>
      </w:r>
      <w:r w:rsidR="007F32E9" w:rsidRPr="005470AD">
        <w:t>incidente et</w:t>
      </w:r>
      <w:r w:rsidR="00534A67" w:rsidRPr="005470AD">
        <w:t xml:space="preserve"> </w:t>
      </w:r>
      <w:r w:rsidR="003E1491" w:rsidRPr="005470AD">
        <w:t>estimé que le R</w:t>
      </w:r>
      <w:r w:rsidR="00534A67" w:rsidRPr="005470AD">
        <w:t>equérant avait fait la déclaration de</w:t>
      </w:r>
      <w:r w:rsidR="00273227" w:rsidRPr="005470AD">
        <w:t xml:space="preserve"> son</w:t>
      </w:r>
      <w:r w:rsidR="00534A67" w:rsidRPr="005470AD">
        <w:t xml:space="preserve"> plein gré. </w:t>
      </w:r>
      <w:r w:rsidR="00AC7A7A" w:rsidRPr="005470AD">
        <w:t xml:space="preserve">Sur le fondement </w:t>
      </w:r>
      <w:r w:rsidR="00D36457" w:rsidRPr="005470AD">
        <w:t>de</w:t>
      </w:r>
      <w:r w:rsidR="00534A67" w:rsidRPr="005470AD">
        <w:t xml:space="preserve"> cette conclusion, la Haute Cour a admis la déclaration comme </w:t>
      </w:r>
      <w:r w:rsidR="00BD3851" w:rsidRPr="005470AD">
        <w:t xml:space="preserve">élément de </w:t>
      </w:r>
      <w:r w:rsidR="00534A67" w:rsidRPr="005470AD">
        <w:t xml:space="preserve">preuve. </w:t>
      </w:r>
      <w:r w:rsidR="00AC7A7A" w:rsidRPr="005470AD">
        <w:t>L</w:t>
      </w:r>
      <w:r w:rsidR="00534A67" w:rsidRPr="005470AD">
        <w:t>a Cour d</w:t>
      </w:r>
      <w:r w:rsidR="00A95CF8" w:rsidRPr="005470AD">
        <w:t>’</w:t>
      </w:r>
      <w:r w:rsidR="00534A67" w:rsidRPr="005470AD">
        <w:t>appel</w:t>
      </w:r>
      <w:r w:rsidR="00AC7A7A" w:rsidRPr="005470AD">
        <w:t xml:space="preserve"> a également confirmé la décision de la Haute Cour</w:t>
      </w:r>
      <w:r w:rsidR="00534A67" w:rsidRPr="005470AD">
        <w:t xml:space="preserve">. </w:t>
      </w:r>
    </w:p>
    <w:p w14:paraId="51A9E634" w14:textId="77777777" w:rsidR="00534A67" w:rsidRPr="005470AD" w:rsidRDefault="00534A67" w:rsidP="002624E4"/>
    <w:p w14:paraId="4A525B41" w14:textId="2E0DDB14" w:rsidR="00B6616A" w:rsidRPr="005470AD" w:rsidRDefault="005575C4" w:rsidP="002624E4">
      <w:r w:rsidRPr="005470AD">
        <w:t>L</w:t>
      </w:r>
      <w:r w:rsidR="00A95CF8" w:rsidRPr="005470AD">
        <w:t>’</w:t>
      </w:r>
      <w:r w:rsidRPr="005470AD">
        <w:t xml:space="preserve">État défendeur </w:t>
      </w:r>
      <w:r w:rsidR="00D347F3" w:rsidRPr="005470AD">
        <w:t>réitère</w:t>
      </w:r>
      <w:r w:rsidRPr="005470AD">
        <w:t xml:space="preserve">, en ce qui concerne la deuxième allégation, que le Requérant a fait sa déclaration </w:t>
      </w:r>
      <w:r w:rsidR="0005092E" w:rsidRPr="005470AD">
        <w:t xml:space="preserve">auto-incriminante </w:t>
      </w:r>
      <w:r w:rsidRPr="005470AD">
        <w:t>de plein gré, comme l</w:t>
      </w:r>
      <w:r w:rsidR="00A95CF8" w:rsidRPr="005470AD">
        <w:t>’</w:t>
      </w:r>
      <w:r w:rsidRPr="005470AD">
        <w:t>ont confirmé la Haute Cour et la Cour d</w:t>
      </w:r>
      <w:r w:rsidR="00A95CF8" w:rsidRPr="005470AD">
        <w:t>’</w:t>
      </w:r>
      <w:r w:rsidRPr="005470AD">
        <w:t>appel. En</w:t>
      </w:r>
      <w:r w:rsidR="006235BF" w:rsidRPr="005470AD">
        <w:t>fin</w:t>
      </w:r>
      <w:r w:rsidRPr="005470AD">
        <w:t>, le Requérant n</w:t>
      </w:r>
      <w:r w:rsidR="00A95CF8" w:rsidRPr="005470AD">
        <w:t>’</w:t>
      </w:r>
      <w:r w:rsidRPr="005470AD">
        <w:t xml:space="preserve">a pas fait part à la juge de paix, qui a enregistré sa déclaration, </w:t>
      </w:r>
      <w:r w:rsidR="00A9497F" w:rsidRPr="005470AD">
        <w:t>d</w:t>
      </w:r>
      <w:r w:rsidR="00A95CF8" w:rsidRPr="005470AD">
        <w:t>’</w:t>
      </w:r>
      <w:r w:rsidR="00A9497F" w:rsidRPr="005470AD">
        <w:t xml:space="preserve">un quelconque </w:t>
      </w:r>
      <w:r w:rsidRPr="005470AD">
        <w:t>incident de torture.</w:t>
      </w:r>
    </w:p>
    <w:p w14:paraId="3D189612" w14:textId="0412A8A9" w:rsidR="00B6616A" w:rsidRPr="005470AD" w:rsidRDefault="00B6616A" w:rsidP="002624E4">
      <w:r w:rsidRPr="005470AD">
        <w:t>***</w:t>
      </w:r>
    </w:p>
    <w:p w14:paraId="4DBA1573" w14:textId="77777777" w:rsidR="003C6B0E" w:rsidRPr="005470AD" w:rsidRDefault="003C6B0E" w:rsidP="002624E4"/>
    <w:p w14:paraId="7DAF1DD6" w14:textId="0DC49D18" w:rsidR="0022177A" w:rsidRPr="005470AD" w:rsidRDefault="0022177A" w:rsidP="002624E4">
      <w:r w:rsidRPr="005470AD">
        <w:t>L</w:t>
      </w:r>
      <w:r w:rsidR="00A95CF8" w:rsidRPr="005470AD">
        <w:t>’</w:t>
      </w:r>
      <w:r w:rsidRPr="005470AD">
        <w:t xml:space="preserve">article 7(1) de la Charte dispose : « Toute personne a droit à ce que sa cause soit entendue ». </w:t>
      </w:r>
    </w:p>
    <w:p w14:paraId="38A202C4" w14:textId="26A22EAC" w:rsidR="00B6616A" w:rsidRPr="005470AD" w:rsidRDefault="00B6616A" w:rsidP="002624E4"/>
    <w:p w14:paraId="33A99EAE" w14:textId="1AA13DB4" w:rsidR="00F37977" w:rsidRPr="005470AD" w:rsidRDefault="002052D4" w:rsidP="002624E4">
      <w:r w:rsidRPr="005470AD">
        <w:t>La Cour rappelle sa jurisprudence</w:t>
      </w:r>
      <w:r w:rsidR="00E67C89" w:rsidRPr="005470AD">
        <w:t xml:space="preserve"> </w:t>
      </w:r>
      <w:r w:rsidR="009C5124" w:rsidRPr="005470AD">
        <w:t>selon laquelle,</w:t>
      </w:r>
      <w:r w:rsidR="00A17399" w:rsidRPr="005470AD">
        <w:t xml:space="preserve"> </w:t>
      </w:r>
      <w:r w:rsidR="00E50209" w:rsidRPr="005470AD">
        <w:t>la Cour n</w:t>
      </w:r>
      <w:r w:rsidR="00A95CF8" w:rsidRPr="005470AD">
        <w:t>’</w:t>
      </w:r>
      <w:r w:rsidR="00E50209" w:rsidRPr="005470AD">
        <w:t xml:space="preserve">étant </w:t>
      </w:r>
      <w:r w:rsidR="00E67C89" w:rsidRPr="005470AD">
        <w:t>pas une juridiction d</w:t>
      </w:r>
      <w:r w:rsidR="00A95CF8" w:rsidRPr="005470AD">
        <w:t>’</w:t>
      </w:r>
      <w:r w:rsidR="00E67C89" w:rsidRPr="005470AD">
        <w:t xml:space="preserve">appel, </w:t>
      </w:r>
      <w:r w:rsidR="00C44E23" w:rsidRPr="005470AD">
        <w:t>«</w:t>
      </w:r>
      <w:r w:rsidR="00E50209" w:rsidRPr="005470AD">
        <w:t xml:space="preserve"> </w:t>
      </w:r>
      <w:r w:rsidR="00C44E23" w:rsidRPr="005470AD">
        <w:t>par</w:t>
      </w:r>
      <w:r w:rsidR="00D675D0" w:rsidRPr="005470AD">
        <w:t xml:space="preserve"> </w:t>
      </w:r>
      <w:r w:rsidR="009C5124" w:rsidRPr="005470AD">
        <w:t xml:space="preserve">principe, il appartient aux juridictions nationales de </w:t>
      </w:r>
      <w:r w:rsidR="00C44E23" w:rsidRPr="005470AD">
        <w:t xml:space="preserve">se prononcer </w:t>
      </w:r>
      <w:r w:rsidR="005B794F" w:rsidRPr="005470AD">
        <w:t>sur</w:t>
      </w:r>
      <w:r w:rsidR="009C5124" w:rsidRPr="005470AD">
        <w:t xml:space="preserve"> la valeur probante d</w:t>
      </w:r>
      <w:r w:rsidR="00A95CF8" w:rsidRPr="005470AD">
        <w:t>’</w:t>
      </w:r>
      <w:r w:rsidR="009C5124" w:rsidRPr="005470AD">
        <w:t>un élément de preuve particulier</w:t>
      </w:r>
      <w:r w:rsidR="00C176AB" w:rsidRPr="005470AD">
        <w:t> »</w:t>
      </w:r>
      <w:r w:rsidR="00E50209" w:rsidRPr="005470AD">
        <w:t>.</w:t>
      </w:r>
      <w:r w:rsidR="003C7F28" w:rsidRPr="005470AD">
        <w:rPr>
          <w:vertAlign w:val="superscript"/>
          <w:lang w:val="en-GB"/>
        </w:rPr>
        <w:footnoteReference w:id="24"/>
      </w:r>
      <w:r w:rsidR="00026204" w:rsidRPr="005470AD">
        <w:t xml:space="preserve"> </w:t>
      </w:r>
      <w:r w:rsidR="00E50209" w:rsidRPr="005470AD">
        <w:t>Toutefois, el</w:t>
      </w:r>
      <w:r w:rsidRPr="005470AD">
        <w:t>le garde le pouvoir d</w:t>
      </w:r>
      <w:r w:rsidR="00A95CF8" w:rsidRPr="005470AD">
        <w:t>’</w:t>
      </w:r>
      <w:r w:rsidR="00E50209" w:rsidRPr="005470AD">
        <w:t>apprécier</w:t>
      </w:r>
      <w:r w:rsidRPr="005470AD">
        <w:t xml:space="preserve"> si</w:t>
      </w:r>
      <w:r w:rsidR="006235BF" w:rsidRPr="005470AD">
        <w:t>,</w:t>
      </w:r>
      <w:r w:rsidRPr="005470AD">
        <w:t xml:space="preserve"> de manière générale, la façon dont le juge national </w:t>
      </w:r>
      <w:r w:rsidR="006D3D97" w:rsidRPr="005470AD">
        <w:t>a</w:t>
      </w:r>
      <w:r w:rsidRPr="005470AD">
        <w:t xml:space="preserve"> évalué </w:t>
      </w:r>
      <w:r w:rsidR="006D3D97" w:rsidRPr="005470AD">
        <w:t>ces preuves</w:t>
      </w:r>
      <w:r w:rsidR="0063235E" w:rsidRPr="005470AD">
        <w:t xml:space="preserve"> </w:t>
      </w:r>
      <w:r w:rsidRPr="005470AD">
        <w:t>demeure en conformité avec les dispositions pertinentes des instruments internationaux des droits de l</w:t>
      </w:r>
      <w:r w:rsidR="00A95CF8" w:rsidRPr="005470AD">
        <w:t>’</w:t>
      </w:r>
      <w:r w:rsidRPr="005470AD">
        <w:t>homme applicables.</w:t>
      </w:r>
      <w:r w:rsidR="008B55AC" w:rsidRPr="005470AD">
        <w:rPr>
          <w:rStyle w:val="FootnoteReference"/>
          <w:rFonts w:ascii="Arial" w:hAnsi="Arial" w:cs="Arial"/>
        </w:rPr>
        <w:footnoteReference w:id="25"/>
      </w:r>
      <w:r w:rsidRPr="005470AD">
        <w:t xml:space="preserve"> Il convient de relever qu</w:t>
      </w:r>
      <w:r w:rsidR="00A95CF8" w:rsidRPr="005470AD">
        <w:t>’</w:t>
      </w:r>
      <w:r w:rsidRPr="005470AD">
        <w:t>au nombre des garanties du droit à un procès équitable figure le fait qu</w:t>
      </w:r>
      <w:r w:rsidR="00A95CF8" w:rsidRPr="005470AD">
        <w:t>’</w:t>
      </w:r>
      <w:r w:rsidRPr="005470AD">
        <w:t>une lourde peine d</w:t>
      </w:r>
      <w:r w:rsidR="00A95CF8" w:rsidRPr="005470AD">
        <w:t>’</w:t>
      </w:r>
      <w:r w:rsidRPr="005470AD">
        <w:t>emprisonnement prononcée à la suite d</w:t>
      </w:r>
      <w:r w:rsidR="00A95CF8" w:rsidRPr="005470AD">
        <w:t>’</w:t>
      </w:r>
      <w:r w:rsidRPr="005470AD">
        <w:t>une condamnation pour une infraction pénale soit fondée sur des preuves solides et crédibles.</w:t>
      </w:r>
      <w:r w:rsidR="00F37977" w:rsidRPr="005470AD">
        <w:rPr>
          <w:rStyle w:val="FootnoteReference"/>
          <w:rFonts w:ascii="Arial" w:hAnsi="Arial" w:cs="Arial"/>
        </w:rPr>
        <w:footnoteReference w:id="26"/>
      </w:r>
      <w:r w:rsidR="00212163" w:rsidRPr="005470AD">
        <w:t xml:space="preserve"> </w:t>
      </w:r>
      <w:r w:rsidR="003C7F28" w:rsidRPr="005470AD">
        <w:t xml:space="preserve">La Cour examinera successivement les deux moyens </w:t>
      </w:r>
      <w:r w:rsidR="007248DE" w:rsidRPr="005470AD">
        <w:t>relatifs</w:t>
      </w:r>
      <w:r w:rsidR="003C7F28" w:rsidRPr="005470AD">
        <w:t xml:space="preserve"> à la question de</w:t>
      </w:r>
      <w:r w:rsidR="007A6363" w:rsidRPr="005470AD">
        <w:t xml:space="preserve"> l</w:t>
      </w:r>
      <w:r w:rsidR="00A95CF8" w:rsidRPr="005470AD">
        <w:t>’</w:t>
      </w:r>
      <w:r w:rsidR="007A6363" w:rsidRPr="005470AD">
        <w:t xml:space="preserve">élément de </w:t>
      </w:r>
      <w:r w:rsidR="003C7F28" w:rsidRPr="005470AD">
        <w:t>preuve soule</w:t>
      </w:r>
      <w:r w:rsidR="009930B9" w:rsidRPr="005470AD">
        <w:t>vée par le R</w:t>
      </w:r>
      <w:r w:rsidR="003C7F28" w:rsidRPr="005470AD">
        <w:t>equérant.</w:t>
      </w:r>
    </w:p>
    <w:p w14:paraId="1D8AC4A1" w14:textId="4063AC88" w:rsidR="00C77D53" w:rsidRPr="005470AD" w:rsidRDefault="00C77D53" w:rsidP="002624E4"/>
    <w:p w14:paraId="1F5D4A8D" w14:textId="4ADEAAF3" w:rsidR="004C3604" w:rsidRPr="005470AD" w:rsidRDefault="004C3604" w:rsidP="002624E4">
      <w:pPr>
        <w:rPr>
          <w:bCs/>
        </w:rPr>
      </w:pPr>
      <w:bookmarkStart w:id="24" w:name="_Toc136592705"/>
      <w:r w:rsidRPr="005470AD">
        <w:rPr>
          <w:bCs/>
        </w:rPr>
        <w:t>Sur l</w:t>
      </w:r>
      <w:r w:rsidR="00A95CF8" w:rsidRPr="005470AD">
        <w:rPr>
          <w:bCs/>
        </w:rPr>
        <w:t>’</w:t>
      </w:r>
      <w:r w:rsidRPr="005470AD">
        <w:rPr>
          <w:bCs/>
        </w:rPr>
        <w:t>admission par la Haute Cour de la déclaration auto-incriminante</w:t>
      </w:r>
      <w:bookmarkEnd w:id="24"/>
    </w:p>
    <w:p w14:paraId="011209B2" w14:textId="53991AE5" w:rsidR="002052D4" w:rsidRPr="005470AD" w:rsidRDefault="008B55AC" w:rsidP="002624E4">
      <w:r w:rsidRPr="005470AD">
        <w:lastRenderedPageBreak/>
        <w:t xml:space="preserve"> </w:t>
      </w:r>
    </w:p>
    <w:p w14:paraId="74B79BBD" w14:textId="70D011AF" w:rsidR="002052D4" w:rsidRPr="005470AD" w:rsidRDefault="002052D4" w:rsidP="002624E4">
      <w:pPr>
        <w:rPr>
          <w:bCs/>
        </w:rPr>
      </w:pPr>
      <w:r w:rsidRPr="005470AD">
        <w:rPr>
          <w:bCs/>
        </w:rPr>
        <w:t>La Cour constate qu</w:t>
      </w:r>
      <w:r w:rsidR="00A95CF8" w:rsidRPr="005470AD">
        <w:rPr>
          <w:bCs/>
        </w:rPr>
        <w:t>’</w:t>
      </w:r>
      <w:r w:rsidRPr="005470AD">
        <w:rPr>
          <w:bCs/>
        </w:rPr>
        <w:t>il résulte du dossier que l</w:t>
      </w:r>
      <w:r w:rsidR="00A95CF8" w:rsidRPr="005470AD">
        <w:rPr>
          <w:bCs/>
        </w:rPr>
        <w:t>’</w:t>
      </w:r>
      <w:r w:rsidRPr="005470AD">
        <w:rPr>
          <w:bCs/>
        </w:rPr>
        <w:t xml:space="preserve">essentiel de la défense du Requérant devant </w:t>
      </w:r>
      <w:r w:rsidR="00163104" w:rsidRPr="005470AD">
        <w:rPr>
          <w:bCs/>
        </w:rPr>
        <w:t>la Haute Cour et le moyen soulevé devant</w:t>
      </w:r>
      <w:r w:rsidR="00FB7503" w:rsidRPr="005470AD">
        <w:rPr>
          <w:bCs/>
        </w:rPr>
        <w:t xml:space="preserve"> </w:t>
      </w:r>
      <w:r w:rsidRPr="005470AD">
        <w:rPr>
          <w:bCs/>
        </w:rPr>
        <w:t>la Cour d</w:t>
      </w:r>
      <w:r w:rsidR="00A95CF8" w:rsidRPr="005470AD">
        <w:rPr>
          <w:bCs/>
        </w:rPr>
        <w:t>’</w:t>
      </w:r>
      <w:r w:rsidRPr="005470AD">
        <w:rPr>
          <w:bCs/>
        </w:rPr>
        <w:t>appel portait sur l</w:t>
      </w:r>
      <w:r w:rsidR="00A95CF8" w:rsidRPr="005470AD">
        <w:rPr>
          <w:bCs/>
        </w:rPr>
        <w:t>’</w:t>
      </w:r>
      <w:r w:rsidRPr="005470AD">
        <w:rPr>
          <w:bCs/>
        </w:rPr>
        <w:t>admission de la déclaration extrajudiciaire comme preuve</w:t>
      </w:r>
      <w:r w:rsidR="00163104" w:rsidRPr="005470AD">
        <w:rPr>
          <w:bCs/>
        </w:rPr>
        <w:t>.</w:t>
      </w:r>
      <w:r w:rsidRPr="005470AD">
        <w:rPr>
          <w:bCs/>
        </w:rPr>
        <w:t xml:space="preserve"> La Cour </w:t>
      </w:r>
      <w:r w:rsidR="006A597F" w:rsidRPr="005470AD">
        <w:rPr>
          <w:bCs/>
        </w:rPr>
        <w:t xml:space="preserve">doit </w:t>
      </w:r>
      <w:r w:rsidR="007F10AA" w:rsidRPr="005470AD">
        <w:rPr>
          <w:bCs/>
        </w:rPr>
        <w:t xml:space="preserve">donc apprécier </w:t>
      </w:r>
      <w:r w:rsidRPr="005470AD">
        <w:rPr>
          <w:bCs/>
        </w:rPr>
        <w:t>si l</w:t>
      </w:r>
      <w:r w:rsidR="00A95CF8" w:rsidRPr="005470AD">
        <w:rPr>
          <w:bCs/>
        </w:rPr>
        <w:t>’</w:t>
      </w:r>
      <w:r w:rsidRPr="005470AD">
        <w:rPr>
          <w:bCs/>
        </w:rPr>
        <w:t xml:space="preserve">admission de ces éléments de preuve par les juridictions nationales </w:t>
      </w:r>
      <w:r w:rsidR="007F10AA" w:rsidRPr="005470AD">
        <w:rPr>
          <w:bCs/>
        </w:rPr>
        <w:t>s</w:t>
      </w:r>
      <w:r w:rsidR="00A95CF8" w:rsidRPr="005470AD">
        <w:rPr>
          <w:bCs/>
        </w:rPr>
        <w:t>’</w:t>
      </w:r>
      <w:r w:rsidR="007F10AA" w:rsidRPr="005470AD">
        <w:rPr>
          <w:bCs/>
        </w:rPr>
        <w:t xml:space="preserve">est faite conformément </w:t>
      </w:r>
      <w:r w:rsidR="006235BF" w:rsidRPr="005470AD">
        <w:rPr>
          <w:bCs/>
        </w:rPr>
        <w:t xml:space="preserve">au </w:t>
      </w:r>
      <w:r w:rsidRPr="005470AD">
        <w:rPr>
          <w:bCs/>
        </w:rPr>
        <w:t xml:space="preserve">droit </w:t>
      </w:r>
      <w:r w:rsidR="007F10AA" w:rsidRPr="005470AD">
        <w:rPr>
          <w:bCs/>
        </w:rPr>
        <w:t xml:space="preserve">du Requérant </w:t>
      </w:r>
      <w:r w:rsidRPr="005470AD">
        <w:rPr>
          <w:bCs/>
        </w:rPr>
        <w:t>à ce que sa cause soit entendue</w:t>
      </w:r>
      <w:r w:rsidR="007F10AA" w:rsidRPr="005470AD">
        <w:rPr>
          <w:bCs/>
        </w:rPr>
        <w:t>,</w:t>
      </w:r>
      <w:r w:rsidRPr="005470AD">
        <w:rPr>
          <w:bCs/>
        </w:rPr>
        <w:t xml:space="preserve"> </w:t>
      </w:r>
      <w:r w:rsidR="006235BF" w:rsidRPr="005470AD">
        <w:rPr>
          <w:bCs/>
        </w:rPr>
        <w:t>protégé p</w:t>
      </w:r>
      <w:r w:rsidRPr="005470AD">
        <w:rPr>
          <w:bCs/>
        </w:rPr>
        <w:t>ar</w:t>
      </w:r>
      <w:r w:rsidR="003C6981" w:rsidRPr="005470AD">
        <w:rPr>
          <w:bCs/>
        </w:rPr>
        <w:t xml:space="preserve"> l</w:t>
      </w:r>
      <w:r w:rsidR="00A95CF8" w:rsidRPr="005470AD">
        <w:rPr>
          <w:bCs/>
        </w:rPr>
        <w:t>’</w:t>
      </w:r>
      <w:r w:rsidR="003C6981" w:rsidRPr="005470AD">
        <w:rPr>
          <w:bCs/>
        </w:rPr>
        <w:t>ar</w:t>
      </w:r>
      <w:r w:rsidRPr="005470AD">
        <w:rPr>
          <w:bCs/>
        </w:rPr>
        <w:t xml:space="preserve">ticle 7(1) de la Charte. </w:t>
      </w:r>
    </w:p>
    <w:p w14:paraId="45844C3D" w14:textId="77777777" w:rsidR="00AE26B4" w:rsidRPr="005470AD" w:rsidRDefault="00AE26B4" w:rsidP="002624E4"/>
    <w:p w14:paraId="154297CB" w14:textId="05EC0FAA" w:rsidR="00D72716" w:rsidRPr="005470AD" w:rsidRDefault="0059573B" w:rsidP="002624E4">
      <w:pPr>
        <w:rPr>
          <w:bCs/>
        </w:rPr>
      </w:pPr>
      <w:r w:rsidRPr="005470AD">
        <w:rPr>
          <w:bCs/>
        </w:rPr>
        <w:t>La Cour relève qu</w:t>
      </w:r>
      <w:r w:rsidR="00A95CF8" w:rsidRPr="005470AD">
        <w:rPr>
          <w:bCs/>
        </w:rPr>
        <w:t>’</w:t>
      </w:r>
      <w:r w:rsidRPr="005470AD">
        <w:rPr>
          <w:bCs/>
        </w:rPr>
        <w:t>il ressort du dossier que, dès le début du procès, le 13 juin 2000, le Requérant a soulevé une exception d</w:t>
      </w:r>
      <w:r w:rsidR="00A95CF8" w:rsidRPr="005470AD">
        <w:rPr>
          <w:bCs/>
        </w:rPr>
        <w:t>’</w:t>
      </w:r>
      <w:r w:rsidRPr="005470AD">
        <w:rPr>
          <w:bCs/>
        </w:rPr>
        <w:t xml:space="preserve">irrecevabilité de la déclaration extrajudiciaire comme élément de </w:t>
      </w:r>
      <w:r w:rsidR="00F9201F" w:rsidRPr="005470AD">
        <w:rPr>
          <w:bCs/>
        </w:rPr>
        <w:t xml:space="preserve">preuve. </w:t>
      </w:r>
      <w:r w:rsidR="006A597F" w:rsidRPr="005470AD">
        <w:rPr>
          <w:bCs/>
        </w:rPr>
        <w:t>L</w:t>
      </w:r>
      <w:r w:rsidR="00F9201F" w:rsidRPr="005470AD">
        <w:rPr>
          <w:bCs/>
        </w:rPr>
        <w:t xml:space="preserve">a Haute Cour </w:t>
      </w:r>
      <w:r w:rsidR="006A597F" w:rsidRPr="005470AD">
        <w:rPr>
          <w:bCs/>
        </w:rPr>
        <w:t>a donc dû</w:t>
      </w:r>
      <w:r w:rsidR="006A0C5A" w:rsidRPr="005470AD">
        <w:rPr>
          <w:bCs/>
        </w:rPr>
        <w:t xml:space="preserve"> examiner </w:t>
      </w:r>
      <w:r w:rsidR="003E05C4" w:rsidRPr="005470AD">
        <w:rPr>
          <w:bCs/>
        </w:rPr>
        <w:t xml:space="preserve">à titre préliminaire cette question </w:t>
      </w:r>
      <w:r w:rsidR="006A0C5A" w:rsidRPr="005470AD">
        <w:rPr>
          <w:bCs/>
        </w:rPr>
        <w:t>incidente</w:t>
      </w:r>
      <w:r w:rsidR="006A597F" w:rsidRPr="005470AD">
        <w:rPr>
          <w:bCs/>
        </w:rPr>
        <w:t>.</w:t>
      </w:r>
    </w:p>
    <w:p w14:paraId="5F04F364" w14:textId="77777777" w:rsidR="006102FB" w:rsidRPr="005470AD" w:rsidRDefault="006102FB" w:rsidP="002624E4"/>
    <w:p w14:paraId="441B45E4" w14:textId="56D54B9C" w:rsidR="00012CF9" w:rsidRPr="005470AD" w:rsidRDefault="00E80839" w:rsidP="002624E4">
      <w:pPr>
        <w:rPr>
          <w:bCs/>
        </w:rPr>
      </w:pPr>
      <w:r w:rsidRPr="005470AD">
        <w:rPr>
          <w:bCs/>
        </w:rPr>
        <w:t>Lors de</w:t>
      </w:r>
      <w:r w:rsidR="006102FB" w:rsidRPr="005470AD">
        <w:rPr>
          <w:bCs/>
        </w:rPr>
        <w:t xml:space="preserve"> l</w:t>
      </w:r>
      <w:r w:rsidR="00A95CF8" w:rsidRPr="005470AD">
        <w:rPr>
          <w:bCs/>
        </w:rPr>
        <w:t>’</w:t>
      </w:r>
      <w:r w:rsidR="006102FB" w:rsidRPr="005470AD">
        <w:rPr>
          <w:bCs/>
        </w:rPr>
        <w:t xml:space="preserve">examen de </w:t>
      </w:r>
      <w:r w:rsidR="00E91054" w:rsidRPr="005470AD">
        <w:rPr>
          <w:bCs/>
        </w:rPr>
        <w:t xml:space="preserve">la </w:t>
      </w:r>
      <w:r w:rsidR="003E05C4" w:rsidRPr="005470AD">
        <w:rPr>
          <w:bCs/>
        </w:rPr>
        <w:t xml:space="preserve">question </w:t>
      </w:r>
      <w:r w:rsidR="006102FB" w:rsidRPr="005470AD">
        <w:rPr>
          <w:bCs/>
        </w:rPr>
        <w:t>incidente, l</w:t>
      </w:r>
      <w:r w:rsidR="00CA5E25" w:rsidRPr="005470AD">
        <w:rPr>
          <w:bCs/>
        </w:rPr>
        <w:t xml:space="preserve">e Requérant a, dans son témoignage, indiqué </w:t>
      </w:r>
      <w:r w:rsidR="006102FB" w:rsidRPr="005470AD">
        <w:rPr>
          <w:bCs/>
        </w:rPr>
        <w:t>qu</w:t>
      </w:r>
      <w:r w:rsidR="00A95CF8" w:rsidRPr="005470AD">
        <w:rPr>
          <w:bCs/>
        </w:rPr>
        <w:t>’</w:t>
      </w:r>
      <w:r w:rsidR="006102FB" w:rsidRPr="005470AD">
        <w:rPr>
          <w:bCs/>
        </w:rPr>
        <w:t>il avait été arrêté le 20 mars 1995 et qu</w:t>
      </w:r>
      <w:r w:rsidR="00A95CF8" w:rsidRPr="005470AD">
        <w:rPr>
          <w:bCs/>
        </w:rPr>
        <w:t>’</w:t>
      </w:r>
      <w:r w:rsidR="006102FB" w:rsidRPr="005470AD">
        <w:rPr>
          <w:bCs/>
        </w:rPr>
        <w:t>il avait été ensuite battu par des « </w:t>
      </w:r>
      <w:r w:rsidR="006102FB" w:rsidRPr="005470AD">
        <w:rPr>
          <w:bCs/>
          <w:i/>
        </w:rPr>
        <w:t>sungusungu »</w:t>
      </w:r>
      <w:r w:rsidRPr="005470AD">
        <w:rPr>
          <w:bCs/>
          <w:i/>
        </w:rPr>
        <w:t>.</w:t>
      </w:r>
      <w:r w:rsidR="006102FB" w:rsidRPr="005470AD">
        <w:rPr>
          <w:rStyle w:val="FootnoteReference"/>
          <w:rFonts w:ascii="Arial" w:hAnsi="Arial" w:cs="Arial"/>
          <w:bCs/>
        </w:rPr>
        <w:footnoteReference w:id="27"/>
      </w:r>
      <w:r w:rsidR="006102FB" w:rsidRPr="005470AD">
        <w:rPr>
          <w:bCs/>
        </w:rPr>
        <w:t xml:space="preserve"> </w:t>
      </w:r>
      <w:r w:rsidR="00FB7503" w:rsidRPr="005470AD">
        <w:rPr>
          <w:bCs/>
        </w:rPr>
        <w:t xml:space="preserve">Il </w:t>
      </w:r>
      <w:r w:rsidR="006102FB" w:rsidRPr="005470AD">
        <w:rPr>
          <w:bCs/>
        </w:rPr>
        <w:t>a ensuite été conduit</w:t>
      </w:r>
      <w:r w:rsidR="00B77C22" w:rsidRPr="005470AD">
        <w:rPr>
          <w:bCs/>
        </w:rPr>
        <w:t>,</w:t>
      </w:r>
      <w:r w:rsidR="006102FB" w:rsidRPr="005470AD">
        <w:rPr>
          <w:bCs/>
        </w:rPr>
        <w:t xml:space="preserve"> </w:t>
      </w:r>
      <w:r w:rsidR="00B77C22" w:rsidRPr="005470AD">
        <w:rPr>
          <w:bCs/>
        </w:rPr>
        <w:t xml:space="preserve">le 23 mars 1995, </w:t>
      </w:r>
      <w:r w:rsidR="006102FB" w:rsidRPr="005470AD">
        <w:rPr>
          <w:bCs/>
        </w:rPr>
        <w:t xml:space="preserve">devant le tribunal de district qui a ordonné sa détention provisoire. Le Requérant a </w:t>
      </w:r>
      <w:r w:rsidR="00CA5E25" w:rsidRPr="005470AD">
        <w:rPr>
          <w:bCs/>
        </w:rPr>
        <w:t>indiqué</w:t>
      </w:r>
      <w:r w:rsidR="006102FB" w:rsidRPr="005470AD">
        <w:rPr>
          <w:bCs/>
        </w:rPr>
        <w:t xml:space="preserve"> qu</w:t>
      </w:r>
      <w:r w:rsidR="00A95CF8" w:rsidRPr="005470AD">
        <w:rPr>
          <w:bCs/>
        </w:rPr>
        <w:t>’</w:t>
      </w:r>
      <w:r w:rsidR="006102FB" w:rsidRPr="005470AD">
        <w:rPr>
          <w:bCs/>
        </w:rPr>
        <w:t>au lieu d</w:t>
      </w:r>
      <w:r w:rsidR="00A95CF8" w:rsidRPr="005470AD">
        <w:rPr>
          <w:bCs/>
        </w:rPr>
        <w:t>’</w:t>
      </w:r>
      <w:r w:rsidR="006102FB" w:rsidRPr="005470AD">
        <w:rPr>
          <w:bCs/>
        </w:rPr>
        <w:t xml:space="preserve">être placé en détention provisoire conformément aux ordonnances du tribunal de district, il avait été conduit à un poste de police où </w:t>
      </w:r>
      <w:r w:rsidR="00CA5E25" w:rsidRPr="005470AD">
        <w:rPr>
          <w:bCs/>
        </w:rPr>
        <w:t>des agents</w:t>
      </w:r>
      <w:r w:rsidR="006102FB" w:rsidRPr="005470AD">
        <w:rPr>
          <w:bCs/>
        </w:rPr>
        <w:t xml:space="preserve"> l</w:t>
      </w:r>
      <w:r w:rsidR="00A95CF8" w:rsidRPr="005470AD">
        <w:rPr>
          <w:bCs/>
        </w:rPr>
        <w:t>’</w:t>
      </w:r>
      <w:r w:rsidR="00CA5E25" w:rsidRPr="005470AD">
        <w:rPr>
          <w:bCs/>
        </w:rPr>
        <w:t>ont</w:t>
      </w:r>
      <w:r w:rsidR="006102FB" w:rsidRPr="005470AD">
        <w:rPr>
          <w:bCs/>
        </w:rPr>
        <w:t xml:space="preserve"> battu et contraint à faire des aveux. Les policiers l</w:t>
      </w:r>
      <w:r w:rsidR="00A95CF8" w:rsidRPr="005470AD">
        <w:rPr>
          <w:bCs/>
        </w:rPr>
        <w:t>’</w:t>
      </w:r>
      <w:r w:rsidR="006102FB" w:rsidRPr="005470AD">
        <w:rPr>
          <w:bCs/>
        </w:rPr>
        <w:t xml:space="preserve">ont ensuite emmené devant le juge de paix le 24 mars 1995, où il a avoué avoir commis le crime. </w:t>
      </w:r>
      <w:r w:rsidR="00012CF9" w:rsidRPr="005470AD">
        <w:rPr>
          <w:bCs/>
        </w:rPr>
        <w:t>Le Requérant affirme avoir consenti à faire des aveux estimant que, ce faisant, il serait retiré de la garde à vue et placé en détention provisoire dans un établissement pénitentiaire.</w:t>
      </w:r>
    </w:p>
    <w:p w14:paraId="6874EC30" w14:textId="0AA2511A" w:rsidR="001838CD" w:rsidRPr="005470AD" w:rsidRDefault="001838CD" w:rsidP="002624E4"/>
    <w:p w14:paraId="551B1D72" w14:textId="4C08A6A8" w:rsidR="00F31B27" w:rsidRPr="005470AD" w:rsidRDefault="001366CD" w:rsidP="002624E4">
      <w:r w:rsidRPr="005470AD">
        <w:t>La juge de paix (PW1) a</w:t>
      </w:r>
      <w:r w:rsidR="00475A84" w:rsidRPr="005470AD">
        <w:t>, dans son témoignage au cours de l</w:t>
      </w:r>
      <w:r w:rsidR="00A95CF8" w:rsidRPr="005470AD">
        <w:t>’</w:t>
      </w:r>
      <w:r w:rsidR="00475A84" w:rsidRPr="005470AD">
        <w:t xml:space="preserve">examen de la procédure incidente, </w:t>
      </w:r>
      <w:r w:rsidRPr="005470AD">
        <w:t xml:space="preserve">également </w:t>
      </w:r>
      <w:r w:rsidR="00475A84" w:rsidRPr="005470AD">
        <w:t>indiqué</w:t>
      </w:r>
      <w:r w:rsidRPr="005470AD">
        <w:t xml:space="preserve"> qu</w:t>
      </w:r>
      <w:r w:rsidR="00A95CF8" w:rsidRPr="005470AD">
        <w:t>’</w:t>
      </w:r>
      <w:r w:rsidR="00F31B27" w:rsidRPr="005470AD">
        <w:t>avant d</w:t>
      </w:r>
      <w:r w:rsidR="00A95CF8" w:rsidRPr="005470AD">
        <w:t>’</w:t>
      </w:r>
      <w:r w:rsidR="00F31B27" w:rsidRPr="005470AD">
        <w:t xml:space="preserve">enregistrer la déclaration, </w:t>
      </w:r>
      <w:r w:rsidR="00165B50" w:rsidRPr="005470AD">
        <w:t xml:space="preserve">elle </w:t>
      </w:r>
      <w:r w:rsidR="00F31B27" w:rsidRPr="005470AD">
        <w:t>s</w:t>
      </w:r>
      <w:r w:rsidR="00A95CF8" w:rsidRPr="005470AD">
        <w:t>’</w:t>
      </w:r>
      <w:r w:rsidR="00F31B27" w:rsidRPr="005470AD">
        <w:t>est assuré</w:t>
      </w:r>
      <w:r w:rsidR="00E07961" w:rsidRPr="005470AD">
        <w:t>e</w:t>
      </w:r>
      <w:r w:rsidR="00F31B27" w:rsidRPr="005470AD">
        <w:t xml:space="preserve"> que le Requérant </w:t>
      </w:r>
      <w:r w:rsidR="0019268E" w:rsidRPr="005470AD">
        <w:t>avait avoué</w:t>
      </w:r>
      <w:r w:rsidR="00F31B27" w:rsidRPr="005470AD">
        <w:t xml:space="preserve"> le crime de son plein gré et a, en sus, entrepris les actions suivantes : </w:t>
      </w:r>
      <w:r w:rsidR="00E07961" w:rsidRPr="005470AD">
        <w:t xml:space="preserve">elle a procédé à </w:t>
      </w:r>
      <w:r w:rsidR="00F31B27" w:rsidRPr="005470AD">
        <w:t xml:space="preserve">un examen physique du Requérant </w:t>
      </w:r>
      <w:r w:rsidR="00E07961" w:rsidRPr="005470AD">
        <w:t xml:space="preserve">afin de </w:t>
      </w:r>
      <w:r w:rsidR="00F31B27" w:rsidRPr="005470AD">
        <w:t>détecter d</w:t>
      </w:r>
      <w:r w:rsidR="00A95CF8" w:rsidRPr="005470AD">
        <w:t>’</w:t>
      </w:r>
      <w:r w:rsidR="00F31B27" w:rsidRPr="005470AD">
        <w:t>éventuelles blessures ou contusions récentes</w:t>
      </w:r>
      <w:r w:rsidR="0019268E" w:rsidRPr="005470AD">
        <w:t>,</w:t>
      </w:r>
      <w:r w:rsidR="00F31B27" w:rsidRPr="005470AD">
        <w:t xml:space="preserve"> </w:t>
      </w:r>
      <w:r w:rsidR="00E07961" w:rsidRPr="005470AD">
        <w:t xml:space="preserve">adressé </w:t>
      </w:r>
      <w:r w:rsidR="00F31B27" w:rsidRPr="005470AD">
        <w:t xml:space="preserve">une mise en garde au Requérant selon laquelle sa déclaration pourrait être utilisée contre lui au tribunal et </w:t>
      </w:r>
      <w:r w:rsidR="006A3E90" w:rsidRPr="005470AD">
        <w:t>s</w:t>
      </w:r>
      <w:r w:rsidR="00A95CF8" w:rsidRPr="005470AD">
        <w:t>’</w:t>
      </w:r>
      <w:r w:rsidR="006A3E90" w:rsidRPr="005470AD">
        <w:t xml:space="preserve">est exprimée </w:t>
      </w:r>
      <w:r w:rsidR="00F31B27" w:rsidRPr="005470AD">
        <w:t>en kiswahili, langue comprise par le Requérant. La déclaration extrajudiciaire a, en conséquence, été enregistrée comme preuve lors du procès devant la Haute Cour.</w:t>
      </w:r>
    </w:p>
    <w:p w14:paraId="10FA99FD" w14:textId="77777777" w:rsidR="00C77D53" w:rsidRPr="005470AD" w:rsidRDefault="00C77D53" w:rsidP="002624E4"/>
    <w:p w14:paraId="3D5A63CA" w14:textId="2970FF3F" w:rsidR="00366DD6" w:rsidRPr="005470AD" w:rsidRDefault="00E606DA" w:rsidP="002624E4">
      <w:r w:rsidRPr="005470AD">
        <w:t>La Cour observe que l</w:t>
      </w:r>
      <w:r w:rsidR="009213F1" w:rsidRPr="005470AD">
        <w:t>a Haute Cour</w:t>
      </w:r>
      <w:r w:rsidRPr="005470AD">
        <w:t xml:space="preserve"> s</w:t>
      </w:r>
      <w:r w:rsidR="00A95CF8" w:rsidRPr="005470AD">
        <w:t>’</w:t>
      </w:r>
      <w:r w:rsidRPr="005470AD">
        <w:t>est également penché</w:t>
      </w:r>
      <w:r w:rsidR="005F699C" w:rsidRPr="005470AD">
        <w:t>e</w:t>
      </w:r>
      <w:r w:rsidRPr="005470AD">
        <w:t xml:space="preserve"> sur la question de savoir si le Requérant avait signé les aveux</w:t>
      </w:r>
      <w:r w:rsidR="005F699C" w:rsidRPr="005470AD">
        <w:t>.</w:t>
      </w:r>
      <w:r w:rsidR="0056405B" w:rsidRPr="005470AD">
        <w:t xml:space="preserve"> </w:t>
      </w:r>
      <w:r w:rsidR="005F699C" w:rsidRPr="005470AD">
        <w:t>Un</w:t>
      </w:r>
      <w:r w:rsidRPr="005470AD">
        <w:t>e fois de plus, l</w:t>
      </w:r>
      <w:r w:rsidR="00EA5BD3" w:rsidRPr="005470AD">
        <w:t>a Haute Cour</w:t>
      </w:r>
      <w:r w:rsidRPr="005470AD">
        <w:t xml:space="preserve"> a été convaincu</w:t>
      </w:r>
      <w:r w:rsidR="00EA5BD3" w:rsidRPr="005470AD">
        <w:t>e</w:t>
      </w:r>
      <w:r w:rsidRPr="005470AD">
        <w:t xml:space="preserve"> du témoignage de la juge de paix (PW1), selon lequel le Requérant a signé la déclaration en sa présence après qu</w:t>
      </w:r>
      <w:r w:rsidR="00A95CF8" w:rsidRPr="005470AD">
        <w:t>’</w:t>
      </w:r>
      <w:r w:rsidRPr="005470AD">
        <w:t xml:space="preserve">elle lui en a donné lecture. </w:t>
      </w:r>
      <w:r w:rsidR="00366DD6" w:rsidRPr="005470AD">
        <w:t>En outre, en abordant l</w:t>
      </w:r>
      <w:r w:rsidR="00A95CF8" w:rsidRPr="005470AD">
        <w:t>’</w:t>
      </w:r>
      <w:r w:rsidR="00366DD6" w:rsidRPr="005470AD">
        <w:t xml:space="preserve">anomalie </w:t>
      </w:r>
      <w:r w:rsidR="00C1333C" w:rsidRPr="005470AD">
        <w:t>tenant du</w:t>
      </w:r>
      <w:r w:rsidR="00366DD6" w:rsidRPr="005470AD">
        <w:t xml:space="preserve"> maintien du Requérant en garde à vue plutôt que de le conduire en prison, la Cour note qu</w:t>
      </w:r>
      <w:r w:rsidR="00A95CF8" w:rsidRPr="005470AD">
        <w:t>’</w:t>
      </w:r>
      <w:r w:rsidR="00366DD6" w:rsidRPr="005470AD">
        <w:t>à l</w:t>
      </w:r>
      <w:r w:rsidR="00A95CF8" w:rsidRPr="005470AD">
        <w:t>’</w:t>
      </w:r>
      <w:r w:rsidR="00366DD6" w:rsidRPr="005470AD">
        <w:t>issue de la procédure incidente, la Haute Cour a conclu que : « </w:t>
      </w:r>
      <w:r w:rsidR="00366DD6" w:rsidRPr="005470AD">
        <w:rPr>
          <w:i/>
          <w:iCs/>
        </w:rPr>
        <w:t>Les</w:t>
      </w:r>
      <w:r w:rsidR="00366DD6" w:rsidRPr="005470AD">
        <w:t xml:space="preserve"> </w:t>
      </w:r>
      <w:r w:rsidR="00366DD6" w:rsidRPr="005470AD">
        <w:rPr>
          <w:i/>
        </w:rPr>
        <w:t>autres anomalies, à savoir le fait de ne pas conduire l</w:t>
      </w:r>
      <w:r w:rsidR="00A95CF8" w:rsidRPr="005470AD">
        <w:rPr>
          <w:i/>
        </w:rPr>
        <w:t>’</w:t>
      </w:r>
      <w:r w:rsidR="00366DD6" w:rsidRPr="005470AD">
        <w:rPr>
          <w:i/>
        </w:rPr>
        <w:t>accusé en prison, n</w:t>
      </w:r>
      <w:r w:rsidR="00A95CF8" w:rsidRPr="005470AD">
        <w:rPr>
          <w:i/>
        </w:rPr>
        <w:t>’</w:t>
      </w:r>
      <w:r w:rsidR="00366DD6" w:rsidRPr="005470AD">
        <w:rPr>
          <w:i/>
        </w:rPr>
        <w:t>a aucun rapport avec la question du caractère volontaire. Ces faits sont trop éloigné</w:t>
      </w:r>
      <w:r w:rsidR="00366DD6" w:rsidRPr="005470AD">
        <w:t>s</w:t>
      </w:r>
      <w:r w:rsidR="00C23085" w:rsidRPr="005470AD">
        <w:t> </w:t>
      </w:r>
      <w:r w:rsidR="00366DD6" w:rsidRPr="005470AD">
        <w:t>»</w:t>
      </w:r>
      <w:r w:rsidR="00C23085" w:rsidRPr="005470AD">
        <w:t>.</w:t>
      </w:r>
      <w:r w:rsidR="00366DD6" w:rsidRPr="005470AD">
        <w:t xml:space="preserve"> </w:t>
      </w:r>
      <w:r w:rsidR="00EA13A7" w:rsidRPr="005470AD">
        <w:t xml:space="preserve">En conséquence, la déclaration auto-incriminante a été </w:t>
      </w:r>
      <w:r w:rsidR="006322E7" w:rsidRPr="005470AD">
        <w:t xml:space="preserve">produite </w:t>
      </w:r>
      <w:r w:rsidR="00EA13A7" w:rsidRPr="005470AD">
        <w:t xml:space="preserve">comme </w:t>
      </w:r>
      <w:r w:rsidR="009F3639" w:rsidRPr="005470AD">
        <w:t xml:space="preserve">élément de </w:t>
      </w:r>
      <w:r w:rsidR="00EA13A7" w:rsidRPr="005470AD">
        <w:t>preuve lors du procès devant la Haute Cour.</w:t>
      </w:r>
    </w:p>
    <w:p w14:paraId="1E3C9D45" w14:textId="3A67DBD2" w:rsidR="0032137A" w:rsidRPr="005470AD" w:rsidRDefault="0032137A" w:rsidP="002624E4"/>
    <w:p w14:paraId="0F07EE3D" w14:textId="1C8AF6FB" w:rsidR="00951E3B" w:rsidRPr="005470AD" w:rsidRDefault="00020555" w:rsidP="002624E4">
      <w:r w:rsidRPr="005470AD">
        <w:t>À la suite de l</w:t>
      </w:r>
      <w:r w:rsidR="00A95CF8" w:rsidRPr="005470AD">
        <w:t>’</w:t>
      </w:r>
      <w:r w:rsidRPr="005470AD">
        <w:t xml:space="preserve">admission de la déclaration auto-incriminante comme </w:t>
      </w:r>
      <w:r w:rsidR="009027DD" w:rsidRPr="005470AD">
        <w:t xml:space="preserve">élément de </w:t>
      </w:r>
      <w:r w:rsidRPr="005470AD">
        <w:t xml:space="preserve">preuve, la Haute Cour a </w:t>
      </w:r>
      <w:r w:rsidR="00D23603" w:rsidRPr="005470AD">
        <w:t>poursuivi la procédure initiale devant elle.</w:t>
      </w:r>
      <w:r w:rsidRPr="005470AD">
        <w:t xml:space="preserve"> L</w:t>
      </w:r>
      <w:r w:rsidR="00E606DA" w:rsidRPr="005470AD">
        <w:t>a Cour note que l</w:t>
      </w:r>
      <w:r w:rsidRPr="005470AD">
        <w:t xml:space="preserve">a Haute Cour </w:t>
      </w:r>
      <w:r w:rsidR="00E606DA" w:rsidRPr="005470AD">
        <w:t xml:space="preserve">a rejeté les dépositions orales de deux témoins à charge (PW2 et PW3) en raison des incohérences dans leurs témoignages. </w:t>
      </w:r>
      <w:r w:rsidRPr="005470AD">
        <w:t>Par conséquent, sur les trois</w:t>
      </w:r>
      <w:r w:rsidR="007C4F34" w:rsidRPr="005470AD">
        <w:t xml:space="preserve"> (3)</w:t>
      </w:r>
      <w:r w:rsidRPr="005470AD">
        <w:t xml:space="preserve"> témoins à </w:t>
      </w:r>
      <w:r w:rsidR="00440154" w:rsidRPr="005470AD">
        <w:t>charge, la</w:t>
      </w:r>
      <w:r w:rsidR="00951E3B" w:rsidRPr="005470AD">
        <w:t xml:space="preserve"> </w:t>
      </w:r>
      <w:r w:rsidR="00951E3B" w:rsidRPr="005470AD">
        <w:lastRenderedPageBreak/>
        <w:t xml:space="preserve">Haute Cour </w:t>
      </w:r>
      <w:r w:rsidR="00E606DA" w:rsidRPr="005470AD">
        <w:t>ne s</w:t>
      </w:r>
      <w:r w:rsidR="00A95CF8" w:rsidRPr="005470AD">
        <w:t>’</w:t>
      </w:r>
      <w:r w:rsidR="00E606DA" w:rsidRPr="005470AD">
        <w:t>est appuyé</w:t>
      </w:r>
      <w:r w:rsidR="00951E3B" w:rsidRPr="005470AD">
        <w:t>e</w:t>
      </w:r>
      <w:r w:rsidR="00E606DA" w:rsidRPr="005470AD">
        <w:t xml:space="preserve"> que sur un (1), (PW1), la juge de paix, qui a corroboré le caractère volontaire de la déclaration extrajudiciaire du Requérant. </w:t>
      </w:r>
    </w:p>
    <w:p w14:paraId="58969F47" w14:textId="77777777" w:rsidR="00951E3B" w:rsidRPr="005470AD" w:rsidRDefault="00951E3B" w:rsidP="002624E4"/>
    <w:p w14:paraId="6D2A6D05" w14:textId="2FED23F9" w:rsidR="00731DF8" w:rsidRPr="005470AD" w:rsidRDefault="00E606DA" w:rsidP="002624E4">
      <w:pPr>
        <w:rPr>
          <w:bCs/>
        </w:rPr>
      </w:pPr>
      <w:r w:rsidRPr="005470AD">
        <w:rPr>
          <w:bCs/>
        </w:rPr>
        <w:t>En outre, l</w:t>
      </w:r>
      <w:r w:rsidR="00323E5D" w:rsidRPr="005470AD">
        <w:rPr>
          <w:bCs/>
        </w:rPr>
        <w:t xml:space="preserve">a Haute Cour </w:t>
      </w:r>
      <w:r w:rsidRPr="005470AD">
        <w:rPr>
          <w:bCs/>
        </w:rPr>
        <w:t>s</w:t>
      </w:r>
      <w:r w:rsidR="00A95CF8" w:rsidRPr="005470AD">
        <w:rPr>
          <w:bCs/>
        </w:rPr>
        <w:t>’</w:t>
      </w:r>
      <w:r w:rsidRPr="005470AD">
        <w:rPr>
          <w:bCs/>
        </w:rPr>
        <w:t>est appuyé</w:t>
      </w:r>
      <w:r w:rsidR="00323E5D" w:rsidRPr="005470AD">
        <w:rPr>
          <w:bCs/>
        </w:rPr>
        <w:t>e</w:t>
      </w:r>
      <w:r w:rsidRPr="005470AD">
        <w:rPr>
          <w:bCs/>
        </w:rPr>
        <w:t xml:space="preserve"> sur des preuves documentaires, </w:t>
      </w:r>
      <w:r w:rsidR="00FD53DF" w:rsidRPr="005470AD">
        <w:rPr>
          <w:bCs/>
        </w:rPr>
        <w:t>notamment, le rapport post-mortem</w:t>
      </w:r>
      <w:r w:rsidR="00D675D0" w:rsidRPr="005470AD">
        <w:rPr>
          <w:bCs/>
        </w:rPr>
        <w:t xml:space="preserve"> </w:t>
      </w:r>
      <w:r w:rsidR="00FD53DF" w:rsidRPr="005470AD">
        <w:rPr>
          <w:bCs/>
        </w:rPr>
        <w:t>des deux (2</w:t>
      </w:r>
      <w:r w:rsidR="00287905" w:rsidRPr="005470AD">
        <w:rPr>
          <w:bCs/>
        </w:rPr>
        <w:t>) victimes de l</w:t>
      </w:r>
      <w:r w:rsidR="00A95CF8" w:rsidRPr="005470AD">
        <w:rPr>
          <w:bCs/>
        </w:rPr>
        <w:t>’</w:t>
      </w:r>
      <w:r w:rsidR="00287905" w:rsidRPr="005470AD">
        <w:rPr>
          <w:bCs/>
        </w:rPr>
        <w:t xml:space="preserve">événement et le </w:t>
      </w:r>
      <w:r w:rsidR="00FD53DF" w:rsidRPr="005470AD">
        <w:rPr>
          <w:bCs/>
        </w:rPr>
        <w:t>rapport d</w:t>
      </w:r>
      <w:r w:rsidR="00A95CF8" w:rsidRPr="005470AD">
        <w:rPr>
          <w:bCs/>
        </w:rPr>
        <w:t>’</w:t>
      </w:r>
      <w:r w:rsidR="00FD53DF" w:rsidRPr="005470AD">
        <w:rPr>
          <w:bCs/>
        </w:rPr>
        <w:t>examen médical du Requérant du 22 mars 1995, indiquant qu</w:t>
      </w:r>
      <w:r w:rsidR="00A95CF8" w:rsidRPr="005470AD">
        <w:rPr>
          <w:bCs/>
        </w:rPr>
        <w:t>’</w:t>
      </w:r>
      <w:r w:rsidR="00FD53DF" w:rsidRPr="005470AD">
        <w:rPr>
          <w:bCs/>
        </w:rPr>
        <w:t xml:space="preserve">il ne présentait </w:t>
      </w:r>
      <w:r w:rsidR="00DC22E3" w:rsidRPr="005470AD">
        <w:rPr>
          <w:bCs/>
        </w:rPr>
        <w:t xml:space="preserve">aucune </w:t>
      </w:r>
      <w:r w:rsidR="00FD53DF" w:rsidRPr="005470AD">
        <w:rPr>
          <w:bCs/>
        </w:rPr>
        <w:t>contusion.</w:t>
      </w:r>
      <w:r w:rsidR="00E04E93" w:rsidRPr="005470AD">
        <w:rPr>
          <w:bCs/>
        </w:rPr>
        <w:t xml:space="preserve"> Ces </w:t>
      </w:r>
      <w:r w:rsidR="005932BA" w:rsidRPr="005470AD">
        <w:rPr>
          <w:bCs/>
        </w:rPr>
        <w:t xml:space="preserve">éléments de </w:t>
      </w:r>
      <w:r w:rsidR="00E04E93" w:rsidRPr="005470AD">
        <w:rPr>
          <w:bCs/>
        </w:rPr>
        <w:t xml:space="preserve">preuves ont été </w:t>
      </w:r>
      <w:r w:rsidR="008333FB" w:rsidRPr="005470AD">
        <w:rPr>
          <w:bCs/>
        </w:rPr>
        <w:t>versés au dossier</w:t>
      </w:r>
      <w:r w:rsidR="00D675D0" w:rsidRPr="005470AD">
        <w:rPr>
          <w:bCs/>
        </w:rPr>
        <w:t xml:space="preserve"> </w:t>
      </w:r>
      <w:r w:rsidR="00E04E93" w:rsidRPr="005470AD">
        <w:rPr>
          <w:bCs/>
        </w:rPr>
        <w:t>sans objection de la part</w:t>
      </w:r>
      <w:r w:rsidR="008333FB" w:rsidRPr="005470AD">
        <w:rPr>
          <w:bCs/>
        </w:rPr>
        <w:t xml:space="preserve"> du ministère public ou du Requérant</w:t>
      </w:r>
      <w:r w:rsidR="00E04E93" w:rsidRPr="005470AD">
        <w:rPr>
          <w:bCs/>
        </w:rPr>
        <w:t>.</w:t>
      </w:r>
    </w:p>
    <w:p w14:paraId="37443C9B" w14:textId="77777777" w:rsidR="00731DF8" w:rsidRPr="005470AD" w:rsidRDefault="00731DF8" w:rsidP="002624E4"/>
    <w:p w14:paraId="6E12610F" w14:textId="1B4DFFB8" w:rsidR="00B16898" w:rsidRPr="005470AD" w:rsidRDefault="00B16898" w:rsidP="002624E4">
      <w:pPr>
        <w:rPr>
          <w:bCs/>
        </w:rPr>
      </w:pPr>
      <w:r w:rsidRPr="005470AD">
        <w:rPr>
          <w:bCs/>
        </w:rPr>
        <w:t>La Cour estime donc qu</w:t>
      </w:r>
      <w:r w:rsidR="00A95CF8" w:rsidRPr="005470AD">
        <w:rPr>
          <w:bCs/>
        </w:rPr>
        <w:t>’</w:t>
      </w:r>
      <w:r w:rsidRPr="005470AD">
        <w:rPr>
          <w:bCs/>
        </w:rPr>
        <w:t>il n</w:t>
      </w:r>
      <w:r w:rsidR="00DC22E3" w:rsidRPr="005470AD">
        <w:rPr>
          <w:bCs/>
        </w:rPr>
        <w:t xml:space="preserve">e résulte du </w:t>
      </w:r>
      <w:r w:rsidRPr="005470AD">
        <w:rPr>
          <w:bCs/>
        </w:rPr>
        <w:t xml:space="preserve">dossier </w:t>
      </w:r>
      <w:r w:rsidR="00837C02" w:rsidRPr="005470AD">
        <w:rPr>
          <w:bCs/>
        </w:rPr>
        <w:t xml:space="preserve">aucun élément </w:t>
      </w:r>
      <w:r w:rsidRPr="005470AD">
        <w:rPr>
          <w:bCs/>
        </w:rPr>
        <w:t>qui permet</w:t>
      </w:r>
      <w:r w:rsidR="00F51C33" w:rsidRPr="005470AD">
        <w:rPr>
          <w:bCs/>
        </w:rPr>
        <w:t>te de soutenir l</w:t>
      </w:r>
      <w:r w:rsidR="00A95CF8" w:rsidRPr="005470AD">
        <w:rPr>
          <w:bCs/>
        </w:rPr>
        <w:t>’</w:t>
      </w:r>
      <w:r w:rsidR="00F51C33" w:rsidRPr="005470AD">
        <w:rPr>
          <w:bCs/>
        </w:rPr>
        <w:t>allégation du R</w:t>
      </w:r>
      <w:r w:rsidRPr="005470AD">
        <w:rPr>
          <w:bCs/>
        </w:rPr>
        <w:t>equérant selon laquelle l</w:t>
      </w:r>
      <w:r w:rsidR="00A95CF8" w:rsidRPr="005470AD">
        <w:rPr>
          <w:bCs/>
        </w:rPr>
        <w:t>’</w:t>
      </w:r>
      <w:r w:rsidRPr="005470AD">
        <w:rPr>
          <w:bCs/>
        </w:rPr>
        <w:t xml:space="preserve">admission par la </w:t>
      </w:r>
      <w:r w:rsidR="00F51C33" w:rsidRPr="005470AD">
        <w:rPr>
          <w:bCs/>
        </w:rPr>
        <w:t>Haute Cour de</w:t>
      </w:r>
      <w:r w:rsidRPr="005470AD">
        <w:rPr>
          <w:bCs/>
        </w:rPr>
        <w:t xml:space="preserve"> sa déclaration auto-incriminante comme </w:t>
      </w:r>
      <w:r w:rsidR="009027DD" w:rsidRPr="005470AD">
        <w:rPr>
          <w:bCs/>
        </w:rPr>
        <w:t xml:space="preserve">élément de </w:t>
      </w:r>
      <w:r w:rsidRPr="005470AD">
        <w:rPr>
          <w:bCs/>
        </w:rPr>
        <w:t>preuve n</w:t>
      </w:r>
      <w:r w:rsidR="00A95CF8" w:rsidRPr="005470AD">
        <w:rPr>
          <w:bCs/>
        </w:rPr>
        <w:t>’</w:t>
      </w:r>
      <w:r w:rsidRPr="005470AD">
        <w:rPr>
          <w:bCs/>
        </w:rPr>
        <w:t>était pas conforme à son droit à ce que sa cause soit entendue.</w:t>
      </w:r>
    </w:p>
    <w:p w14:paraId="088549C0" w14:textId="77777777" w:rsidR="00F51C33" w:rsidRPr="005470AD" w:rsidRDefault="00F51C33" w:rsidP="002624E4"/>
    <w:p w14:paraId="61D8AC75" w14:textId="19A0ACC6" w:rsidR="00F51C33" w:rsidRPr="005470AD" w:rsidRDefault="00B7226C" w:rsidP="002624E4">
      <w:pPr>
        <w:rPr>
          <w:bCs/>
        </w:rPr>
      </w:pPr>
      <w:bookmarkStart w:id="25" w:name="_Toc136592706"/>
      <w:r w:rsidRPr="005470AD">
        <w:rPr>
          <w:bCs/>
        </w:rPr>
        <w:t xml:space="preserve">Sur </w:t>
      </w:r>
      <w:r w:rsidR="00837C02" w:rsidRPr="005470AD">
        <w:rPr>
          <w:bCs/>
        </w:rPr>
        <w:t>l</w:t>
      </w:r>
      <w:r w:rsidR="00A95CF8" w:rsidRPr="005470AD">
        <w:rPr>
          <w:bCs/>
        </w:rPr>
        <w:t>’</w:t>
      </w:r>
      <w:r w:rsidR="00837C02" w:rsidRPr="005470AD">
        <w:rPr>
          <w:bCs/>
        </w:rPr>
        <w:t>allégation d</w:t>
      </w:r>
      <w:r w:rsidR="00A95CF8" w:rsidRPr="005470AD">
        <w:rPr>
          <w:bCs/>
        </w:rPr>
        <w:t>’</w:t>
      </w:r>
      <w:r w:rsidRPr="005470AD">
        <w:rPr>
          <w:bCs/>
        </w:rPr>
        <w:t xml:space="preserve">erreur de droit et de fait </w:t>
      </w:r>
      <w:r w:rsidR="00837C02" w:rsidRPr="005470AD">
        <w:rPr>
          <w:bCs/>
        </w:rPr>
        <w:t xml:space="preserve">commise par </w:t>
      </w:r>
      <w:r w:rsidRPr="005470AD">
        <w:rPr>
          <w:bCs/>
        </w:rPr>
        <w:t>la Cour d</w:t>
      </w:r>
      <w:r w:rsidR="00A95CF8" w:rsidRPr="005470AD">
        <w:rPr>
          <w:bCs/>
        </w:rPr>
        <w:t>’</w:t>
      </w:r>
      <w:r w:rsidRPr="005470AD">
        <w:rPr>
          <w:bCs/>
        </w:rPr>
        <w:t>appel</w:t>
      </w:r>
      <w:bookmarkEnd w:id="25"/>
    </w:p>
    <w:p w14:paraId="39462649" w14:textId="5C48D356" w:rsidR="00891A80" w:rsidRPr="005470AD" w:rsidRDefault="00891A80" w:rsidP="002624E4"/>
    <w:p w14:paraId="7F3D92B8" w14:textId="1BE98D80" w:rsidR="005038D5" w:rsidRPr="005470AD" w:rsidRDefault="005B186D" w:rsidP="002624E4">
      <w:r w:rsidRPr="005470AD">
        <w:t xml:space="preserve">En ce qui concerne </w:t>
      </w:r>
      <w:r w:rsidR="00F8568B" w:rsidRPr="005470AD">
        <w:t>l</w:t>
      </w:r>
      <w:r w:rsidR="00837C02" w:rsidRPr="005470AD">
        <w:t>e</w:t>
      </w:r>
      <w:r w:rsidR="00F8568B" w:rsidRPr="005470AD">
        <w:t xml:space="preserve"> deuxième </w:t>
      </w:r>
      <w:r w:rsidR="00837C02" w:rsidRPr="005470AD">
        <w:t>grief soulevé par le</w:t>
      </w:r>
      <w:r w:rsidRPr="005470AD">
        <w:t xml:space="preserve"> Requérant, la Cour observe qu</w:t>
      </w:r>
      <w:r w:rsidR="00A95CF8" w:rsidRPr="005470AD">
        <w:t>’</w:t>
      </w:r>
      <w:r w:rsidRPr="005470AD">
        <w:t xml:space="preserve">il a </w:t>
      </w:r>
      <w:r w:rsidR="00C6051F" w:rsidRPr="005470AD">
        <w:t>présenté</w:t>
      </w:r>
      <w:r w:rsidRPr="005470AD">
        <w:t xml:space="preserve"> un mo</w:t>
      </w:r>
      <w:r w:rsidR="00F8568B" w:rsidRPr="005470AD">
        <w:t>yen</w:t>
      </w:r>
      <w:r w:rsidRPr="005470AD">
        <w:t xml:space="preserve"> d</w:t>
      </w:r>
      <w:r w:rsidR="00A95CF8" w:rsidRPr="005470AD">
        <w:t>’</w:t>
      </w:r>
      <w:r w:rsidRPr="005470AD">
        <w:t xml:space="preserve">appel, </w:t>
      </w:r>
      <w:r w:rsidR="00F8568B" w:rsidRPr="005470AD">
        <w:t>portant sur</w:t>
      </w:r>
      <w:r w:rsidR="00C6051F" w:rsidRPr="005470AD">
        <w:t xml:space="preserve"> le</w:t>
      </w:r>
      <w:r w:rsidR="00F8568B" w:rsidRPr="005470AD">
        <w:t xml:space="preserve"> </w:t>
      </w:r>
      <w:r w:rsidR="005E63B5" w:rsidRPr="005470AD">
        <w:t xml:space="preserve">manquement de la Haute Cour de relever </w:t>
      </w:r>
      <w:r w:rsidR="00F8568B" w:rsidRPr="005470AD">
        <w:t>que</w:t>
      </w:r>
      <w:r w:rsidR="003E244B" w:rsidRPr="005470AD">
        <w:t xml:space="preserve"> la condamnation était fondée sur des aveux qui ont été rétractés, sans vérifier s</w:t>
      </w:r>
      <w:r w:rsidR="00A95CF8" w:rsidRPr="005470AD">
        <w:t>’</w:t>
      </w:r>
      <w:r w:rsidR="003E244B" w:rsidRPr="005470AD">
        <w:t>ils avaient été obtenus de plein gré ou non.</w:t>
      </w:r>
      <w:r w:rsidR="000256AE" w:rsidRPr="005470AD">
        <w:t xml:space="preserve"> </w:t>
      </w:r>
    </w:p>
    <w:p w14:paraId="14F53684" w14:textId="77777777" w:rsidR="007650DE" w:rsidRPr="005470AD" w:rsidRDefault="007650DE" w:rsidP="002624E4"/>
    <w:p w14:paraId="211F880D" w14:textId="0E3E4A00" w:rsidR="00384D42" w:rsidRPr="005470AD" w:rsidRDefault="00384D42" w:rsidP="002624E4">
      <w:r w:rsidRPr="005470AD">
        <w:t>La Cour note que la Cour d</w:t>
      </w:r>
      <w:r w:rsidR="00A95CF8" w:rsidRPr="005470AD">
        <w:t>’</w:t>
      </w:r>
      <w:r w:rsidRPr="005470AD">
        <w:t xml:space="preserve">appel a affirmé que la déclaration admise comme </w:t>
      </w:r>
      <w:r w:rsidR="00BD3851" w:rsidRPr="005470AD">
        <w:t xml:space="preserve">élément de </w:t>
      </w:r>
      <w:r w:rsidRPr="005470AD">
        <w:t xml:space="preserve">preuve par la Haute Cour était un aveu licite. </w:t>
      </w:r>
      <w:r w:rsidR="00DF16F3" w:rsidRPr="005470AD">
        <w:t xml:space="preserve">En effet, elle </w:t>
      </w:r>
      <w:r w:rsidR="00F07875" w:rsidRPr="005470AD">
        <w:t>révélait</w:t>
      </w:r>
      <w:r w:rsidR="00DF16F3" w:rsidRPr="005470AD">
        <w:t xml:space="preserve"> des aspects matériels </w:t>
      </w:r>
      <w:r w:rsidR="00F07875" w:rsidRPr="005470AD">
        <w:t>du meurtre tels que les armes utilisées pour les meurtres, ce qui a été confirmé par les rapports d</w:t>
      </w:r>
      <w:r w:rsidR="00A95CF8" w:rsidRPr="005470AD">
        <w:t>’</w:t>
      </w:r>
      <w:r w:rsidR="00F07875" w:rsidRPr="005470AD">
        <w:t>autopsie des victimes</w:t>
      </w:r>
      <w:r w:rsidR="002D611A" w:rsidRPr="005470AD">
        <w:t>,</w:t>
      </w:r>
      <w:r w:rsidR="00F07875" w:rsidRPr="005470AD">
        <w:t xml:space="preserve"> </w:t>
      </w:r>
      <w:r w:rsidR="00BC74A2" w:rsidRPr="005470AD">
        <w:t>produits devant la Haute C</w:t>
      </w:r>
      <w:r w:rsidR="005E432C" w:rsidRPr="005470AD">
        <w:t>our.</w:t>
      </w:r>
      <w:r w:rsidR="002D611A" w:rsidRPr="005470AD">
        <w:t xml:space="preserve"> La Cour a</w:t>
      </w:r>
      <w:r w:rsidR="005E432C" w:rsidRPr="005470AD">
        <w:t xml:space="preserve"> également </w:t>
      </w:r>
      <w:r w:rsidR="00A611C8" w:rsidRPr="005470AD">
        <w:t>relevé</w:t>
      </w:r>
      <w:r w:rsidR="002D611A" w:rsidRPr="005470AD">
        <w:t xml:space="preserve"> l</w:t>
      </w:r>
      <w:r w:rsidR="00A95CF8" w:rsidRPr="005470AD">
        <w:t>’</w:t>
      </w:r>
      <w:r w:rsidR="002D611A" w:rsidRPr="005470AD">
        <w:t xml:space="preserve">existence de </w:t>
      </w:r>
      <w:r w:rsidR="005E432C" w:rsidRPr="005470AD">
        <w:t xml:space="preserve">faits </w:t>
      </w:r>
      <w:r w:rsidR="00F26F0A" w:rsidRPr="005470AD">
        <w:t xml:space="preserve">non contestés </w:t>
      </w:r>
      <w:r w:rsidR="00F62F2E" w:rsidRPr="005470AD">
        <w:t>indiquant que</w:t>
      </w:r>
      <w:r w:rsidR="00F26F0A" w:rsidRPr="005470AD">
        <w:t xml:space="preserve"> le R</w:t>
      </w:r>
      <w:r w:rsidR="00F62F2E" w:rsidRPr="005470AD">
        <w:t>equérant était sans ignorer</w:t>
      </w:r>
      <w:r w:rsidR="005E432C" w:rsidRPr="005470AD">
        <w:t xml:space="preserve"> que son arrestation était</w:t>
      </w:r>
      <w:r w:rsidR="00F26F0A" w:rsidRPr="005470AD">
        <w:t xml:space="preserve"> en rapport avec le </w:t>
      </w:r>
      <w:r w:rsidR="005E432C" w:rsidRPr="005470AD">
        <w:t>meurtre des deux (2) vic</w:t>
      </w:r>
      <w:r w:rsidR="00666C3D" w:rsidRPr="005470AD">
        <w:t xml:space="preserve">times, et </w:t>
      </w:r>
      <w:r w:rsidR="00F62F2E" w:rsidRPr="005470AD">
        <w:t>q</w:t>
      </w:r>
      <w:r w:rsidR="00666C3D" w:rsidRPr="005470AD">
        <w:t>ue le</w:t>
      </w:r>
      <w:r w:rsidR="000C759D" w:rsidRPr="005470AD">
        <w:t xml:space="preserve"> fait de s</w:t>
      </w:r>
      <w:r w:rsidR="00A95CF8" w:rsidRPr="005470AD">
        <w:t>’</w:t>
      </w:r>
      <w:r w:rsidR="000C759D" w:rsidRPr="005470AD">
        <w:t>être enfui</w:t>
      </w:r>
      <w:r w:rsidR="00666C3D" w:rsidRPr="005470AD">
        <w:t xml:space="preserve"> </w:t>
      </w:r>
      <w:r w:rsidR="000C759D" w:rsidRPr="005470AD">
        <w:t>du lieu du crime avec</w:t>
      </w:r>
      <w:r w:rsidR="00666C3D" w:rsidRPr="005470AD">
        <w:t xml:space="preserve"> ses </w:t>
      </w:r>
      <w:r w:rsidR="00EF0090" w:rsidRPr="005470AD">
        <w:t>coaccusés</w:t>
      </w:r>
      <w:r w:rsidR="0098543A" w:rsidRPr="005470AD">
        <w:t xml:space="preserve">, </w:t>
      </w:r>
      <w:r w:rsidR="00666C3D" w:rsidRPr="005470AD">
        <w:t>indique une intention de donner la mort</w:t>
      </w:r>
      <w:r w:rsidR="005E432C" w:rsidRPr="005470AD">
        <w:t>.</w:t>
      </w:r>
    </w:p>
    <w:p w14:paraId="2D9E89DC" w14:textId="77777777" w:rsidR="00EA1502" w:rsidRPr="005470AD" w:rsidRDefault="00EA1502" w:rsidP="002624E4"/>
    <w:p w14:paraId="15B72C14" w14:textId="0A736E84" w:rsidR="000256AE" w:rsidRPr="005470AD" w:rsidRDefault="00886CA5" w:rsidP="002624E4">
      <w:r w:rsidRPr="005470AD">
        <w:t>L</w:t>
      </w:r>
      <w:r w:rsidR="009416AA" w:rsidRPr="005470AD">
        <w:t>a Cour d</w:t>
      </w:r>
      <w:r w:rsidR="00A95CF8" w:rsidRPr="005470AD">
        <w:t>’</w:t>
      </w:r>
      <w:r w:rsidR="009416AA" w:rsidRPr="005470AD">
        <w:t>appel a également cherché à savoir si les aveux</w:t>
      </w:r>
      <w:r w:rsidRPr="005470AD">
        <w:t xml:space="preserve"> du </w:t>
      </w:r>
      <w:r w:rsidR="00106BB6" w:rsidRPr="005470AD">
        <w:t>Requérant avaient</w:t>
      </w:r>
      <w:r w:rsidR="009416AA" w:rsidRPr="005470AD">
        <w:t xml:space="preserve"> été faits de plein gré. En ce qui concerne</w:t>
      </w:r>
      <w:r w:rsidR="00A853AC" w:rsidRPr="005470AD">
        <w:t>,</w:t>
      </w:r>
      <w:r w:rsidR="009416AA" w:rsidRPr="005470AD">
        <w:t xml:space="preserve"> particulièrement</w:t>
      </w:r>
      <w:r w:rsidR="00A853AC" w:rsidRPr="005470AD">
        <w:t>,</w:t>
      </w:r>
      <w:r w:rsidR="009416AA" w:rsidRPr="005470AD">
        <w:t xml:space="preserve"> l</w:t>
      </w:r>
      <w:r w:rsidR="00A95CF8" w:rsidRPr="005470AD">
        <w:t>’</w:t>
      </w:r>
      <w:r w:rsidR="009416AA" w:rsidRPr="005470AD">
        <w:t>allégation de torture, la Cour d</w:t>
      </w:r>
      <w:r w:rsidR="00A95CF8" w:rsidRPr="005470AD">
        <w:t>’</w:t>
      </w:r>
      <w:r w:rsidR="009416AA" w:rsidRPr="005470AD">
        <w:t>appel a estimé que, le Requérant n</w:t>
      </w:r>
      <w:r w:rsidR="00A95CF8" w:rsidRPr="005470AD">
        <w:t>’</w:t>
      </w:r>
      <w:r w:rsidR="009416AA" w:rsidRPr="005470AD">
        <w:t>avait, certes, pas informé le juge de paix qu</w:t>
      </w:r>
      <w:r w:rsidR="00A95CF8" w:rsidRPr="005470AD">
        <w:t>’</w:t>
      </w:r>
      <w:r w:rsidR="009416AA" w:rsidRPr="005470AD">
        <w:t>il avait été torturé pendant sa garde à vue, mais la juge de paix n</w:t>
      </w:r>
      <w:r w:rsidR="00A95CF8" w:rsidRPr="005470AD">
        <w:t>’</w:t>
      </w:r>
      <w:r w:rsidR="009416AA" w:rsidRPr="005470AD">
        <w:t>a pas constaté d</w:t>
      </w:r>
      <w:r w:rsidR="00A95CF8" w:rsidRPr="005470AD">
        <w:t>’</w:t>
      </w:r>
      <w:r w:rsidR="009416AA" w:rsidRPr="005470AD">
        <w:t>ecchymoses sur son corps pendant l</w:t>
      </w:r>
      <w:r w:rsidR="00A95CF8" w:rsidRPr="005470AD">
        <w:t>’</w:t>
      </w:r>
      <w:r w:rsidR="009416AA" w:rsidRPr="005470AD">
        <w:t>examen physique. La Cour d</w:t>
      </w:r>
      <w:r w:rsidR="00A95CF8" w:rsidRPr="005470AD">
        <w:t>’</w:t>
      </w:r>
      <w:r w:rsidR="009416AA" w:rsidRPr="005470AD">
        <w:t>appel en a conclu que la déclaration n</w:t>
      </w:r>
      <w:r w:rsidR="00A95CF8" w:rsidRPr="005470AD">
        <w:t>’</w:t>
      </w:r>
      <w:r w:rsidR="009416AA" w:rsidRPr="005470AD">
        <w:t>avait pas été obtenue sous la torture et qu</w:t>
      </w:r>
      <w:r w:rsidR="00A95CF8" w:rsidRPr="005470AD">
        <w:t>’</w:t>
      </w:r>
      <w:r w:rsidR="009416AA" w:rsidRPr="005470AD">
        <w:t>elle était véridique, comme l</w:t>
      </w:r>
      <w:r w:rsidR="00A95CF8" w:rsidRPr="005470AD">
        <w:t>’</w:t>
      </w:r>
      <w:r w:rsidR="009416AA" w:rsidRPr="005470AD">
        <w:t>a corroboré le témoignage de la juge de paix devant l</w:t>
      </w:r>
      <w:r w:rsidR="009E437A" w:rsidRPr="005470AD">
        <w:t>a Haute Cour</w:t>
      </w:r>
      <w:r w:rsidR="009416AA" w:rsidRPr="005470AD">
        <w:t>.</w:t>
      </w:r>
    </w:p>
    <w:p w14:paraId="24D9F01E" w14:textId="5B50F6C1" w:rsidR="00C77D53" w:rsidRPr="005470AD" w:rsidRDefault="00C77D53" w:rsidP="002624E4"/>
    <w:p w14:paraId="3A028E85" w14:textId="4B119757" w:rsidR="005A644C" w:rsidRPr="005470AD" w:rsidRDefault="00940589" w:rsidP="002624E4">
      <w:r w:rsidRPr="005470AD">
        <w:t>La Cour relève</w:t>
      </w:r>
      <w:r w:rsidR="00A853AC" w:rsidRPr="005470AD">
        <w:t>,</w:t>
      </w:r>
      <w:r w:rsidRPr="005470AD">
        <w:t xml:space="preserve"> en outre</w:t>
      </w:r>
      <w:r w:rsidR="00A853AC" w:rsidRPr="005470AD">
        <w:t>,</w:t>
      </w:r>
      <w:r w:rsidRPr="005470AD">
        <w:t xml:space="preserve"> que la Cour d</w:t>
      </w:r>
      <w:r w:rsidR="00A95CF8" w:rsidRPr="005470AD">
        <w:t>’</w:t>
      </w:r>
      <w:r w:rsidRPr="005470AD">
        <w:t xml:space="preserve">appel a fait référence à </w:t>
      </w:r>
      <w:r w:rsidR="002A5621" w:rsidRPr="005470AD">
        <w:t>sa</w:t>
      </w:r>
      <w:r w:rsidRPr="005470AD">
        <w:t xml:space="preserve"> jurisprudence, selon laquelle la prise en compte d</w:t>
      </w:r>
      <w:r w:rsidR="00A95CF8" w:rsidRPr="005470AD">
        <w:t>’</w:t>
      </w:r>
      <w:r w:rsidRPr="005470AD">
        <w:t>un aveu</w:t>
      </w:r>
      <w:r w:rsidR="00A853AC" w:rsidRPr="005470AD">
        <w:t>,</w:t>
      </w:r>
      <w:r w:rsidRPr="005470AD">
        <w:t xml:space="preserve"> </w:t>
      </w:r>
      <w:r w:rsidR="0058499E" w:rsidRPr="005470AD">
        <w:t xml:space="preserve">non </w:t>
      </w:r>
      <w:r w:rsidRPr="005470AD">
        <w:t>corrobor</w:t>
      </w:r>
      <w:r w:rsidR="0058499E" w:rsidRPr="005470AD">
        <w:t>é</w:t>
      </w:r>
      <w:r w:rsidR="00A853AC" w:rsidRPr="005470AD">
        <w:t>,</w:t>
      </w:r>
      <w:r w:rsidRPr="005470AD">
        <w:t xml:space="preserve"> est assujettie à des conditions strictes</w:t>
      </w:r>
      <w:r w:rsidR="0092598B" w:rsidRPr="005470AD">
        <w:t>, à savoir que</w:t>
      </w:r>
      <w:r w:rsidR="00990826" w:rsidRPr="005470AD">
        <w:t xml:space="preserve"> l</w:t>
      </w:r>
      <w:r w:rsidRPr="005470AD">
        <w:t>a déclaration a été faite de plein gré, qu</w:t>
      </w:r>
      <w:r w:rsidR="00A95CF8" w:rsidRPr="005470AD">
        <w:t>’</w:t>
      </w:r>
      <w:r w:rsidRPr="005470AD">
        <w:t xml:space="preserve">elle </w:t>
      </w:r>
      <w:r w:rsidR="002900FF" w:rsidRPr="005470AD">
        <w:t>est</w:t>
      </w:r>
      <w:r w:rsidRPr="005470AD">
        <w:t xml:space="preserve"> véridique et qu</w:t>
      </w:r>
      <w:r w:rsidR="00A95CF8" w:rsidRPr="005470AD">
        <w:t>’</w:t>
      </w:r>
      <w:r w:rsidR="00990826" w:rsidRPr="005470AD">
        <w:t>il</w:t>
      </w:r>
      <w:r w:rsidRPr="005470AD">
        <w:t xml:space="preserve"> n</w:t>
      </w:r>
      <w:r w:rsidR="00A95CF8" w:rsidRPr="005470AD">
        <w:t>’</w:t>
      </w:r>
      <w:r w:rsidR="001433CA" w:rsidRPr="005470AD">
        <w:t>existe</w:t>
      </w:r>
      <w:r w:rsidRPr="005470AD">
        <w:t xml:space="preserve"> pas </w:t>
      </w:r>
      <w:r w:rsidR="001433CA" w:rsidRPr="005470AD">
        <w:t>d</w:t>
      </w:r>
      <w:r w:rsidR="00A95CF8" w:rsidRPr="005470AD">
        <w:t>’</w:t>
      </w:r>
      <w:r w:rsidR="001433CA" w:rsidRPr="005470AD">
        <w:t xml:space="preserve">élément </w:t>
      </w:r>
      <w:r w:rsidRPr="005470AD">
        <w:t>de corroboration.</w:t>
      </w:r>
      <w:r w:rsidR="005A644C" w:rsidRPr="005470AD">
        <w:rPr>
          <w:rStyle w:val="FootnoteReference"/>
          <w:rFonts w:ascii="Arial" w:hAnsi="Arial" w:cs="Arial"/>
        </w:rPr>
        <w:footnoteReference w:id="28"/>
      </w:r>
      <w:r w:rsidRPr="005470AD">
        <w:t xml:space="preserve"> </w:t>
      </w:r>
      <w:r w:rsidR="00856579" w:rsidRPr="005470AD">
        <w:t>La Cour d</w:t>
      </w:r>
      <w:r w:rsidR="00A95CF8" w:rsidRPr="005470AD">
        <w:t>’</w:t>
      </w:r>
      <w:r w:rsidR="00856579" w:rsidRPr="005470AD">
        <w:t>appel a appliqué ces critères aux fa</w:t>
      </w:r>
      <w:r w:rsidR="00CA449D" w:rsidRPr="005470AD">
        <w:t xml:space="preserve">its de </w:t>
      </w:r>
      <w:r w:rsidR="001433CA" w:rsidRPr="005470AD">
        <w:t>la cause</w:t>
      </w:r>
      <w:r w:rsidR="00CA449D" w:rsidRPr="005470AD">
        <w:t xml:space="preserve"> </w:t>
      </w:r>
      <w:r w:rsidR="001433CA" w:rsidRPr="005470AD">
        <w:t>reproché</w:t>
      </w:r>
      <w:r w:rsidR="00A611C8" w:rsidRPr="005470AD">
        <w:t xml:space="preserve">s </w:t>
      </w:r>
      <w:r w:rsidR="001433CA" w:rsidRPr="005470AD">
        <w:t>au</w:t>
      </w:r>
      <w:r w:rsidR="00CA449D" w:rsidRPr="005470AD">
        <w:t xml:space="preserve"> R</w:t>
      </w:r>
      <w:r w:rsidR="00856579" w:rsidRPr="005470AD">
        <w:t>eq</w:t>
      </w:r>
      <w:r w:rsidR="00436FC8" w:rsidRPr="005470AD">
        <w:t>uérant et s</w:t>
      </w:r>
      <w:r w:rsidR="00A95CF8" w:rsidRPr="005470AD">
        <w:t>’</w:t>
      </w:r>
      <w:r w:rsidR="00436FC8" w:rsidRPr="005470AD">
        <w:t>est assurée que le R</w:t>
      </w:r>
      <w:r w:rsidR="00856579" w:rsidRPr="005470AD">
        <w:t xml:space="preserve">equérant avait été condamné </w:t>
      </w:r>
      <w:r w:rsidR="001433CA" w:rsidRPr="005470AD">
        <w:t>à juste titre sur la base d</w:t>
      </w:r>
      <w:r w:rsidR="00856579" w:rsidRPr="005470AD">
        <w:t xml:space="preserve">es aveux </w:t>
      </w:r>
      <w:r w:rsidR="001433CA" w:rsidRPr="005470AD">
        <w:t>qu</w:t>
      </w:r>
      <w:r w:rsidR="00A95CF8" w:rsidRPr="005470AD">
        <w:t>’</w:t>
      </w:r>
      <w:r w:rsidR="001433CA" w:rsidRPr="005470AD">
        <w:t xml:space="preserve">il a faits </w:t>
      </w:r>
      <w:r w:rsidR="00CA449D" w:rsidRPr="005470AD">
        <w:t>de plein gré</w:t>
      </w:r>
      <w:r w:rsidR="00856579" w:rsidRPr="005470AD">
        <w:t>.</w:t>
      </w:r>
    </w:p>
    <w:p w14:paraId="57E58360" w14:textId="77777777" w:rsidR="00856579" w:rsidRPr="005470AD" w:rsidRDefault="00856579" w:rsidP="002624E4"/>
    <w:p w14:paraId="76077D1B" w14:textId="2E03C363" w:rsidR="008D3020" w:rsidRPr="005470AD" w:rsidRDefault="0083048A" w:rsidP="002624E4">
      <w:r w:rsidRPr="005470AD">
        <w:t>La Cour</w:t>
      </w:r>
      <w:r w:rsidR="003C596C" w:rsidRPr="005470AD">
        <w:t xml:space="preserve"> </w:t>
      </w:r>
      <w:r w:rsidRPr="005470AD">
        <w:t xml:space="preserve">estime donc </w:t>
      </w:r>
      <w:r w:rsidR="003C596C" w:rsidRPr="005470AD">
        <w:t>qu</w:t>
      </w:r>
      <w:r w:rsidR="00A95CF8" w:rsidRPr="005470AD">
        <w:t>’</w:t>
      </w:r>
      <w:r w:rsidR="00A2495D" w:rsidRPr="005470AD">
        <w:t xml:space="preserve">il ne résulte du </w:t>
      </w:r>
      <w:r w:rsidR="003C596C" w:rsidRPr="005470AD">
        <w:t xml:space="preserve">dossier </w:t>
      </w:r>
      <w:r w:rsidR="00A2495D" w:rsidRPr="005470AD">
        <w:t>aucun élément indiquant</w:t>
      </w:r>
      <w:r w:rsidR="00D675D0" w:rsidRPr="005470AD">
        <w:t xml:space="preserve"> </w:t>
      </w:r>
      <w:r w:rsidR="003C596C" w:rsidRPr="005470AD">
        <w:t>que la Cour d</w:t>
      </w:r>
      <w:r w:rsidR="00A95CF8" w:rsidRPr="005470AD">
        <w:t>’</w:t>
      </w:r>
      <w:r w:rsidR="003C596C" w:rsidRPr="005470AD">
        <w:t>appel de l</w:t>
      </w:r>
      <w:r w:rsidR="00A95CF8" w:rsidRPr="005470AD">
        <w:t>’</w:t>
      </w:r>
      <w:r w:rsidR="003C596C" w:rsidRPr="005470AD">
        <w:t xml:space="preserve">État défendeur a refusé au Requérant la possibilité de contester sa </w:t>
      </w:r>
      <w:r w:rsidR="005B532F" w:rsidRPr="005470AD">
        <w:t>condamnation et sa peine</w:t>
      </w:r>
      <w:r w:rsidR="003C596C" w:rsidRPr="005470AD">
        <w:t>.</w:t>
      </w:r>
    </w:p>
    <w:p w14:paraId="07495D59" w14:textId="77777777" w:rsidR="008D3020" w:rsidRPr="005470AD" w:rsidRDefault="008D3020" w:rsidP="002624E4"/>
    <w:p w14:paraId="5832FDBD" w14:textId="700394F5" w:rsidR="001B5744" w:rsidRPr="005470AD" w:rsidRDefault="00A611C8" w:rsidP="002624E4">
      <w:r w:rsidRPr="005470AD">
        <w:t xml:space="preserve">La </w:t>
      </w:r>
      <w:r w:rsidR="00A2495D" w:rsidRPr="005470AD">
        <w:t>Cour estime,</w:t>
      </w:r>
      <w:r w:rsidR="008D3020" w:rsidRPr="005470AD">
        <w:t xml:space="preserve"> en ce qui concerne les procédures devant la </w:t>
      </w:r>
      <w:r w:rsidR="001B5744" w:rsidRPr="005470AD">
        <w:t>Haute Cour et la Cour d</w:t>
      </w:r>
      <w:r w:rsidR="00A95CF8" w:rsidRPr="005470AD">
        <w:t>’</w:t>
      </w:r>
      <w:r w:rsidR="001B5744" w:rsidRPr="005470AD">
        <w:t>appel</w:t>
      </w:r>
      <w:r w:rsidR="00A2495D" w:rsidRPr="005470AD">
        <w:t xml:space="preserve">, </w:t>
      </w:r>
      <w:r w:rsidR="001B5744" w:rsidRPr="005470AD">
        <w:t>que le traitement par les juridictions nationales de la déclaration extrajudiciaire et de l</w:t>
      </w:r>
      <w:r w:rsidR="00A95CF8" w:rsidRPr="005470AD">
        <w:t>’</w:t>
      </w:r>
      <w:r w:rsidR="001B5744" w:rsidRPr="005470AD">
        <w:t>allégation de torture ne révèle aucune violation des normes énoncées dans la Charte.</w:t>
      </w:r>
    </w:p>
    <w:p w14:paraId="0455C33F" w14:textId="77777777" w:rsidR="00FB7503" w:rsidRPr="005470AD" w:rsidRDefault="00FB7503" w:rsidP="002624E4"/>
    <w:p w14:paraId="5E611A3D" w14:textId="4C9A7427" w:rsidR="00A54839" w:rsidRPr="005470AD" w:rsidRDefault="0083048A" w:rsidP="002624E4">
      <w:r w:rsidRPr="005470AD">
        <w:t>La Cour en conclut que l</w:t>
      </w:r>
      <w:r w:rsidR="00A95CF8" w:rsidRPr="005470AD">
        <w:t>’</w:t>
      </w:r>
      <w:r w:rsidRPr="005470AD">
        <w:t>État défendeur n</w:t>
      </w:r>
      <w:r w:rsidR="00A95CF8" w:rsidRPr="005470AD">
        <w:t>’</w:t>
      </w:r>
      <w:r w:rsidRPr="005470AD">
        <w:t xml:space="preserve">a pas violé </w:t>
      </w:r>
      <w:r w:rsidR="005C5F47" w:rsidRPr="005470AD">
        <w:t xml:space="preserve">les droits du Requérant prévus à </w:t>
      </w:r>
      <w:r w:rsidRPr="005470AD">
        <w:t>l</w:t>
      </w:r>
      <w:r w:rsidR="00A95CF8" w:rsidRPr="005470AD">
        <w:t>’</w:t>
      </w:r>
      <w:r w:rsidRPr="005470AD">
        <w:t xml:space="preserve">article 7(1) de la Charte. </w:t>
      </w:r>
    </w:p>
    <w:p w14:paraId="28FEE8FD" w14:textId="77777777" w:rsidR="00EB509D" w:rsidRPr="005470AD" w:rsidRDefault="00EB509D" w:rsidP="002624E4"/>
    <w:p w14:paraId="1FDDD48F" w14:textId="6C6549C7" w:rsidR="0047076F" w:rsidRPr="005470AD" w:rsidRDefault="0047076F" w:rsidP="002624E4">
      <w:bookmarkStart w:id="26" w:name="_Toc136592707"/>
      <w:r w:rsidRPr="005470AD">
        <w:t xml:space="preserve">Violation alléguée </w:t>
      </w:r>
      <w:r w:rsidR="00CD2069" w:rsidRPr="005470AD">
        <w:t>du droit d’être jugé dans un délai raisonnable</w:t>
      </w:r>
      <w:bookmarkEnd w:id="26"/>
      <w:r w:rsidR="00CD2069" w:rsidRPr="005470AD">
        <w:t xml:space="preserve"> </w:t>
      </w:r>
    </w:p>
    <w:p w14:paraId="137B2175" w14:textId="77777777" w:rsidR="00EB509D" w:rsidRPr="005470AD" w:rsidRDefault="00EB509D" w:rsidP="002624E4"/>
    <w:p w14:paraId="144B934D" w14:textId="08AC8E59" w:rsidR="00CD27A4" w:rsidRPr="005470AD" w:rsidRDefault="005218A9" w:rsidP="002624E4">
      <w:r w:rsidRPr="005470AD">
        <w:t>Le Requérant allègue qu</w:t>
      </w:r>
      <w:r w:rsidR="00A95CF8" w:rsidRPr="005470AD">
        <w:t>’</w:t>
      </w:r>
      <w:r w:rsidRPr="005470AD">
        <w:t>en n</w:t>
      </w:r>
      <w:r w:rsidR="00A95CF8" w:rsidRPr="005470AD">
        <w:t>’</w:t>
      </w:r>
      <w:r w:rsidRPr="005470AD">
        <w:t>inscrivant pas au rôle le recours en révision du jugement de la Cour d</w:t>
      </w:r>
      <w:r w:rsidR="00A95CF8" w:rsidRPr="005470AD">
        <w:t>’</w:t>
      </w:r>
      <w:r w:rsidRPr="005470AD">
        <w:t>appel et en ne statuant pas sur celui-ci, la Cour d</w:t>
      </w:r>
      <w:r w:rsidR="00A95CF8" w:rsidRPr="005470AD">
        <w:t>’</w:t>
      </w:r>
      <w:r w:rsidRPr="005470AD">
        <w:t>appel siégeant à Bukoba a violé son droit d</w:t>
      </w:r>
      <w:r w:rsidR="00A95CF8" w:rsidRPr="005470AD">
        <w:t>’</w:t>
      </w:r>
      <w:r w:rsidRPr="005470AD">
        <w:t>interjeter appel, protégé par l</w:t>
      </w:r>
      <w:r w:rsidR="00A95CF8" w:rsidRPr="005470AD">
        <w:t>’</w:t>
      </w:r>
      <w:r w:rsidRPr="005470AD">
        <w:t>article 7(1)(a) de la Charte</w:t>
      </w:r>
      <w:r w:rsidR="00476A27" w:rsidRPr="005470AD">
        <w:t>, correspondant « aux articles 136(a) et 107(a) 2(b) de la Constitution de Tanzanie de 1977 »</w:t>
      </w:r>
      <w:r w:rsidRPr="005470AD">
        <w:t>. Le Requérant soutient qu</w:t>
      </w:r>
      <w:r w:rsidR="00A95CF8" w:rsidRPr="005470AD">
        <w:t>’</w:t>
      </w:r>
      <w:r w:rsidRPr="005470AD">
        <w:t>une période de plus de deux (2) ans s</w:t>
      </w:r>
      <w:r w:rsidR="00A95CF8" w:rsidRPr="005470AD">
        <w:t>’</w:t>
      </w:r>
      <w:r w:rsidRPr="005470AD">
        <w:t>est écoulée depuis </w:t>
      </w:r>
      <w:r w:rsidR="00E964EF" w:rsidRPr="005470AD">
        <w:rPr>
          <w:bCs/>
        </w:rPr>
        <w:t>le 10</w:t>
      </w:r>
      <w:r w:rsidR="00E964EF" w:rsidRPr="005470AD">
        <w:t xml:space="preserve"> </w:t>
      </w:r>
      <w:r w:rsidRPr="005470AD">
        <w:t>mars 2014, date à laquelle il a déposé sa requête en révision devant la Cour d</w:t>
      </w:r>
      <w:r w:rsidR="00A95CF8" w:rsidRPr="005470AD">
        <w:t>’</w:t>
      </w:r>
      <w:r w:rsidRPr="005470AD">
        <w:t>appel, et qu</w:t>
      </w:r>
      <w:r w:rsidR="00A95CF8" w:rsidRPr="005470AD">
        <w:t>’</w:t>
      </w:r>
      <w:r w:rsidRPr="005470AD">
        <w:t xml:space="preserve">elle était toujours pendante </w:t>
      </w:r>
      <w:r w:rsidR="00E964EF" w:rsidRPr="005470AD">
        <w:t xml:space="preserve">le </w:t>
      </w:r>
      <w:r w:rsidR="003E05C4" w:rsidRPr="005470AD">
        <w:t xml:space="preserve">8 </w:t>
      </w:r>
      <w:r w:rsidR="00E83FC4" w:rsidRPr="005470AD">
        <w:t xml:space="preserve">juin </w:t>
      </w:r>
      <w:r w:rsidRPr="005470AD">
        <w:t>2016, date à laquelle il a saisi la Cour de céans.</w:t>
      </w:r>
    </w:p>
    <w:p w14:paraId="5EDD9192" w14:textId="77777777" w:rsidR="00A61BAF" w:rsidRPr="005470AD" w:rsidRDefault="00A61BAF" w:rsidP="002624E4"/>
    <w:p w14:paraId="77F00B55" w14:textId="078A606E" w:rsidR="00CD27A4" w:rsidRPr="005470AD" w:rsidRDefault="00CD27A4" w:rsidP="002624E4">
      <w:r w:rsidRPr="005470AD">
        <w:t>L</w:t>
      </w:r>
      <w:r w:rsidR="00A95CF8" w:rsidRPr="005470AD">
        <w:t>’</w:t>
      </w:r>
      <w:r w:rsidRPr="005470AD">
        <w:t>État défendeur soutient que l</w:t>
      </w:r>
      <w:r w:rsidR="00A95CF8" w:rsidRPr="005470AD">
        <w:t>’</w:t>
      </w:r>
      <w:r w:rsidRPr="005470AD">
        <w:t>allégation n</w:t>
      </w:r>
      <w:r w:rsidR="00A95CF8" w:rsidRPr="005470AD">
        <w:t>’</w:t>
      </w:r>
      <w:r w:rsidRPr="005470AD">
        <w:t>est pas fondée, pour trois (3) motifs. Premièrement, l</w:t>
      </w:r>
      <w:r w:rsidR="00A95CF8" w:rsidRPr="005470AD">
        <w:t>’</w:t>
      </w:r>
      <w:r w:rsidRPr="005470AD">
        <w:t>avis de requête en révision de la décision de la Cour d</w:t>
      </w:r>
      <w:r w:rsidR="00A95CF8" w:rsidRPr="005470AD">
        <w:t>’</w:t>
      </w:r>
      <w:r w:rsidRPr="005470AD">
        <w:t>appel a été déposé hors délai, en violation de la règle 66(3) du Règlement de la Cour d</w:t>
      </w:r>
      <w:r w:rsidR="00A95CF8" w:rsidRPr="005470AD">
        <w:t>’</w:t>
      </w:r>
      <w:r w:rsidRPr="005470AD">
        <w:t>appel de Tanzanie. Deuxièmement, le Requérant n</w:t>
      </w:r>
      <w:r w:rsidR="00A95CF8" w:rsidRPr="005470AD">
        <w:t>’</w:t>
      </w:r>
      <w:r w:rsidRPr="005470AD">
        <w:t>a pas prouvé que la requête en révision a été signifiée à l</w:t>
      </w:r>
      <w:r w:rsidR="00A95CF8" w:rsidRPr="005470AD">
        <w:t>’</w:t>
      </w:r>
      <w:r w:rsidRPr="005470AD">
        <w:t xml:space="preserve">État défendeur. Enfin, la décision </w:t>
      </w:r>
      <w:r w:rsidR="00A853AC" w:rsidRPr="005470AD">
        <w:t>d</w:t>
      </w:r>
      <w:r w:rsidR="00A95CF8" w:rsidRPr="005470AD">
        <w:t>’</w:t>
      </w:r>
      <w:r w:rsidR="00A853AC" w:rsidRPr="005470AD">
        <w:t>en</w:t>
      </w:r>
      <w:r w:rsidRPr="005470AD">
        <w:t>rôle</w:t>
      </w:r>
      <w:r w:rsidR="00A853AC" w:rsidRPr="005470AD">
        <w:t>ment</w:t>
      </w:r>
      <w:r w:rsidRPr="005470AD">
        <w:t xml:space="preserve"> des requêtes en révision dépend du calendrier et du budget du tribunal.</w:t>
      </w:r>
    </w:p>
    <w:p w14:paraId="52779386" w14:textId="4C173915" w:rsidR="0047076F" w:rsidRPr="005470AD" w:rsidRDefault="00017175" w:rsidP="002624E4">
      <w:r w:rsidRPr="005470AD">
        <w:t>***</w:t>
      </w:r>
    </w:p>
    <w:p w14:paraId="26E6B303" w14:textId="77777777" w:rsidR="0041677F" w:rsidRPr="005470AD" w:rsidRDefault="0041677F" w:rsidP="002624E4"/>
    <w:p w14:paraId="736E974C" w14:textId="109D2393" w:rsidR="00FB7503" w:rsidRPr="005470AD" w:rsidRDefault="006C7E0B" w:rsidP="002624E4">
      <w:r w:rsidRPr="005470AD">
        <w:t>L</w:t>
      </w:r>
      <w:r w:rsidR="00A95CF8" w:rsidRPr="005470AD">
        <w:t>’</w:t>
      </w:r>
      <w:r w:rsidRPr="005470AD">
        <w:t>article 7(1)(d) de la Charte prévoit « le droit d</w:t>
      </w:r>
      <w:r w:rsidR="00A95CF8" w:rsidRPr="005470AD">
        <w:t>’</w:t>
      </w:r>
      <w:r w:rsidRPr="005470AD">
        <w:t>être jugé dans un délai raisonnable par une juridiction impartiale ».</w:t>
      </w:r>
    </w:p>
    <w:p w14:paraId="11166199" w14:textId="77777777" w:rsidR="00EE2E38" w:rsidRPr="005470AD" w:rsidRDefault="00EE2E38" w:rsidP="002624E4"/>
    <w:p w14:paraId="10AD1276" w14:textId="08A3B13D" w:rsidR="00C67D95" w:rsidRPr="005470AD" w:rsidRDefault="0055756A" w:rsidP="002624E4">
      <w:r w:rsidRPr="005470AD">
        <w:t>La Cour se réfère à sa décision dans l</w:t>
      </w:r>
      <w:r w:rsidR="00A95CF8" w:rsidRPr="005470AD">
        <w:t>’</w:t>
      </w:r>
      <w:r w:rsidRPr="005470AD">
        <w:t xml:space="preserve">affaire </w:t>
      </w:r>
      <w:r w:rsidRPr="005470AD">
        <w:rPr>
          <w:i/>
          <w:iCs/>
        </w:rPr>
        <w:t xml:space="preserve">Wilfred Onyango </w:t>
      </w:r>
      <w:r w:rsidR="00BC0BDE" w:rsidRPr="005470AD">
        <w:rPr>
          <w:i/>
        </w:rPr>
        <w:t xml:space="preserve">Nganyi </w:t>
      </w:r>
      <w:r w:rsidRPr="005470AD">
        <w:rPr>
          <w:i/>
          <w:iCs/>
        </w:rPr>
        <w:t>et autres c. Tanzanie</w:t>
      </w:r>
      <w:r w:rsidRPr="005470AD">
        <w:t xml:space="preserve">, dans laquelle elle a </w:t>
      </w:r>
      <w:r w:rsidR="00305E03" w:rsidRPr="005470AD">
        <w:t>conclu</w:t>
      </w:r>
      <w:r w:rsidRPr="005470AD">
        <w:t xml:space="preserve"> « … qu</w:t>
      </w:r>
      <w:r w:rsidR="00A95CF8" w:rsidRPr="005470AD">
        <w:t>’</w:t>
      </w:r>
      <w:r w:rsidRPr="005470AD">
        <w:t>il n</w:t>
      </w:r>
      <w:r w:rsidR="00A95CF8" w:rsidRPr="005470AD">
        <w:t>’</w:t>
      </w:r>
      <w:r w:rsidRPr="005470AD">
        <w:t>existe pas de délai considéré comme raisonnable qui serve de norme dans l</w:t>
      </w:r>
      <w:r w:rsidR="00A95CF8" w:rsidRPr="005470AD">
        <w:t>’</w:t>
      </w:r>
      <w:r w:rsidRPr="005470AD">
        <w:t>examen d</w:t>
      </w:r>
      <w:r w:rsidR="00A95CF8" w:rsidRPr="005470AD">
        <w:t>’</w:t>
      </w:r>
      <w:r w:rsidRPr="005470AD">
        <w:t>une affaire. Pour déterminer si le délai est raisonnable ou non, chaque affaire doit être traitée selon ses propres circonstances ».</w:t>
      </w:r>
      <w:r w:rsidRPr="005470AD">
        <w:rPr>
          <w:vertAlign w:val="superscript"/>
        </w:rPr>
        <w:footnoteReference w:id="29"/>
      </w:r>
      <w:r w:rsidRPr="005470AD">
        <w:t xml:space="preserve"> </w:t>
      </w:r>
    </w:p>
    <w:p w14:paraId="5BFC0446" w14:textId="77777777" w:rsidR="00151867" w:rsidRPr="005470AD" w:rsidRDefault="00151867" w:rsidP="002624E4">
      <w:pPr>
        <w:rPr>
          <w:sz w:val="22"/>
          <w:szCs w:val="22"/>
        </w:rPr>
      </w:pPr>
    </w:p>
    <w:p w14:paraId="25B2CEB3" w14:textId="1A6BD27B" w:rsidR="00F5697A" w:rsidRPr="005470AD" w:rsidRDefault="00F5697A" w:rsidP="002624E4">
      <w:r w:rsidRPr="005470AD">
        <w:t>Pour apprécier le caractère raisonnable de la durée d</w:t>
      </w:r>
      <w:r w:rsidR="00A95CF8" w:rsidRPr="005470AD">
        <w:t>’</w:t>
      </w:r>
      <w:r w:rsidRPr="005470AD">
        <w:t xml:space="preserve">une procédure interne, la Cour prend en compte le comportement du Requérant </w:t>
      </w:r>
      <w:r w:rsidR="00305E03" w:rsidRPr="005470AD">
        <w:rPr>
          <w:bCs/>
        </w:rPr>
        <w:t>et</w:t>
      </w:r>
      <w:r w:rsidR="00305E03" w:rsidRPr="005470AD">
        <w:t xml:space="preserve"> </w:t>
      </w:r>
      <w:r w:rsidRPr="005470AD">
        <w:t>la diligence de l</w:t>
      </w:r>
      <w:r w:rsidR="00A95CF8" w:rsidRPr="005470AD">
        <w:t>’</w:t>
      </w:r>
      <w:r w:rsidRPr="005470AD">
        <w:t>État défendeur dans le traitement de la procédure.</w:t>
      </w:r>
      <w:r w:rsidRPr="005470AD">
        <w:rPr>
          <w:rStyle w:val="FootnoteReference"/>
          <w:rFonts w:ascii="Arial" w:eastAsia="Calibri" w:hAnsi="Arial" w:cs="Arial"/>
        </w:rPr>
        <w:footnoteReference w:id="30"/>
      </w:r>
      <w:r w:rsidRPr="005470AD">
        <w:t xml:space="preserve"> La Cour a souligné que « les autorités des juridictions nationales ont le devoir de veiller à ce que tous ceux qui jouent un rôle dans un procès fassent tout ce qui est en leur pouvoir pour éviter tout retard inutile ».</w:t>
      </w:r>
      <w:r w:rsidRPr="005470AD">
        <w:rPr>
          <w:rStyle w:val="FootnoteReference"/>
          <w:rFonts w:ascii="Arial" w:eastAsia="Calibri" w:hAnsi="Arial" w:cs="Arial"/>
        </w:rPr>
        <w:footnoteReference w:id="31"/>
      </w:r>
    </w:p>
    <w:p w14:paraId="611639C1" w14:textId="2D714B49" w:rsidR="00A26BF9" w:rsidRPr="005470AD" w:rsidRDefault="00A26BF9" w:rsidP="002624E4">
      <w:pPr>
        <w:rPr>
          <w:bCs/>
        </w:rPr>
      </w:pPr>
      <w:r w:rsidRPr="005470AD">
        <w:rPr>
          <w:bCs/>
        </w:rPr>
        <w:lastRenderedPageBreak/>
        <w:t>L</w:t>
      </w:r>
      <w:r w:rsidR="00A95CF8" w:rsidRPr="005470AD">
        <w:rPr>
          <w:bCs/>
        </w:rPr>
        <w:t>’</w:t>
      </w:r>
      <w:r w:rsidRPr="005470AD">
        <w:rPr>
          <w:bCs/>
        </w:rPr>
        <w:t xml:space="preserve">État défendeur a </w:t>
      </w:r>
      <w:r w:rsidR="004811EF" w:rsidRPr="005470AD">
        <w:rPr>
          <w:bCs/>
        </w:rPr>
        <w:t>réfuté</w:t>
      </w:r>
      <w:r w:rsidRPr="005470AD">
        <w:rPr>
          <w:bCs/>
        </w:rPr>
        <w:t xml:space="preserve"> l</w:t>
      </w:r>
      <w:r w:rsidR="00A95CF8" w:rsidRPr="005470AD">
        <w:rPr>
          <w:bCs/>
        </w:rPr>
        <w:t>’</w:t>
      </w:r>
      <w:r w:rsidRPr="005470AD">
        <w:rPr>
          <w:bCs/>
        </w:rPr>
        <w:t xml:space="preserve">allégation du Requérant selon laquelle il a déposé </w:t>
      </w:r>
      <w:r w:rsidR="00C961D4" w:rsidRPr="005470AD">
        <w:rPr>
          <w:bCs/>
        </w:rPr>
        <w:t>la requête en révision dans l</w:t>
      </w:r>
      <w:r w:rsidR="00FC186F" w:rsidRPr="005470AD">
        <w:rPr>
          <w:bCs/>
        </w:rPr>
        <w:t>es délais</w:t>
      </w:r>
      <w:r w:rsidR="006B7DD1" w:rsidRPr="005470AD">
        <w:rPr>
          <w:bCs/>
        </w:rPr>
        <w:t>,</w:t>
      </w:r>
      <w:r w:rsidR="00FC186F" w:rsidRPr="005470AD">
        <w:rPr>
          <w:bCs/>
        </w:rPr>
        <w:t xml:space="preserve"> au</w:t>
      </w:r>
      <w:r w:rsidR="006B7DD1" w:rsidRPr="005470AD">
        <w:rPr>
          <w:bCs/>
        </w:rPr>
        <w:t>près du</w:t>
      </w:r>
      <w:r w:rsidR="00FC186F" w:rsidRPr="005470AD">
        <w:rPr>
          <w:bCs/>
        </w:rPr>
        <w:t xml:space="preserve"> G</w:t>
      </w:r>
      <w:r w:rsidR="00C961D4" w:rsidRPr="005470AD">
        <w:rPr>
          <w:bCs/>
        </w:rPr>
        <w:t>reffe de la C</w:t>
      </w:r>
      <w:r w:rsidRPr="005470AD">
        <w:rPr>
          <w:bCs/>
        </w:rPr>
        <w:t>our d</w:t>
      </w:r>
      <w:r w:rsidR="00A95CF8" w:rsidRPr="005470AD">
        <w:rPr>
          <w:bCs/>
        </w:rPr>
        <w:t>’</w:t>
      </w:r>
      <w:r w:rsidRPr="005470AD">
        <w:rPr>
          <w:bCs/>
        </w:rPr>
        <w:t xml:space="preserve">appel et </w:t>
      </w:r>
      <w:r w:rsidR="006B7DD1" w:rsidRPr="005470AD">
        <w:rPr>
          <w:bCs/>
        </w:rPr>
        <w:t>que celle-ci</w:t>
      </w:r>
      <w:r w:rsidR="00C961D4" w:rsidRPr="005470AD">
        <w:rPr>
          <w:bCs/>
        </w:rPr>
        <w:t xml:space="preserve"> </w:t>
      </w:r>
      <w:r w:rsidR="003A6E30" w:rsidRPr="005470AD">
        <w:rPr>
          <w:bCs/>
        </w:rPr>
        <w:t xml:space="preserve">a été signifiée </w:t>
      </w:r>
      <w:r w:rsidRPr="005470AD">
        <w:rPr>
          <w:bCs/>
        </w:rPr>
        <w:t>à l</w:t>
      </w:r>
      <w:r w:rsidR="00A95CF8" w:rsidRPr="005470AD">
        <w:rPr>
          <w:bCs/>
        </w:rPr>
        <w:t>’</w:t>
      </w:r>
      <w:r w:rsidRPr="005470AD">
        <w:rPr>
          <w:bCs/>
        </w:rPr>
        <w:t>État défendeur.</w:t>
      </w:r>
    </w:p>
    <w:p w14:paraId="772ABFEB" w14:textId="77777777" w:rsidR="00962489" w:rsidRPr="005470AD" w:rsidRDefault="00962489" w:rsidP="002624E4">
      <w:pPr>
        <w:rPr>
          <w:bCs/>
        </w:rPr>
      </w:pPr>
    </w:p>
    <w:p w14:paraId="504D9E71" w14:textId="5BB1C75B" w:rsidR="00C961D4" w:rsidRPr="005470AD" w:rsidRDefault="00C961D4" w:rsidP="002624E4">
      <w:pPr>
        <w:rPr>
          <w:rFonts w:eastAsia="Calibri"/>
          <w:bCs/>
        </w:rPr>
      </w:pPr>
      <w:r w:rsidRPr="005470AD">
        <w:rPr>
          <w:bCs/>
        </w:rPr>
        <w:t>Comme indiqué au para</w:t>
      </w:r>
      <w:r w:rsidR="006B7DD1" w:rsidRPr="005470AD">
        <w:rPr>
          <w:bCs/>
        </w:rPr>
        <w:t xml:space="preserve">graphe </w:t>
      </w:r>
      <w:r w:rsidR="00E76F07" w:rsidRPr="005470AD">
        <w:rPr>
          <w:bCs/>
        </w:rPr>
        <w:t xml:space="preserve">9 </w:t>
      </w:r>
      <w:r w:rsidR="006B7DD1" w:rsidRPr="005470AD">
        <w:rPr>
          <w:bCs/>
        </w:rPr>
        <w:t>du présent A</w:t>
      </w:r>
      <w:r w:rsidR="00334FCA" w:rsidRPr="005470AD">
        <w:rPr>
          <w:bCs/>
        </w:rPr>
        <w:t>rrêt, le R</w:t>
      </w:r>
      <w:r w:rsidRPr="005470AD">
        <w:rPr>
          <w:bCs/>
        </w:rPr>
        <w:t>equérant n</w:t>
      </w:r>
      <w:r w:rsidR="00A95CF8" w:rsidRPr="005470AD">
        <w:rPr>
          <w:bCs/>
        </w:rPr>
        <w:t>’</w:t>
      </w:r>
      <w:r w:rsidRPr="005470AD">
        <w:rPr>
          <w:bCs/>
        </w:rPr>
        <w:t>a pas apporté la preuve que</w:t>
      </w:r>
      <w:r w:rsidR="00334FCA" w:rsidRPr="005470AD">
        <w:rPr>
          <w:bCs/>
        </w:rPr>
        <w:t xml:space="preserve"> la C</w:t>
      </w:r>
      <w:r w:rsidRPr="005470AD">
        <w:rPr>
          <w:bCs/>
        </w:rPr>
        <w:t>our d</w:t>
      </w:r>
      <w:r w:rsidR="00A95CF8" w:rsidRPr="005470AD">
        <w:rPr>
          <w:bCs/>
        </w:rPr>
        <w:t>’</w:t>
      </w:r>
      <w:r w:rsidRPr="005470AD">
        <w:rPr>
          <w:bCs/>
        </w:rPr>
        <w:t>appel l</w:t>
      </w:r>
      <w:r w:rsidR="00A95CF8" w:rsidRPr="005470AD">
        <w:rPr>
          <w:bCs/>
        </w:rPr>
        <w:t>’</w:t>
      </w:r>
      <w:r w:rsidRPr="005470AD">
        <w:rPr>
          <w:bCs/>
        </w:rPr>
        <w:t xml:space="preserve">a autorisé à déposer la </w:t>
      </w:r>
      <w:r w:rsidR="00334FCA" w:rsidRPr="005470AD">
        <w:rPr>
          <w:bCs/>
        </w:rPr>
        <w:t xml:space="preserve">requête en révision </w:t>
      </w:r>
      <w:r w:rsidRPr="005470AD">
        <w:rPr>
          <w:bCs/>
        </w:rPr>
        <w:t>hors délai.</w:t>
      </w:r>
      <w:r w:rsidR="00334FCA" w:rsidRPr="005470AD">
        <w:rPr>
          <w:bCs/>
        </w:rPr>
        <w:t xml:space="preserve"> Il n</w:t>
      </w:r>
      <w:r w:rsidR="00A95CF8" w:rsidRPr="005470AD">
        <w:rPr>
          <w:bCs/>
        </w:rPr>
        <w:t>’</w:t>
      </w:r>
      <w:r w:rsidR="00334FCA" w:rsidRPr="005470AD">
        <w:rPr>
          <w:bCs/>
        </w:rPr>
        <w:t xml:space="preserve">a pas non plus apporté la preuve </w:t>
      </w:r>
      <w:r w:rsidR="00E0798D" w:rsidRPr="005470AD">
        <w:rPr>
          <w:bCs/>
        </w:rPr>
        <w:t>qu</w:t>
      </w:r>
      <w:r w:rsidR="00A95CF8" w:rsidRPr="005470AD">
        <w:rPr>
          <w:bCs/>
        </w:rPr>
        <w:t>’</w:t>
      </w:r>
      <w:r w:rsidR="00E0798D" w:rsidRPr="005470AD">
        <w:rPr>
          <w:bCs/>
        </w:rPr>
        <w:t>après</w:t>
      </w:r>
      <w:r w:rsidR="00334FCA" w:rsidRPr="005470AD">
        <w:rPr>
          <w:bCs/>
        </w:rPr>
        <w:t xml:space="preserve"> avoir obtenu </w:t>
      </w:r>
      <w:r w:rsidR="006B7DD1" w:rsidRPr="005470AD">
        <w:rPr>
          <w:bCs/>
        </w:rPr>
        <w:t>ladite</w:t>
      </w:r>
      <w:r w:rsidR="00334FCA" w:rsidRPr="005470AD">
        <w:rPr>
          <w:bCs/>
        </w:rPr>
        <w:t xml:space="preserve"> autorisation, il a effectivement déposé la requête en révision </w:t>
      </w:r>
      <w:r w:rsidR="00FC186F" w:rsidRPr="005470AD">
        <w:rPr>
          <w:bCs/>
        </w:rPr>
        <w:t>au</w:t>
      </w:r>
      <w:r w:rsidR="006B7DD1" w:rsidRPr="005470AD">
        <w:rPr>
          <w:bCs/>
        </w:rPr>
        <w:t>près du</w:t>
      </w:r>
      <w:r w:rsidR="00FC186F" w:rsidRPr="005470AD">
        <w:rPr>
          <w:bCs/>
        </w:rPr>
        <w:t xml:space="preserve"> G</w:t>
      </w:r>
      <w:r w:rsidR="00E0798D" w:rsidRPr="005470AD">
        <w:rPr>
          <w:bCs/>
        </w:rPr>
        <w:t>reffe de la C</w:t>
      </w:r>
      <w:r w:rsidR="00334FCA" w:rsidRPr="005470AD">
        <w:rPr>
          <w:bCs/>
        </w:rPr>
        <w:t>our d</w:t>
      </w:r>
      <w:r w:rsidR="00A95CF8" w:rsidRPr="005470AD">
        <w:rPr>
          <w:bCs/>
        </w:rPr>
        <w:t>’</w:t>
      </w:r>
      <w:r w:rsidR="00334FCA" w:rsidRPr="005470AD">
        <w:rPr>
          <w:bCs/>
        </w:rPr>
        <w:t xml:space="preserve">appel et </w:t>
      </w:r>
      <w:r w:rsidR="006B7DD1" w:rsidRPr="005470AD">
        <w:rPr>
          <w:bCs/>
        </w:rPr>
        <w:t>que celle-ci a été dûment</w:t>
      </w:r>
      <w:r w:rsidR="00334FCA" w:rsidRPr="005470AD">
        <w:rPr>
          <w:bCs/>
        </w:rPr>
        <w:t xml:space="preserve"> signifiée à l</w:t>
      </w:r>
      <w:r w:rsidR="00A95CF8" w:rsidRPr="005470AD">
        <w:rPr>
          <w:bCs/>
        </w:rPr>
        <w:t>’</w:t>
      </w:r>
      <w:r w:rsidR="00334FCA" w:rsidRPr="005470AD">
        <w:rPr>
          <w:bCs/>
        </w:rPr>
        <w:t>Ét</w:t>
      </w:r>
      <w:r w:rsidR="00E0798D" w:rsidRPr="005470AD">
        <w:rPr>
          <w:bCs/>
        </w:rPr>
        <w:t>at défendeur, comme l</w:t>
      </w:r>
      <w:r w:rsidR="00A95CF8" w:rsidRPr="005470AD">
        <w:rPr>
          <w:bCs/>
        </w:rPr>
        <w:t>’</w:t>
      </w:r>
      <w:r w:rsidR="00E0798D" w:rsidRPr="005470AD">
        <w:rPr>
          <w:bCs/>
        </w:rPr>
        <w:t>exige le Règlement</w:t>
      </w:r>
      <w:r w:rsidR="001F39E9" w:rsidRPr="005470AD">
        <w:rPr>
          <w:bCs/>
        </w:rPr>
        <w:t xml:space="preserve"> </w:t>
      </w:r>
      <w:r w:rsidR="00E0798D" w:rsidRPr="005470AD">
        <w:rPr>
          <w:bCs/>
        </w:rPr>
        <w:t>de la C</w:t>
      </w:r>
      <w:r w:rsidR="00334FCA" w:rsidRPr="005470AD">
        <w:rPr>
          <w:bCs/>
        </w:rPr>
        <w:t>our d</w:t>
      </w:r>
      <w:r w:rsidR="00A95CF8" w:rsidRPr="005470AD">
        <w:rPr>
          <w:bCs/>
        </w:rPr>
        <w:t>’</w:t>
      </w:r>
      <w:r w:rsidR="00334FCA" w:rsidRPr="005470AD">
        <w:rPr>
          <w:bCs/>
        </w:rPr>
        <w:t>appel.</w:t>
      </w:r>
      <w:r w:rsidR="001F39E9" w:rsidRPr="005470AD">
        <w:rPr>
          <w:bCs/>
          <w:vertAlign w:val="superscript"/>
          <w:lang w:val="en-GB"/>
        </w:rPr>
        <w:footnoteReference w:id="32"/>
      </w:r>
    </w:p>
    <w:p w14:paraId="237B00B3" w14:textId="77777777" w:rsidR="00C77D53" w:rsidRPr="005470AD" w:rsidRDefault="00C77D53" w:rsidP="002624E4">
      <w:pPr>
        <w:rPr>
          <w:rFonts w:eastAsia="Calibri"/>
          <w:bCs/>
        </w:rPr>
      </w:pPr>
    </w:p>
    <w:p w14:paraId="669A488E" w14:textId="4D7852FC" w:rsidR="00996B5A" w:rsidRPr="005470AD" w:rsidRDefault="001B52E6" w:rsidP="002624E4">
      <w:r w:rsidRPr="005470AD">
        <w:t>L</w:t>
      </w:r>
      <w:r w:rsidR="00996B5A" w:rsidRPr="005470AD">
        <w:t>a Cour note que le Requérant ne lui a pas fourni d</w:t>
      </w:r>
      <w:r w:rsidR="00A95CF8" w:rsidRPr="005470AD">
        <w:t>’</w:t>
      </w:r>
      <w:r w:rsidR="00996B5A" w:rsidRPr="005470AD">
        <w:t>éléments de preuve ou d</w:t>
      </w:r>
      <w:r w:rsidR="00A95CF8" w:rsidRPr="005470AD">
        <w:t>’</w:t>
      </w:r>
      <w:r w:rsidR="00996B5A" w:rsidRPr="005470AD">
        <w:t>informations lui permett</w:t>
      </w:r>
      <w:r w:rsidR="007604F1" w:rsidRPr="005470AD">
        <w:t>a</w:t>
      </w:r>
      <w:r w:rsidR="00996B5A" w:rsidRPr="005470AD">
        <w:t>nt d</w:t>
      </w:r>
      <w:r w:rsidR="00A95CF8" w:rsidRPr="005470AD">
        <w:t>’</w:t>
      </w:r>
      <w:r w:rsidR="00031729" w:rsidRPr="005470AD">
        <w:t>appréci</w:t>
      </w:r>
      <w:r w:rsidR="00996B5A" w:rsidRPr="005470AD">
        <w:t>er s</w:t>
      </w:r>
      <w:r w:rsidR="00A95CF8" w:rsidRPr="005470AD">
        <w:t>’</w:t>
      </w:r>
      <w:r w:rsidR="00996B5A" w:rsidRPr="005470AD">
        <w:t>il y a effectivement eu un retard dans l</w:t>
      </w:r>
      <w:r w:rsidR="00A95CF8" w:rsidRPr="005470AD">
        <w:t>’</w:t>
      </w:r>
      <w:r w:rsidR="00996B5A" w:rsidRPr="005470AD">
        <w:t>enrôlement et l</w:t>
      </w:r>
      <w:r w:rsidR="00A95CF8" w:rsidRPr="005470AD">
        <w:t>’</w:t>
      </w:r>
      <w:r w:rsidR="00996B5A" w:rsidRPr="005470AD">
        <w:t>examen de sa requête en révision</w:t>
      </w:r>
      <w:r w:rsidR="00BA6555" w:rsidRPr="005470AD">
        <w:t>.</w:t>
      </w:r>
    </w:p>
    <w:p w14:paraId="263316EC" w14:textId="1355E4C2" w:rsidR="00646D75" w:rsidRPr="005470AD" w:rsidRDefault="00646D75" w:rsidP="002624E4"/>
    <w:p w14:paraId="6FB9CF60" w14:textId="6A7F1BDE" w:rsidR="000425CC" w:rsidRPr="005470AD" w:rsidRDefault="000425CC" w:rsidP="002624E4">
      <w:r w:rsidRPr="005470AD">
        <w:t>Compte tenu de ce qui précède, la Cour rejette l</w:t>
      </w:r>
      <w:r w:rsidR="00A95CF8" w:rsidRPr="005470AD">
        <w:t>’</w:t>
      </w:r>
      <w:r w:rsidRPr="005470AD">
        <w:t>allégation du Requérant selon laquelle un retard a été accusé dans l</w:t>
      </w:r>
      <w:r w:rsidR="00A95CF8" w:rsidRPr="005470AD">
        <w:t>’</w:t>
      </w:r>
      <w:r w:rsidRPr="005470AD">
        <w:t>enrôlement et l</w:t>
      </w:r>
      <w:r w:rsidR="00A95CF8" w:rsidRPr="005470AD">
        <w:t>’</w:t>
      </w:r>
      <w:r w:rsidRPr="005470AD">
        <w:t>examen de sa requête en révision</w:t>
      </w:r>
      <w:r w:rsidR="00DB76E9" w:rsidRPr="005470AD">
        <w:t>. La Cour estime donc qu</w:t>
      </w:r>
      <w:r w:rsidR="00A95CF8" w:rsidRPr="005470AD">
        <w:t>’</w:t>
      </w:r>
      <w:r w:rsidR="00DB76E9" w:rsidRPr="005470AD">
        <w:t>aucune violation de la Charte n</w:t>
      </w:r>
      <w:r w:rsidR="00A95CF8" w:rsidRPr="005470AD">
        <w:t>’</w:t>
      </w:r>
      <w:r w:rsidR="00DB76E9" w:rsidRPr="005470AD">
        <w:t>est établie à cet égard.</w:t>
      </w:r>
    </w:p>
    <w:p w14:paraId="55130CAB" w14:textId="77777777" w:rsidR="000425CC" w:rsidRPr="005470AD" w:rsidRDefault="000425CC" w:rsidP="002624E4"/>
    <w:p w14:paraId="13177966" w14:textId="765CD253" w:rsidR="00B40D61" w:rsidRPr="005470AD" w:rsidRDefault="00B40D61" w:rsidP="002624E4">
      <w:r w:rsidRPr="005470AD">
        <w:t>La Cour a déjà indiqué qu</w:t>
      </w:r>
      <w:r w:rsidR="00A95CF8" w:rsidRPr="005470AD">
        <w:t>’</w:t>
      </w:r>
      <w:r w:rsidRPr="005470AD">
        <w:t>elle n</w:t>
      </w:r>
      <w:r w:rsidR="00A95CF8" w:rsidRPr="005470AD">
        <w:t>’</w:t>
      </w:r>
      <w:r w:rsidRPr="005470AD">
        <w:t>appliqu</w:t>
      </w:r>
      <w:r w:rsidR="00652CE4" w:rsidRPr="005470AD">
        <w:t>e</w:t>
      </w:r>
      <w:r w:rsidRPr="005470AD">
        <w:t xml:space="preserve"> pas le droit interne pour déterminer si l</w:t>
      </w:r>
      <w:r w:rsidR="00A95CF8" w:rsidRPr="005470AD">
        <w:t>’</w:t>
      </w:r>
      <w:r w:rsidRPr="005470AD">
        <w:t>État s</w:t>
      </w:r>
      <w:r w:rsidR="00A95CF8" w:rsidRPr="005470AD">
        <w:t>’</w:t>
      </w:r>
      <w:r w:rsidRPr="005470AD">
        <w:t>était conformé à la Charte ou à tout autre instrument relatif aux droits de l</w:t>
      </w:r>
      <w:r w:rsidR="00A95CF8" w:rsidRPr="005470AD">
        <w:t>’</w:t>
      </w:r>
      <w:r w:rsidRPr="005470AD">
        <w:t>homme qu</w:t>
      </w:r>
      <w:r w:rsidR="00A95CF8" w:rsidRPr="005470AD">
        <w:t>’</w:t>
      </w:r>
      <w:r w:rsidRPr="005470AD">
        <w:t>il a ratifié.</w:t>
      </w:r>
      <w:r w:rsidR="00D675D0" w:rsidRPr="005470AD">
        <w:t xml:space="preserve"> </w:t>
      </w:r>
      <w:r w:rsidRPr="005470AD">
        <w:t>La Cour estime donc qu</w:t>
      </w:r>
      <w:r w:rsidR="00A95CF8" w:rsidRPr="005470AD">
        <w:t>’</w:t>
      </w:r>
      <w:r w:rsidRPr="005470AD">
        <w:t>il n</w:t>
      </w:r>
      <w:r w:rsidR="00A95CF8" w:rsidRPr="005470AD">
        <w:t>’</w:t>
      </w:r>
      <w:r w:rsidRPr="005470AD">
        <w:t xml:space="preserve">est pas nécessaire </w:t>
      </w:r>
      <w:r w:rsidR="00C754B7" w:rsidRPr="005470AD">
        <w:t>d</w:t>
      </w:r>
      <w:r w:rsidR="00A95CF8" w:rsidRPr="005470AD">
        <w:t>’</w:t>
      </w:r>
      <w:r w:rsidR="00C754B7" w:rsidRPr="005470AD">
        <w:t>examiner</w:t>
      </w:r>
      <w:r w:rsidRPr="005470AD">
        <w:t xml:space="preserve"> si les dispositions de la Constitution de l</w:t>
      </w:r>
      <w:r w:rsidR="00A95CF8" w:rsidRPr="005470AD">
        <w:t>’</w:t>
      </w:r>
      <w:r w:rsidRPr="005470AD">
        <w:t>État défendeur citées par le Requérant ont été violées.</w:t>
      </w:r>
    </w:p>
    <w:p w14:paraId="4837E5E3" w14:textId="77777777" w:rsidR="00B40D61" w:rsidRPr="005470AD" w:rsidRDefault="00B40D61" w:rsidP="002624E4"/>
    <w:p w14:paraId="3E1180CC" w14:textId="77777777" w:rsidR="00962489" w:rsidRPr="005470AD" w:rsidRDefault="00962489" w:rsidP="002624E4"/>
    <w:p w14:paraId="4086F7A3" w14:textId="77777777" w:rsidR="00962489" w:rsidRPr="005470AD" w:rsidRDefault="00962489" w:rsidP="002624E4"/>
    <w:p w14:paraId="0F75C67B" w14:textId="264847D9" w:rsidR="0047076F" w:rsidRPr="005470AD" w:rsidRDefault="0047076F" w:rsidP="002624E4">
      <w:bookmarkStart w:id="27" w:name="_Toc129427643"/>
      <w:bookmarkStart w:id="28" w:name="_Toc129450171"/>
      <w:bookmarkStart w:id="29" w:name="_Toc129453610"/>
      <w:bookmarkStart w:id="30" w:name="_Toc129427644"/>
      <w:bookmarkStart w:id="31" w:name="_Toc129450172"/>
      <w:bookmarkStart w:id="32" w:name="_Toc129453611"/>
      <w:bookmarkStart w:id="33" w:name="_Toc129427645"/>
      <w:bookmarkStart w:id="34" w:name="_Toc129450173"/>
      <w:bookmarkStart w:id="35" w:name="_Toc129453612"/>
      <w:bookmarkStart w:id="36" w:name="_Toc129427646"/>
      <w:bookmarkStart w:id="37" w:name="_Toc129450174"/>
      <w:bookmarkStart w:id="38" w:name="_Toc129453613"/>
      <w:bookmarkStart w:id="39" w:name="_Toc129427647"/>
      <w:bookmarkStart w:id="40" w:name="_Toc129450175"/>
      <w:bookmarkStart w:id="41" w:name="_Toc129453614"/>
      <w:bookmarkStart w:id="42" w:name="_Toc129427648"/>
      <w:bookmarkStart w:id="43" w:name="_Toc129450176"/>
      <w:bookmarkStart w:id="44" w:name="_Toc129453615"/>
      <w:bookmarkStart w:id="45" w:name="_Toc129427649"/>
      <w:bookmarkStart w:id="46" w:name="_Toc129450177"/>
      <w:bookmarkStart w:id="47" w:name="_Toc129453616"/>
      <w:bookmarkStart w:id="48" w:name="_Toc129427650"/>
      <w:bookmarkStart w:id="49" w:name="_Toc129450178"/>
      <w:bookmarkStart w:id="50" w:name="_Toc129453617"/>
      <w:bookmarkStart w:id="51" w:name="_Toc129427651"/>
      <w:bookmarkStart w:id="52" w:name="_Toc129450179"/>
      <w:bookmarkStart w:id="53" w:name="_Toc129453618"/>
      <w:bookmarkStart w:id="54" w:name="_Toc129427652"/>
      <w:bookmarkStart w:id="55" w:name="_Toc129450180"/>
      <w:bookmarkStart w:id="56" w:name="_Toc129453619"/>
      <w:bookmarkStart w:id="57" w:name="_Toc129427653"/>
      <w:bookmarkStart w:id="58" w:name="_Toc129450181"/>
      <w:bookmarkStart w:id="59" w:name="_Toc129453620"/>
      <w:bookmarkStart w:id="60" w:name="_Toc129427654"/>
      <w:bookmarkStart w:id="61" w:name="_Toc129450182"/>
      <w:bookmarkStart w:id="62" w:name="_Toc129453621"/>
      <w:bookmarkStart w:id="63" w:name="_Toc129427655"/>
      <w:bookmarkStart w:id="64" w:name="_Toc129450183"/>
      <w:bookmarkStart w:id="65" w:name="_Toc129453622"/>
      <w:bookmarkStart w:id="66" w:name="_Toc129427656"/>
      <w:bookmarkStart w:id="67" w:name="_Toc129450184"/>
      <w:bookmarkStart w:id="68" w:name="_Toc129453623"/>
      <w:bookmarkStart w:id="69" w:name="_Toc129427657"/>
      <w:bookmarkStart w:id="70" w:name="_Toc129450185"/>
      <w:bookmarkStart w:id="71" w:name="_Toc129453624"/>
      <w:bookmarkStart w:id="72" w:name="_Toc129427658"/>
      <w:bookmarkStart w:id="73" w:name="_Toc129450186"/>
      <w:bookmarkStart w:id="74" w:name="_Toc129453625"/>
      <w:bookmarkStart w:id="75" w:name="_Toc129427659"/>
      <w:bookmarkStart w:id="76" w:name="_Toc129450187"/>
      <w:bookmarkStart w:id="77" w:name="_Toc129453626"/>
      <w:bookmarkStart w:id="78" w:name="_Toc129427660"/>
      <w:bookmarkStart w:id="79" w:name="_Toc129450188"/>
      <w:bookmarkStart w:id="80" w:name="_Toc129453627"/>
      <w:bookmarkStart w:id="81" w:name="_Toc129427661"/>
      <w:bookmarkStart w:id="82" w:name="_Toc129450189"/>
      <w:bookmarkStart w:id="83" w:name="_Toc129453628"/>
      <w:bookmarkStart w:id="84" w:name="_Toc129427662"/>
      <w:bookmarkStart w:id="85" w:name="_Toc129450190"/>
      <w:bookmarkStart w:id="86" w:name="_Toc129453629"/>
      <w:bookmarkStart w:id="87" w:name="_Toc13659270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5470AD">
        <w:t>Violation alléguée du droit à la défense</w:t>
      </w:r>
      <w:bookmarkEnd w:id="87"/>
      <w:r w:rsidRPr="005470AD">
        <w:t xml:space="preserve"> </w:t>
      </w:r>
    </w:p>
    <w:p w14:paraId="6A2EBE13" w14:textId="77777777" w:rsidR="006546E3" w:rsidRPr="005470AD" w:rsidRDefault="006546E3" w:rsidP="002624E4"/>
    <w:p w14:paraId="58DA72E9" w14:textId="08624DCE" w:rsidR="004C299D" w:rsidRPr="005470AD" w:rsidRDefault="00017175" w:rsidP="002624E4">
      <w:r w:rsidRPr="005470AD">
        <w:t>Le Requérant allègue que l</w:t>
      </w:r>
      <w:r w:rsidR="00A95CF8" w:rsidRPr="005470AD">
        <w:t>’</w:t>
      </w:r>
      <w:r w:rsidRPr="005470AD">
        <w:t>État défendeur a violé son droit à un défenseur de son choix, protégé par l</w:t>
      </w:r>
      <w:r w:rsidR="00A95CF8" w:rsidRPr="005470AD">
        <w:t>’</w:t>
      </w:r>
      <w:r w:rsidRPr="005470AD">
        <w:t xml:space="preserve">article 7(1)(c) de la Charte. </w:t>
      </w:r>
    </w:p>
    <w:p w14:paraId="010F933F" w14:textId="77777777" w:rsidR="00C77D53" w:rsidRPr="005470AD" w:rsidRDefault="00C77D53" w:rsidP="002624E4"/>
    <w:p w14:paraId="291C13BB" w14:textId="45F67368" w:rsidR="004C299D" w:rsidRPr="005470AD" w:rsidRDefault="000253EA" w:rsidP="002624E4">
      <w:r w:rsidRPr="005470AD">
        <w:t>L</w:t>
      </w:r>
      <w:r w:rsidR="00A95CF8" w:rsidRPr="005470AD">
        <w:t>’</w:t>
      </w:r>
      <w:r w:rsidRPr="005470AD">
        <w:t>État défendeur n</w:t>
      </w:r>
      <w:r w:rsidR="00A95CF8" w:rsidRPr="005470AD">
        <w:t>’</w:t>
      </w:r>
      <w:r w:rsidRPr="005470AD">
        <w:t xml:space="preserve">a pas conclu sur ce point. </w:t>
      </w:r>
    </w:p>
    <w:p w14:paraId="2627FAAB" w14:textId="77777777" w:rsidR="00881A9B" w:rsidRPr="005470AD" w:rsidRDefault="00881A9B" w:rsidP="002624E4"/>
    <w:p w14:paraId="3C4242D1" w14:textId="09AF53A1" w:rsidR="000253EA" w:rsidRPr="005470AD" w:rsidRDefault="002431B5" w:rsidP="002624E4">
      <w:r w:rsidRPr="005470AD">
        <w:t>***</w:t>
      </w:r>
    </w:p>
    <w:p w14:paraId="066C4102" w14:textId="77777777" w:rsidR="00EE0A5E" w:rsidRPr="005470AD" w:rsidRDefault="00EE0A5E" w:rsidP="002624E4"/>
    <w:p w14:paraId="02BB62B0" w14:textId="4BB8AE0D" w:rsidR="006546E3" w:rsidRPr="005470AD" w:rsidRDefault="006546E3" w:rsidP="002624E4">
      <w:pPr>
        <w:rPr>
          <w:rFonts w:eastAsia="Calibri"/>
          <w:u w:color="000000"/>
          <w:bdr w:val="nil"/>
        </w:rPr>
      </w:pPr>
      <w:r w:rsidRPr="005470AD">
        <w:rPr>
          <w:u w:color="000000"/>
          <w:bdr w:val="nil"/>
        </w:rPr>
        <w:t>La Cour observe qu</w:t>
      </w:r>
      <w:r w:rsidR="00A95CF8" w:rsidRPr="005470AD">
        <w:rPr>
          <w:u w:color="000000"/>
          <w:bdr w:val="nil"/>
        </w:rPr>
        <w:t>’</w:t>
      </w:r>
      <w:r w:rsidRPr="005470AD">
        <w:rPr>
          <w:u w:color="000000"/>
          <w:bdr w:val="nil"/>
        </w:rPr>
        <w:t>aux termes de l</w:t>
      </w:r>
      <w:r w:rsidR="00A95CF8" w:rsidRPr="005470AD">
        <w:rPr>
          <w:u w:color="000000"/>
          <w:bdr w:val="nil"/>
        </w:rPr>
        <w:t>’</w:t>
      </w:r>
      <w:r w:rsidRPr="005470AD">
        <w:rPr>
          <w:u w:color="000000"/>
          <w:bdr w:val="nil"/>
        </w:rPr>
        <w:t xml:space="preserve">article 7(1)(c) de la Charte, « [t]oute </w:t>
      </w:r>
      <w:r w:rsidRPr="005470AD">
        <w:t>personne</w:t>
      </w:r>
      <w:r w:rsidRPr="005470AD">
        <w:rPr>
          <w:u w:color="000000"/>
          <w:bdr w:val="nil"/>
        </w:rPr>
        <w:t xml:space="preserve"> a droit à ce que sa cause soit entendue. Ce droit comprend </w:t>
      </w:r>
      <w:r w:rsidR="00C91E58" w:rsidRPr="005470AD">
        <w:rPr>
          <w:u w:color="000000"/>
          <w:bdr w:val="nil"/>
        </w:rPr>
        <w:t>[</w:t>
      </w:r>
      <w:r w:rsidRPr="005470AD">
        <w:rPr>
          <w:u w:color="000000"/>
          <w:bdr w:val="nil"/>
        </w:rPr>
        <w:t>…</w:t>
      </w:r>
      <w:r w:rsidR="00C91E58" w:rsidRPr="005470AD">
        <w:rPr>
          <w:u w:color="000000"/>
          <w:bdr w:val="nil"/>
        </w:rPr>
        <w:t>]</w:t>
      </w:r>
      <w:r w:rsidRPr="005470AD">
        <w:rPr>
          <w:u w:color="000000"/>
          <w:bdr w:val="nil"/>
        </w:rPr>
        <w:t xml:space="preserve"> le droit à la défense, y compris celui de se faire assister par un défenseur de son choix ». </w:t>
      </w:r>
    </w:p>
    <w:p w14:paraId="69C59D87" w14:textId="77777777" w:rsidR="006546E3" w:rsidRPr="005470AD" w:rsidRDefault="006546E3" w:rsidP="002624E4">
      <w:pPr>
        <w:rPr>
          <w:rFonts w:eastAsia="Calibri"/>
          <w:u w:color="000000"/>
          <w:bdr w:val="nil"/>
          <w:lang w:eastAsia="en-GB"/>
        </w:rPr>
      </w:pPr>
    </w:p>
    <w:p w14:paraId="54C18921" w14:textId="737DBA38" w:rsidR="006613D6" w:rsidRPr="005470AD" w:rsidRDefault="006546E3" w:rsidP="002624E4">
      <w:pPr>
        <w:rPr>
          <w:rFonts w:eastAsia="Calibri"/>
          <w:u w:color="000000"/>
          <w:bdr w:val="nil"/>
        </w:rPr>
      </w:pPr>
      <w:r w:rsidRPr="005470AD">
        <w:t>La Cour rappelle qu</w:t>
      </w:r>
      <w:r w:rsidR="00A95CF8" w:rsidRPr="005470AD">
        <w:t>’</w:t>
      </w:r>
      <w:r w:rsidRPr="005470AD">
        <w:t>elle a conclu que l</w:t>
      </w:r>
      <w:r w:rsidR="00A95CF8" w:rsidRPr="005470AD">
        <w:t>’</w:t>
      </w:r>
      <w:r w:rsidRPr="005470AD">
        <w:t>article 7(1)(c) de la Charte, lu conjointement avec l</w:t>
      </w:r>
      <w:r w:rsidR="00A95CF8" w:rsidRPr="005470AD">
        <w:t>’</w:t>
      </w:r>
      <w:r w:rsidRPr="005470AD">
        <w:t>article 14(3)(d) du PIDCP garantit à toute personne accusée d</w:t>
      </w:r>
      <w:r w:rsidR="00A95CF8" w:rsidRPr="005470AD">
        <w:t>’</w:t>
      </w:r>
      <w:r w:rsidRPr="005470AD">
        <w:t xml:space="preserve">une infraction pénale pouvant donner lieu à de lourdes peines, le droit de se voir automatiquement commettre un </w:t>
      </w:r>
      <w:r w:rsidRPr="005470AD">
        <w:lastRenderedPageBreak/>
        <w:t>avocat et ce, à titre gracieux, chaque fois que l</w:t>
      </w:r>
      <w:r w:rsidR="00A95CF8" w:rsidRPr="005470AD">
        <w:t>’</w:t>
      </w:r>
      <w:r w:rsidRPr="005470AD">
        <w:t>intérêt de la justice l</w:t>
      </w:r>
      <w:r w:rsidR="00A95CF8" w:rsidRPr="005470AD">
        <w:t>’</w:t>
      </w:r>
      <w:r w:rsidRPr="005470AD">
        <w:t>exige.</w:t>
      </w:r>
      <w:r w:rsidRPr="005470AD">
        <w:rPr>
          <w:rStyle w:val="FootnoteReference"/>
          <w:rFonts w:ascii="Arial" w:hAnsi="Arial" w:cs="Arial"/>
        </w:rPr>
        <w:footnoteReference w:id="33"/>
      </w:r>
      <w:r w:rsidRPr="005470AD">
        <w:t xml:space="preserve"> </w:t>
      </w:r>
      <w:r w:rsidRPr="005470AD">
        <w:rPr>
          <w:u w:color="000000"/>
          <w:bdr w:val="nil"/>
        </w:rPr>
        <w:t>La Cour a également conclu que l</w:t>
      </w:r>
      <w:r w:rsidR="00A95CF8" w:rsidRPr="005470AD">
        <w:rPr>
          <w:u w:color="000000"/>
          <w:bdr w:val="nil"/>
        </w:rPr>
        <w:t>’</w:t>
      </w:r>
      <w:r w:rsidRPr="005470AD">
        <w:rPr>
          <w:u w:color="000000"/>
          <w:bdr w:val="nil"/>
        </w:rPr>
        <w:t>obligation de fournir une assistance judiciaire gratuite aux personnes accusées de crimes graves, passibles d</w:t>
      </w:r>
      <w:r w:rsidR="00A95CF8" w:rsidRPr="005470AD">
        <w:rPr>
          <w:u w:color="000000"/>
          <w:bdr w:val="nil"/>
        </w:rPr>
        <w:t>’</w:t>
      </w:r>
      <w:r w:rsidRPr="005470AD">
        <w:rPr>
          <w:u w:color="000000"/>
          <w:bdr w:val="nil"/>
        </w:rPr>
        <w:t>une lourde peine, s</w:t>
      </w:r>
      <w:r w:rsidR="00A95CF8" w:rsidRPr="005470AD">
        <w:rPr>
          <w:u w:color="000000"/>
          <w:bdr w:val="nil"/>
        </w:rPr>
        <w:t>’</w:t>
      </w:r>
      <w:r w:rsidRPr="005470AD">
        <w:rPr>
          <w:u w:color="000000"/>
          <w:bdr w:val="nil"/>
        </w:rPr>
        <w:t>applique tant au stade du procès qu</w:t>
      </w:r>
      <w:r w:rsidR="00A95CF8" w:rsidRPr="005470AD">
        <w:rPr>
          <w:u w:color="000000"/>
          <w:bdr w:val="nil"/>
        </w:rPr>
        <w:t>’</w:t>
      </w:r>
      <w:r w:rsidRPr="005470AD">
        <w:rPr>
          <w:u w:color="000000"/>
          <w:bdr w:val="nil"/>
        </w:rPr>
        <w:t>à celui de l</w:t>
      </w:r>
      <w:r w:rsidR="00A95CF8" w:rsidRPr="005470AD">
        <w:rPr>
          <w:u w:color="000000"/>
          <w:bdr w:val="nil"/>
        </w:rPr>
        <w:t>’</w:t>
      </w:r>
      <w:r w:rsidRPr="005470AD">
        <w:rPr>
          <w:u w:color="000000"/>
          <w:bdr w:val="nil"/>
        </w:rPr>
        <w:t>appel.</w:t>
      </w:r>
      <w:r w:rsidR="006613D6" w:rsidRPr="005470AD">
        <w:rPr>
          <w:rFonts w:eastAsia="Calibri"/>
          <w:u w:color="000000"/>
          <w:bdr w:val="nil"/>
          <w:vertAlign w:val="superscript"/>
          <w:lang w:eastAsia="en-GB"/>
        </w:rPr>
        <w:footnoteReference w:id="34"/>
      </w:r>
    </w:p>
    <w:p w14:paraId="7E17B8FE" w14:textId="77777777" w:rsidR="006613D6" w:rsidRPr="005470AD" w:rsidRDefault="006613D6" w:rsidP="002624E4">
      <w:pPr>
        <w:rPr>
          <w:rFonts w:eastAsia="Calibri"/>
          <w:u w:color="000000"/>
          <w:bdr w:val="nil"/>
          <w:lang w:eastAsia="en-GB"/>
        </w:rPr>
      </w:pPr>
    </w:p>
    <w:p w14:paraId="161B21F8" w14:textId="654370D2" w:rsidR="00A673F4" w:rsidRPr="005470AD" w:rsidRDefault="00A673F4" w:rsidP="002624E4">
      <w:r w:rsidRPr="005470AD">
        <w:t>Bien que le Requérant n</w:t>
      </w:r>
      <w:r w:rsidR="00A95CF8" w:rsidRPr="005470AD">
        <w:t>’</w:t>
      </w:r>
      <w:r w:rsidRPr="005470AD">
        <w:t>ait pas étayé cette affirmation, la Cour relève qu</w:t>
      </w:r>
      <w:r w:rsidR="00A95CF8" w:rsidRPr="005470AD">
        <w:t>’</w:t>
      </w:r>
      <w:r w:rsidRPr="005470AD">
        <w:t>il résulte du dossier que le Requérant était représenté par M. Katabalwa et M. Rweyemamu devant la Haute Cour, et par M. S. Kahangwa</w:t>
      </w:r>
      <w:r w:rsidR="00154F16" w:rsidRPr="005470AD">
        <w:rPr>
          <w:rStyle w:val="FootnoteReference"/>
          <w:rFonts w:ascii="Arial" w:hAnsi="Arial"/>
        </w:rPr>
        <w:footnoteReference w:id="35"/>
      </w:r>
      <w:r w:rsidRPr="005470AD">
        <w:t xml:space="preserve"> devant la Cour d</w:t>
      </w:r>
      <w:r w:rsidR="00A95CF8" w:rsidRPr="005470AD">
        <w:t>’</w:t>
      </w:r>
      <w:r w:rsidRPr="005470AD">
        <w:t xml:space="preserve">appel. La Cour relève également que </w:t>
      </w:r>
      <w:r w:rsidR="00C91E58" w:rsidRPr="005470AD">
        <w:t>l</w:t>
      </w:r>
      <w:r w:rsidR="00F14196" w:rsidRPr="005470AD">
        <w:t>e</w:t>
      </w:r>
      <w:r w:rsidR="00C91E58" w:rsidRPr="005470AD">
        <w:t xml:space="preserve"> Requérant a bénéficié de l</w:t>
      </w:r>
      <w:r w:rsidR="00A95CF8" w:rsidRPr="005470AD">
        <w:t>’</w:t>
      </w:r>
      <w:r w:rsidR="00C91E58" w:rsidRPr="005470AD">
        <w:t>assistance de</w:t>
      </w:r>
      <w:r w:rsidRPr="005470AD">
        <w:t xml:space="preserve"> </w:t>
      </w:r>
      <w:r w:rsidR="00C91E58" w:rsidRPr="005470AD">
        <w:t xml:space="preserve">ces </w:t>
      </w:r>
      <w:r w:rsidRPr="005470AD">
        <w:t>trois (3) conseils aux frais de l</w:t>
      </w:r>
      <w:r w:rsidR="00A95CF8" w:rsidRPr="005470AD">
        <w:t>’</w:t>
      </w:r>
      <w:r w:rsidRPr="005470AD">
        <w:t>État défendeur. En outre, la Cour observe qu</w:t>
      </w:r>
      <w:r w:rsidR="00A95CF8" w:rsidRPr="005470AD">
        <w:t>’</w:t>
      </w:r>
      <w:r w:rsidRPr="005470AD">
        <w:t>aucun élément du dossier n</w:t>
      </w:r>
      <w:r w:rsidR="00A95CF8" w:rsidRPr="005470AD">
        <w:t>’</w:t>
      </w:r>
      <w:r w:rsidRPr="005470AD">
        <w:t>indique qu</w:t>
      </w:r>
      <w:r w:rsidR="00A95CF8" w:rsidRPr="005470AD">
        <w:t>’</w:t>
      </w:r>
      <w:r w:rsidRPr="005470AD">
        <w:t>une quelconque exception ait été soulevée devant les juridictions nationales quant à la question de savoir si ces conseils ont exercé leurs fonctions au détriment du droit à la défense du Requérant</w:t>
      </w:r>
      <w:r w:rsidR="00C754B7" w:rsidRPr="005470AD">
        <w:t>.</w:t>
      </w:r>
      <w:r w:rsidR="00B829E2" w:rsidRPr="005470AD">
        <w:rPr>
          <w:rStyle w:val="FootnoteReference"/>
          <w:rFonts w:ascii="Arial" w:hAnsi="Arial" w:cs="Arial"/>
        </w:rPr>
        <w:footnoteReference w:id="36"/>
      </w:r>
      <w:r w:rsidRPr="005470AD">
        <w:t xml:space="preserve"> </w:t>
      </w:r>
    </w:p>
    <w:p w14:paraId="5BC8B3FE" w14:textId="072858A4" w:rsidR="004C299D" w:rsidRPr="005470AD" w:rsidRDefault="004C299D" w:rsidP="002624E4"/>
    <w:p w14:paraId="6BC2EAC5" w14:textId="3259C9D3" w:rsidR="004C299D" w:rsidRPr="005470AD" w:rsidRDefault="00A673F4" w:rsidP="002624E4">
      <w:r w:rsidRPr="005470AD">
        <w:t>La Cour en conclut que l</w:t>
      </w:r>
      <w:r w:rsidR="00A95CF8" w:rsidRPr="005470AD">
        <w:t>’</w:t>
      </w:r>
      <w:r w:rsidRPr="005470AD">
        <w:t>État défendeur n</w:t>
      </w:r>
      <w:r w:rsidR="00A95CF8" w:rsidRPr="005470AD">
        <w:t>’</w:t>
      </w:r>
      <w:r w:rsidRPr="005470AD">
        <w:t>a pas violé l</w:t>
      </w:r>
      <w:r w:rsidR="00A95CF8" w:rsidRPr="005470AD">
        <w:t>’</w:t>
      </w:r>
      <w:r w:rsidRPr="005470AD">
        <w:t>article 7(1)(</w:t>
      </w:r>
      <w:r w:rsidR="009D5D37" w:rsidRPr="005470AD">
        <w:t>c</w:t>
      </w:r>
      <w:r w:rsidRPr="005470AD">
        <w:t>) de la Charte</w:t>
      </w:r>
      <w:r w:rsidR="00C91E58" w:rsidRPr="005470AD">
        <w:t>,</w:t>
      </w:r>
      <w:r w:rsidRPr="005470AD">
        <w:t xml:space="preserve"> en l</w:t>
      </w:r>
      <w:r w:rsidR="00A95CF8" w:rsidRPr="005470AD">
        <w:t>’</w:t>
      </w:r>
      <w:r w:rsidRPr="005470AD">
        <w:t xml:space="preserve">espèce. </w:t>
      </w:r>
    </w:p>
    <w:p w14:paraId="39A0672A" w14:textId="77777777" w:rsidR="0013295E" w:rsidRPr="005470AD" w:rsidRDefault="0013295E" w:rsidP="002624E4"/>
    <w:p w14:paraId="4E38A29A" w14:textId="35BFB76B" w:rsidR="00B4553C" w:rsidRPr="005470AD" w:rsidRDefault="00B4553C" w:rsidP="002624E4">
      <w:pPr>
        <w:rPr>
          <w:bCs/>
        </w:rPr>
      </w:pPr>
      <w:r w:rsidRPr="005470AD">
        <w:rPr>
          <w:bCs/>
        </w:rPr>
        <w:t>Ayant conclu que l</w:t>
      </w:r>
      <w:r w:rsidR="00A95CF8" w:rsidRPr="005470AD">
        <w:rPr>
          <w:bCs/>
        </w:rPr>
        <w:t>’</w:t>
      </w:r>
      <w:r w:rsidRPr="005470AD">
        <w:rPr>
          <w:bCs/>
        </w:rPr>
        <w:t>État défende</w:t>
      </w:r>
      <w:r w:rsidR="008324F7" w:rsidRPr="005470AD">
        <w:rPr>
          <w:bCs/>
        </w:rPr>
        <w:t>ur n</w:t>
      </w:r>
      <w:r w:rsidR="00A95CF8" w:rsidRPr="005470AD">
        <w:rPr>
          <w:bCs/>
        </w:rPr>
        <w:t>’</w:t>
      </w:r>
      <w:r w:rsidR="008324F7" w:rsidRPr="005470AD">
        <w:rPr>
          <w:bCs/>
        </w:rPr>
        <w:t>a pas violé les droits du R</w:t>
      </w:r>
      <w:r w:rsidRPr="005470AD">
        <w:rPr>
          <w:bCs/>
        </w:rPr>
        <w:t>equérant</w:t>
      </w:r>
      <w:r w:rsidR="00CD2069" w:rsidRPr="005470AD">
        <w:rPr>
          <w:bCs/>
        </w:rPr>
        <w:t xml:space="preserve">. La Cour note, au demeurant que le Requérant a été condamné à la peine de mort obligatoire. </w:t>
      </w:r>
      <w:r w:rsidRPr="005470AD">
        <w:rPr>
          <w:bCs/>
        </w:rPr>
        <w:t xml:space="preserve"> </w:t>
      </w:r>
      <w:r w:rsidR="00CD2069" w:rsidRPr="005470AD">
        <w:rPr>
          <w:bCs/>
        </w:rPr>
        <w:t xml:space="preserve">En pareille occurrence, </w:t>
      </w:r>
      <w:r w:rsidRPr="005470AD">
        <w:rPr>
          <w:bCs/>
        </w:rPr>
        <w:t xml:space="preserve">la </w:t>
      </w:r>
      <w:r w:rsidRPr="005470AD">
        <w:t>Cour</w:t>
      </w:r>
      <w:r w:rsidRPr="005470AD">
        <w:rPr>
          <w:bCs/>
        </w:rPr>
        <w:t xml:space="preserve"> réitère </w:t>
      </w:r>
      <w:r w:rsidR="00CD2069" w:rsidRPr="005470AD">
        <w:rPr>
          <w:bCs/>
        </w:rPr>
        <w:t>les termes de sa jurisprudence constante</w:t>
      </w:r>
      <w:r w:rsidR="00E76F07" w:rsidRPr="005470AD">
        <w:rPr>
          <w:bCs/>
        </w:rPr>
        <w:t>,</w:t>
      </w:r>
      <w:r w:rsidR="00FF1449" w:rsidRPr="005470AD">
        <w:rPr>
          <w:rStyle w:val="FootnoteReference"/>
          <w:rFonts w:ascii="Arial" w:hAnsi="Arial" w:cs="Arial"/>
          <w:bCs/>
        </w:rPr>
        <w:footnoteReference w:id="37"/>
      </w:r>
      <w:r w:rsidRPr="005470AD">
        <w:rPr>
          <w:bCs/>
        </w:rPr>
        <w:t xml:space="preserve"> à savoir que la peine de mort obligatoire constitue une violation du droit à la vie, parmi d</w:t>
      </w:r>
      <w:r w:rsidR="00A95CF8" w:rsidRPr="005470AD">
        <w:rPr>
          <w:bCs/>
        </w:rPr>
        <w:t>’</w:t>
      </w:r>
      <w:r w:rsidRPr="005470AD">
        <w:rPr>
          <w:bCs/>
        </w:rPr>
        <w:t>autres droits énoncés dans la Charte, et qu</w:t>
      </w:r>
      <w:r w:rsidR="00A95CF8" w:rsidRPr="005470AD">
        <w:rPr>
          <w:bCs/>
        </w:rPr>
        <w:t>’</w:t>
      </w:r>
      <w:r w:rsidRPr="005470AD">
        <w:rPr>
          <w:bCs/>
        </w:rPr>
        <w:t xml:space="preserve">elle devrait donc être </w:t>
      </w:r>
      <w:r w:rsidR="00E14F27" w:rsidRPr="005470AD">
        <w:rPr>
          <w:bCs/>
        </w:rPr>
        <w:t>abrogée</w:t>
      </w:r>
      <w:r w:rsidRPr="005470AD">
        <w:rPr>
          <w:bCs/>
        </w:rPr>
        <w:t xml:space="preserve"> </w:t>
      </w:r>
      <w:r w:rsidR="00E14F27" w:rsidRPr="005470AD">
        <w:rPr>
          <w:bCs/>
        </w:rPr>
        <w:t>du code pénal</w:t>
      </w:r>
      <w:r w:rsidRPr="005470AD">
        <w:rPr>
          <w:bCs/>
        </w:rPr>
        <w:t xml:space="preserve"> de l</w:t>
      </w:r>
      <w:r w:rsidR="00A95CF8" w:rsidRPr="005470AD">
        <w:rPr>
          <w:bCs/>
        </w:rPr>
        <w:t>’</w:t>
      </w:r>
      <w:r w:rsidRPr="005470AD">
        <w:rPr>
          <w:bCs/>
        </w:rPr>
        <w:t>État défendeur.</w:t>
      </w:r>
    </w:p>
    <w:p w14:paraId="3551BD8E" w14:textId="77777777" w:rsidR="002431B5" w:rsidRPr="005470AD" w:rsidRDefault="002431B5" w:rsidP="002624E4"/>
    <w:p w14:paraId="4D908811" w14:textId="77777777" w:rsidR="00C77D53" w:rsidRPr="005470AD" w:rsidRDefault="00C77D53" w:rsidP="002624E4"/>
    <w:p w14:paraId="3C6EF1DB" w14:textId="6BB1EBE7" w:rsidR="006A2484" w:rsidRPr="005470AD" w:rsidRDefault="006A2484" w:rsidP="002624E4">
      <w:bookmarkStart w:id="88" w:name="_Toc136592709"/>
      <w:r w:rsidRPr="005470AD">
        <w:t>SUR LES RÉPARATIONS</w:t>
      </w:r>
      <w:bookmarkEnd w:id="88"/>
      <w:r w:rsidRPr="005470AD">
        <w:t xml:space="preserve"> </w:t>
      </w:r>
    </w:p>
    <w:p w14:paraId="23B3FFBF" w14:textId="423041D6" w:rsidR="006A2484" w:rsidRPr="005470AD" w:rsidRDefault="006A2484" w:rsidP="002624E4"/>
    <w:p w14:paraId="05B5B5E2" w14:textId="41BBC73E" w:rsidR="0077408F" w:rsidRPr="005470AD" w:rsidRDefault="0077408F" w:rsidP="002624E4">
      <w:r w:rsidRPr="005470AD">
        <w:t>La Cour relève qu</w:t>
      </w:r>
      <w:r w:rsidR="00A95CF8" w:rsidRPr="005470AD">
        <w:t>’</w:t>
      </w:r>
      <w:r w:rsidRPr="005470AD">
        <w:t>aux termes de l</w:t>
      </w:r>
      <w:r w:rsidR="00A95CF8" w:rsidRPr="005470AD">
        <w:t>’</w:t>
      </w:r>
      <w:r w:rsidRPr="005470AD">
        <w:t>article 27(1) du Protocole, « [l]orsqu</w:t>
      </w:r>
      <w:r w:rsidR="00A95CF8" w:rsidRPr="005470AD">
        <w:t>’</w:t>
      </w:r>
      <w:r w:rsidRPr="005470AD">
        <w:t>elle estime qu</w:t>
      </w:r>
      <w:r w:rsidR="00A95CF8" w:rsidRPr="005470AD">
        <w:t>’</w:t>
      </w:r>
      <w:r w:rsidRPr="005470AD">
        <w:t>il y a eu violation d</w:t>
      </w:r>
      <w:r w:rsidR="00A95CF8" w:rsidRPr="005470AD">
        <w:t>’</w:t>
      </w:r>
      <w:r w:rsidRPr="005470AD">
        <w:t>un droit de l</w:t>
      </w:r>
      <w:r w:rsidR="00A95CF8" w:rsidRPr="005470AD">
        <w:t>’</w:t>
      </w:r>
      <w:r w:rsidRPr="005470AD">
        <w:t>homme ou des peuples, la Cour ordonne toutes les mesures appropriées afin de remédier à la situation, y compris le paiement d</w:t>
      </w:r>
      <w:r w:rsidR="00A95CF8" w:rsidRPr="005470AD">
        <w:t>’</w:t>
      </w:r>
      <w:r w:rsidRPr="005470AD">
        <w:t>une juste compensation ou l</w:t>
      </w:r>
      <w:r w:rsidR="00A95CF8" w:rsidRPr="005470AD">
        <w:t>’</w:t>
      </w:r>
      <w:r w:rsidRPr="005470AD">
        <w:t>octroi d</w:t>
      </w:r>
      <w:r w:rsidR="00A95CF8" w:rsidRPr="005470AD">
        <w:t>’</w:t>
      </w:r>
      <w:r w:rsidRPr="005470AD">
        <w:t>une réparation ».</w:t>
      </w:r>
    </w:p>
    <w:p w14:paraId="117E0DD6" w14:textId="77777777" w:rsidR="0077408F" w:rsidRPr="005470AD" w:rsidRDefault="0077408F" w:rsidP="002624E4"/>
    <w:p w14:paraId="4CD10DFA" w14:textId="160C7692" w:rsidR="008A4538" w:rsidRPr="005470AD" w:rsidRDefault="008A4538" w:rsidP="002624E4">
      <w:r w:rsidRPr="005470AD">
        <w:t xml:space="preserve">Le Requérant </w:t>
      </w:r>
      <w:r w:rsidR="00780734" w:rsidRPr="005470AD">
        <w:t>demande à la Cour d</w:t>
      </w:r>
      <w:r w:rsidR="00A95CF8" w:rsidRPr="005470AD">
        <w:t>’</w:t>
      </w:r>
      <w:r w:rsidR="00780734" w:rsidRPr="005470AD">
        <w:t>ordonner</w:t>
      </w:r>
      <w:r w:rsidR="009F6469" w:rsidRPr="005470AD">
        <w:t xml:space="preserve"> à l</w:t>
      </w:r>
      <w:r w:rsidR="00A95CF8" w:rsidRPr="005470AD">
        <w:t>’</w:t>
      </w:r>
      <w:r w:rsidR="009F6469" w:rsidRPr="005470AD">
        <w:t>État défendeur de lui verser un montant calculé sur la base du « quantum national des revenus annuels d</w:t>
      </w:r>
      <w:r w:rsidR="00A95CF8" w:rsidRPr="005470AD">
        <w:t>’</w:t>
      </w:r>
      <w:r w:rsidR="009F6469" w:rsidRPr="005470AD">
        <w:t>un citoyen », à titre de réparation du préjudice subi pendant la période de son incarcération. Il demande également à la Cour d</w:t>
      </w:r>
      <w:r w:rsidR="00A95CF8" w:rsidRPr="005470AD">
        <w:t>’</w:t>
      </w:r>
      <w:r w:rsidR="009F6469" w:rsidRPr="005470AD">
        <w:t>ordonner son acquittement en guise de réparation du préjudice subi du fait que l</w:t>
      </w:r>
      <w:r w:rsidR="00A95CF8" w:rsidRPr="005470AD">
        <w:t>’</w:t>
      </w:r>
      <w:r w:rsidR="009F6469" w:rsidRPr="005470AD">
        <w:t>État défendeur ne lui a pas fourni un défenseur de son choix.</w:t>
      </w:r>
    </w:p>
    <w:p w14:paraId="381292EE" w14:textId="77777777" w:rsidR="003B62D2" w:rsidRPr="005470AD" w:rsidRDefault="003B62D2" w:rsidP="002624E4"/>
    <w:p w14:paraId="3B9B7905" w14:textId="0AA98BD5" w:rsidR="003B62D2" w:rsidRPr="005470AD" w:rsidRDefault="003B62D2" w:rsidP="002624E4">
      <w:r w:rsidRPr="005470AD">
        <w:t>L</w:t>
      </w:r>
      <w:r w:rsidR="00A95CF8" w:rsidRPr="005470AD">
        <w:t>’</w:t>
      </w:r>
      <w:r w:rsidRPr="005470AD">
        <w:t>État défendeur n</w:t>
      </w:r>
      <w:r w:rsidR="00A95CF8" w:rsidRPr="005470AD">
        <w:t>’</w:t>
      </w:r>
      <w:r w:rsidRPr="005470AD">
        <w:t xml:space="preserve">a pas </w:t>
      </w:r>
      <w:r w:rsidR="008E4132" w:rsidRPr="005470AD">
        <w:t>conclu sur les</w:t>
      </w:r>
      <w:r w:rsidRPr="005470AD">
        <w:t xml:space="preserve"> observations du Requérant sur les réparations même après que celles-ci lui ont été communiquées le 20 août 2018, et malgré les prorogations de </w:t>
      </w:r>
      <w:r w:rsidRPr="005470AD">
        <w:lastRenderedPageBreak/>
        <w:t>délai de trente (30) jours qui lui ont été accordées le</w:t>
      </w:r>
      <w:r w:rsidR="00C91E58" w:rsidRPr="005470AD">
        <w:t>s</w:t>
      </w:r>
      <w:r w:rsidRPr="005470AD">
        <w:t xml:space="preserve"> 27 septembre 2018, 20 décembre 2018 et 15 février 2019. </w:t>
      </w:r>
    </w:p>
    <w:p w14:paraId="44F5C771" w14:textId="77777777" w:rsidR="0077408F" w:rsidRPr="005470AD" w:rsidRDefault="0077408F" w:rsidP="002624E4"/>
    <w:p w14:paraId="13285C35" w14:textId="1E74D6AD" w:rsidR="0077408F" w:rsidRPr="005470AD" w:rsidRDefault="0077408F" w:rsidP="002624E4">
      <w:pPr>
        <w:rPr>
          <w:color w:val="000000" w:themeColor="text1"/>
        </w:rPr>
      </w:pPr>
      <w:r w:rsidRPr="005470AD">
        <w:rPr>
          <w:color w:val="000000" w:themeColor="text1"/>
        </w:rPr>
        <w:t xml:space="preserve">En </w:t>
      </w:r>
      <w:r w:rsidRPr="005470AD">
        <w:t>l</w:t>
      </w:r>
      <w:r w:rsidR="00A95CF8" w:rsidRPr="005470AD">
        <w:t>’</w:t>
      </w:r>
      <w:r w:rsidRPr="005470AD">
        <w:t>espèce</w:t>
      </w:r>
      <w:r w:rsidRPr="005470AD">
        <w:rPr>
          <w:color w:val="000000" w:themeColor="text1"/>
        </w:rPr>
        <w:t xml:space="preserve">, </w:t>
      </w:r>
      <w:r w:rsidRPr="005470AD">
        <w:t>la</w:t>
      </w:r>
      <w:r w:rsidRPr="005470AD">
        <w:rPr>
          <w:color w:val="000000" w:themeColor="text1"/>
        </w:rPr>
        <w:t xml:space="preserve"> Cour a établi que l</w:t>
      </w:r>
      <w:r w:rsidR="00A95CF8" w:rsidRPr="005470AD">
        <w:rPr>
          <w:color w:val="000000" w:themeColor="text1"/>
        </w:rPr>
        <w:t>’</w:t>
      </w:r>
      <w:r w:rsidRPr="005470AD">
        <w:rPr>
          <w:color w:val="000000" w:themeColor="text1"/>
        </w:rPr>
        <w:t>État défendeur n</w:t>
      </w:r>
      <w:r w:rsidR="00A95CF8" w:rsidRPr="005470AD">
        <w:rPr>
          <w:color w:val="000000" w:themeColor="text1"/>
        </w:rPr>
        <w:t>’</w:t>
      </w:r>
      <w:r w:rsidRPr="005470AD">
        <w:rPr>
          <w:color w:val="000000" w:themeColor="text1"/>
        </w:rPr>
        <w:t>a violé aucun des droits du Requérant tel qu</w:t>
      </w:r>
      <w:r w:rsidR="00A95CF8" w:rsidRPr="005470AD">
        <w:rPr>
          <w:color w:val="000000" w:themeColor="text1"/>
        </w:rPr>
        <w:t>’</w:t>
      </w:r>
      <w:r w:rsidRPr="005470AD">
        <w:rPr>
          <w:color w:val="000000" w:themeColor="text1"/>
        </w:rPr>
        <w:t xml:space="preserve">allégué. </w:t>
      </w:r>
    </w:p>
    <w:p w14:paraId="0E6619A6" w14:textId="77777777" w:rsidR="0077408F" w:rsidRPr="005470AD" w:rsidRDefault="0077408F" w:rsidP="002624E4">
      <w:pPr>
        <w:rPr>
          <w:color w:val="000000" w:themeColor="text1"/>
        </w:rPr>
      </w:pPr>
    </w:p>
    <w:p w14:paraId="7DF2B836" w14:textId="4751B43D" w:rsidR="0077408F" w:rsidRPr="005470AD" w:rsidRDefault="0077408F" w:rsidP="002624E4">
      <w:pPr>
        <w:rPr>
          <w:color w:val="000000" w:themeColor="text1"/>
        </w:rPr>
      </w:pPr>
      <w:r w:rsidRPr="005470AD">
        <w:rPr>
          <w:color w:val="000000" w:themeColor="text1"/>
        </w:rPr>
        <w:t xml:space="preserve">Au vu de ce qui précède, les demandes de réparations du Requérant sont </w:t>
      </w:r>
      <w:r w:rsidR="008D4B05" w:rsidRPr="005470AD">
        <w:t>rejetées</w:t>
      </w:r>
      <w:r w:rsidRPr="005470AD">
        <w:rPr>
          <w:color w:val="000000" w:themeColor="text1"/>
        </w:rPr>
        <w:t xml:space="preserve">. </w:t>
      </w:r>
    </w:p>
    <w:p w14:paraId="54CDD464" w14:textId="77777777" w:rsidR="009D5D37" w:rsidRPr="005470AD" w:rsidRDefault="009D5D37" w:rsidP="002624E4">
      <w:pPr>
        <w:rPr>
          <w:color w:val="000000" w:themeColor="text1"/>
        </w:rPr>
      </w:pPr>
    </w:p>
    <w:p w14:paraId="247C6F7D" w14:textId="77777777" w:rsidR="009D5D37" w:rsidRPr="005470AD" w:rsidRDefault="009D5D37" w:rsidP="002624E4">
      <w:pPr>
        <w:rPr>
          <w:color w:val="000000" w:themeColor="text1"/>
        </w:rPr>
      </w:pPr>
    </w:p>
    <w:p w14:paraId="15D38600" w14:textId="6D9FE36E" w:rsidR="00943AB2" w:rsidRPr="005470AD" w:rsidRDefault="00943AB2" w:rsidP="002624E4">
      <w:bookmarkStart w:id="89" w:name="_Toc136592710"/>
      <w:r w:rsidRPr="005470AD">
        <w:t>SUR LA DEMANDE DE MESURES PROVISOIRES</w:t>
      </w:r>
      <w:bookmarkEnd w:id="89"/>
      <w:r w:rsidRPr="005470AD">
        <w:t xml:space="preserve"> </w:t>
      </w:r>
    </w:p>
    <w:p w14:paraId="29E4E959" w14:textId="77777777" w:rsidR="004F6E8C" w:rsidRPr="005470AD" w:rsidRDefault="004F6E8C" w:rsidP="002624E4"/>
    <w:p w14:paraId="161D8323" w14:textId="4786E345" w:rsidR="00943AB2" w:rsidRPr="005470AD" w:rsidRDefault="004F6E8C" w:rsidP="002624E4">
      <w:r w:rsidRPr="005470AD">
        <w:t xml:space="preserve">La Cour rappelle que le </w:t>
      </w:r>
      <w:r w:rsidRPr="005470AD">
        <w:rPr>
          <w:color w:val="000000" w:themeColor="text1"/>
        </w:rPr>
        <w:t>Requérant</w:t>
      </w:r>
      <w:r w:rsidRPr="005470AD">
        <w:t xml:space="preserve"> a </w:t>
      </w:r>
      <w:r w:rsidR="0011152A" w:rsidRPr="005470AD">
        <w:t xml:space="preserve">sollicité </w:t>
      </w:r>
      <w:r w:rsidRPr="005470AD">
        <w:t>des mesures provisoires</w:t>
      </w:r>
      <w:r w:rsidR="00B949DA" w:rsidRPr="005470AD">
        <w:t>,</w:t>
      </w:r>
      <w:r w:rsidRPr="005470AD">
        <w:t xml:space="preserve"> </w:t>
      </w:r>
      <w:r w:rsidR="00B949DA" w:rsidRPr="005470AD">
        <w:t>« </w:t>
      </w:r>
      <w:r w:rsidRPr="005470AD">
        <w:t xml:space="preserve">compte </w:t>
      </w:r>
      <w:r w:rsidR="00B949DA" w:rsidRPr="005470AD">
        <w:t>tenu de l</w:t>
      </w:r>
      <w:r w:rsidR="00A95CF8" w:rsidRPr="005470AD">
        <w:t>’</w:t>
      </w:r>
      <w:r w:rsidR="00B949DA" w:rsidRPr="005470AD">
        <w:t>extrême gravité</w:t>
      </w:r>
      <w:r w:rsidR="001A3456" w:rsidRPr="005470AD">
        <w:t xml:space="preserve"> de sa situation, étant un détenu </w:t>
      </w:r>
      <w:r w:rsidR="00B949DA" w:rsidRPr="005470AD">
        <w:t>dans le couloir de la mort ».</w:t>
      </w:r>
      <w:r w:rsidRPr="005470AD">
        <w:t xml:space="preserve"> L</w:t>
      </w:r>
      <w:r w:rsidR="00A95CF8" w:rsidRPr="005470AD">
        <w:t>’</w:t>
      </w:r>
      <w:r w:rsidRPr="005470AD">
        <w:t>État défendeur n</w:t>
      </w:r>
      <w:r w:rsidR="00A95CF8" w:rsidRPr="005470AD">
        <w:t>’</w:t>
      </w:r>
      <w:r w:rsidRPr="005470AD">
        <w:t xml:space="preserve">a pas conclu sur </w:t>
      </w:r>
      <w:r w:rsidR="0011152A" w:rsidRPr="005470AD">
        <w:t>ce point</w:t>
      </w:r>
      <w:r w:rsidRPr="005470AD">
        <w:t xml:space="preserve">. </w:t>
      </w:r>
    </w:p>
    <w:p w14:paraId="2BB1B928" w14:textId="77777777" w:rsidR="00B138E6" w:rsidRPr="005470AD" w:rsidRDefault="00B138E6" w:rsidP="002624E4"/>
    <w:p w14:paraId="32F991A0" w14:textId="3B92E58D" w:rsidR="004F6E8C" w:rsidRPr="005470AD" w:rsidRDefault="002B50CC" w:rsidP="002624E4">
      <w:r w:rsidRPr="005470AD">
        <w:t xml:space="preserve">La Cour estime que la présente décision sur le fond rend la demande de mesures provisoires sans objet. </w:t>
      </w:r>
      <w:r w:rsidR="00C67489" w:rsidRPr="005470AD">
        <w:t xml:space="preserve">Il </w:t>
      </w:r>
      <w:r w:rsidRPr="005470AD">
        <w:t>est</w:t>
      </w:r>
      <w:r w:rsidR="00C67489" w:rsidRPr="005470AD">
        <w:t>, par conséquent, superfétatoire</w:t>
      </w:r>
      <w:r w:rsidRPr="005470AD">
        <w:t xml:space="preserve"> de statuer sur la</w:t>
      </w:r>
      <w:r w:rsidR="00C67489" w:rsidRPr="005470AD">
        <w:t>dite</w:t>
      </w:r>
      <w:r w:rsidRPr="005470AD">
        <w:t xml:space="preserve"> demande.</w:t>
      </w:r>
    </w:p>
    <w:p w14:paraId="05272F4B" w14:textId="77777777" w:rsidR="004F6E8C" w:rsidRPr="005470AD" w:rsidRDefault="004F6E8C" w:rsidP="002624E4"/>
    <w:p w14:paraId="7403814D" w14:textId="77777777" w:rsidR="00EE0A5E" w:rsidRPr="005470AD" w:rsidRDefault="00EE0A5E" w:rsidP="002624E4"/>
    <w:p w14:paraId="2D240C3B" w14:textId="00179FD9" w:rsidR="00B14B75" w:rsidRPr="005470AD" w:rsidRDefault="00B14B75" w:rsidP="002624E4">
      <w:bookmarkStart w:id="90" w:name="_Toc136592711"/>
      <w:r w:rsidRPr="005470AD">
        <w:t>SUR LES FRAIS DE PROCÉDURE</w:t>
      </w:r>
      <w:bookmarkEnd w:id="90"/>
    </w:p>
    <w:p w14:paraId="5AF60135" w14:textId="77777777" w:rsidR="00B14B75" w:rsidRPr="005470AD" w:rsidRDefault="00B14B75" w:rsidP="002624E4"/>
    <w:p w14:paraId="631599A8" w14:textId="7D8C1459" w:rsidR="00803E72" w:rsidRPr="005470AD" w:rsidRDefault="00803E72" w:rsidP="002624E4">
      <w:r w:rsidRPr="005470AD">
        <w:t>Le Requérant n</w:t>
      </w:r>
      <w:r w:rsidR="00A95CF8" w:rsidRPr="005470AD">
        <w:t>’</w:t>
      </w:r>
      <w:r w:rsidRPr="005470AD">
        <w:t xml:space="preserve">a formulé aucune demande spécifique relativement aux frais de procédure. </w:t>
      </w:r>
    </w:p>
    <w:p w14:paraId="19CA0C2C" w14:textId="77777777" w:rsidR="00803E72" w:rsidRPr="005470AD" w:rsidRDefault="00803E72" w:rsidP="002624E4"/>
    <w:p w14:paraId="7D0DBD52" w14:textId="46CBC4CB" w:rsidR="00B14B75" w:rsidRPr="005470AD" w:rsidRDefault="000642C9" w:rsidP="002624E4">
      <w:r w:rsidRPr="005470AD">
        <w:t>L</w:t>
      </w:r>
      <w:r w:rsidR="00A95CF8" w:rsidRPr="005470AD">
        <w:t>’</w:t>
      </w:r>
      <w:r w:rsidRPr="005470AD">
        <w:t xml:space="preserve">État défendeur demande à la Cour de mettre les frais de procédure à la charge du Requérant. </w:t>
      </w:r>
    </w:p>
    <w:p w14:paraId="1324DC71" w14:textId="73B22A5F" w:rsidR="00B14B75" w:rsidRPr="005470AD" w:rsidRDefault="00B14B75" w:rsidP="002624E4">
      <w:r w:rsidRPr="005470AD">
        <w:t>***</w:t>
      </w:r>
    </w:p>
    <w:p w14:paraId="08299307" w14:textId="77777777" w:rsidR="00B14B75" w:rsidRPr="005470AD" w:rsidRDefault="00B14B75" w:rsidP="002624E4"/>
    <w:p w14:paraId="489F6A56" w14:textId="256613B7" w:rsidR="00FA2BF0" w:rsidRPr="005470AD" w:rsidRDefault="00FA2BF0" w:rsidP="002624E4">
      <w:r w:rsidRPr="005470AD">
        <w:t>Aux termes de la règle 32(2) du Règlement, « [à] moins que la Cour n</w:t>
      </w:r>
      <w:r w:rsidR="00A95CF8" w:rsidRPr="005470AD">
        <w:t>’</w:t>
      </w:r>
      <w:r w:rsidRPr="005470AD">
        <w:t xml:space="preserve">en décide autrement, chaque partie supporte ses frais de procédure ». </w:t>
      </w:r>
    </w:p>
    <w:p w14:paraId="763DDC1C" w14:textId="77777777" w:rsidR="00FA2BF0" w:rsidRPr="005470AD" w:rsidRDefault="00FA2BF0" w:rsidP="002624E4"/>
    <w:p w14:paraId="3EE8F14F" w14:textId="572E0CC6" w:rsidR="00B14B75" w:rsidRPr="005470AD" w:rsidRDefault="000642C9" w:rsidP="002624E4">
      <w:r w:rsidRPr="005470AD">
        <w:t>En l</w:t>
      </w:r>
      <w:r w:rsidR="00A95CF8" w:rsidRPr="005470AD">
        <w:t>’</w:t>
      </w:r>
      <w:r w:rsidRPr="005470AD">
        <w:t>espèce, la Cour ordonne que chaque Partie supporte ses frais de procédure.</w:t>
      </w:r>
    </w:p>
    <w:p w14:paraId="22D0CC48" w14:textId="77777777" w:rsidR="00EC376A" w:rsidRPr="005470AD" w:rsidRDefault="00EC376A" w:rsidP="002624E4"/>
    <w:p w14:paraId="717DDE65" w14:textId="77777777" w:rsidR="00EE0A5E" w:rsidRPr="005470AD" w:rsidRDefault="00EE0A5E" w:rsidP="002624E4"/>
    <w:p w14:paraId="0F39BA60" w14:textId="77777777" w:rsidR="00F95F7C" w:rsidRPr="005470AD" w:rsidRDefault="00B14B75" w:rsidP="002624E4">
      <w:bookmarkStart w:id="91" w:name="_Toc39148244"/>
      <w:bookmarkStart w:id="92" w:name="_Toc136592712"/>
      <w:r w:rsidRPr="005470AD">
        <w:t>DISPOSITIF</w:t>
      </w:r>
      <w:bookmarkEnd w:id="91"/>
      <w:bookmarkEnd w:id="92"/>
    </w:p>
    <w:p w14:paraId="34AFACB3" w14:textId="77777777" w:rsidR="00B14B75" w:rsidRPr="005470AD" w:rsidRDefault="00B14B75" w:rsidP="002624E4"/>
    <w:p w14:paraId="4CDF2896" w14:textId="77777777" w:rsidR="00FA2BF0" w:rsidRPr="005470AD" w:rsidRDefault="00FA2BF0" w:rsidP="002624E4">
      <w:r w:rsidRPr="005470AD">
        <w:t xml:space="preserve">Par ces motifs, </w:t>
      </w:r>
    </w:p>
    <w:p w14:paraId="79FA0780" w14:textId="77777777" w:rsidR="000A7225" w:rsidRPr="005470AD" w:rsidRDefault="000A7225" w:rsidP="002624E4"/>
    <w:p w14:paraId="3C242B32" w14:textId="4778A260" w:rsidR="00B14B75" w:rsidRPr="005470AD" w:rsidRDefault="00B14B75" w:rsidP="002624E4">
      <w:r w:rsidRPr="005470AD">
        <w:t xml:space="preserve">LA COUR, </w:t>
      </w:r>
    </w:p>
    <w:p w14:paraId="392B847A" w14:textId="77777777" w:rsidR="0065022E" w:rsidRPr="005470AD" w:rsidRDefault="0065022E" w:rsidP="002624E4"/>
    <w:p w14:paraId="0501ADD9" w14:textId="4873546C" w:rsidR="0011152A" w:rsidRPr="005470AD" w:rsidRDefault="00B14B75" w:rsidP="002624E4">
      <w:pPr>
        <w:rPr>
          <w:i/>
        </w:rPr>
      </w:pPr>
      <w:r w:rsidRPr="005470AD" w:rsidDel="0065022E">
        <w:rPr>
          <w:i/>
        </w:rPr>
        <w:t>Sur la compétence</w:t>
      </w:r>
    </w:p>
    <w:p w14:paraId="0B7A9339" w14:textId="77777777" w:rsidR="009458A3" w:rsidRPr="005470AD" w:rsidRDefault="009458A3" w:rsidP="002624E4">
      <w:pPr>
        <w:rPr>
          <w:i/>
        </w:rPr>
      </w:pPr>
    </w:p>
    <w:p w14:paraId="369A3B5F" w14:textId="306C4815" w:rsidR="00C67489" w:rsidRPr="005470AD" w:rsidRDefault="00C67489" w:rsidP="002624E4">
      <w:pPr>
        <w:rPr>
          <w:i/>
          <w:iCs/>
        </w:rPr>
      </w:pPr>
      <w:r w:rsidRPr="005470AD">
        <w:rPr>
          <w:i/>
          <w:iCs/>
        </w:rPr>
        <w:t>À l</w:t>
      </w:r>
      <w:r w:rsidR="00A95CF8" w:rsidRPr="005470AD">
        <w:rPr>
          <w:i/>
          <w:iCs/>
        </w:rPr>
        <w:t>’</w:t>
      </w:r>
      <w:r w:rsidRPr="005470AD">
        <w:rPr>
          <w:i/>
          <w:iCs/>
        </w:rPr>
        <w:t xml:space="preserve">unanimité, </w:t>
      </w:r>
    </w:p>
    <w:p w14:paraId="0F57F3D4" w14:textId="77777777" w:rsidR="00C67489" w:rsidRPr="005470AD" w:rsidRDefault="00C67489" w:rsidP="002624E4">
      <w:pPr>
        <w:rPr>
          <w:i/>
        </w:rPr>
      </w:pPr>
    </w:p>
    <w:p w14:paraId="76E49EE4" w14:textId="6DA835A9" w:rsidR="00BC7425" w:rsidRPr="005470AD" w:rsidRDefault="000642C9" w:rsidP="002624E4">
      <w:r w:rsidRPr="005470AD">
        <w:rPr>
          <w:i/>
          <w:iCs/>
        </w:rPr>
        <w:t>Rejette</w:t>
      </w:r>
      <w:r w:rsidRPr="005470AD">
        <w:t xml:space="preserve"> l</w:t>
      </w:r>
      <w:r w:rsidR="00A95CF8" w:rsidRPr="005470AD">
        <w:t>’</w:t>
      </w:r>
      <w:r w:rsidRPr="005470AD">
        <w:t>exception d</w:t>
      </w:r>
      <w:r w:rsidR="00A95CF8" w:rsidRPr="005470AD">
        <w:t>’</w:t>
      </w:r>
      <w:r w:rsidRPr="005470AD">
        <w:t>incompétence matérielle ;</w:t>
      </w:r>
    </w:p>
    <w:p w14:paraId="3BB09AFF" w14:textId="5607672D" w:rsidR="00BC7425" w:rsidRPr="005470AD" w:rsidRDefault="00BC7425" w:rsidP="002624E4">
      <w:r w:rsidRPr="005470AD">
        <w:rPr>
          <w:i/>
          <w:iCs/>
        </w:rPr>
        <w:t>Se déclare</w:t>
      </w:r>
      <w:r w:rsidRPr="005470AD">
        <w:t xml:space="preserve"> compétente.</w:t>
      </w:r>
    </w:p>
    <w:p w14:paraId="0003C198" w14:textId="77777777" w:rsidR="004E2699" w:rsidRPr="005470AD" w:rsidRDefault="004E2699" w:rsidP="002624E4">
      <w:pPr>
        <w:rPr>
          <w:i/>
        </w:rPr>
      </w:pPr>
    </w:p>
    <w:p w14:paraId="27D3D290" w14:textId="04894E3C" w:rsidR="0077408F" w:rsidRPr="005470AD" w:rsidRDefault="0077408F" w:rsidP="002624E4">
      <w:pPr>
        <w:rPr>
          <w:i/>
        </w:rPr>
      </w:pPr>
      <w:r w:rsidRPr="005470AD">
        <w:rPr>
          <w:i/>
        </w:rPr>
        <w:t>Sur la recevabilité</w:t>
      </w:r>
    </w:p>
    <w:p w14:paraId="1B2C7B1B" w14:textId="78D2ECAB" w:rsidR="0041677F" w:rsidRPr="005470AD" w:rsidRDefault="0041677F" w:rsidP="002624E4">
      <w:pPr>
        <w:rPr>
          <w:i/>
        </w:rPr>
      </w:pPr>
    </w:p>
    <w:p w14:paraId="7B359521" w14:textId="43E8B997" w:rsidR="00C67489" w:rsidRPr="005470AD" w:rsidRDefault="00C67489" w:rsidP="002624E4">
      <w:pPr>
        <w:rPr>
          <w:bCs/>
          <w:i/>
        </w:rPr>
      </w:pPr>
      <w:r w:rsidRPr="005470AD">
        <w:rPr>
          <w:bCs/>
          <w:i/>
        </w:rPr>
        <w:t xml:space="preserve">À la majorité de </w:t>
      </w:r>
      <w:r w:rsidR="00B37027" w:rsidRPr="005470AD">
        <w:rPr>
          <w:bCs/>
          <w:i/>
        </w:rPr>
        <w:t>sept</w:t>
      </w:r>
      <w:r w:rsidRPr="005470AD">
        <w:rPr>
          <w:bCs/>
          <w:i/>
        </w:rPr>
        <w:t xml:space="preserve"> (7) voix pour et trois (3) voix contre, les Juges Ben KIOKO, Tujilane R. CHIZUMILA et Dennis D. ADJEI, ayant émis une opinion dissidente</w:t>
      </w:r>
      <w:r w:rsidR="005C1EEC" w:rsidRPr="005470AD">
        <w:rPr>
          <w:bCs/>
          <w:i/>
        </w:rPr>
        <w:t xml:space="preserve"> </w:t>
      </w:r>
      <w:r w:rsidR="0013295E" w:rsidRPr="005470AD">
        <w:rPr>
          <w:bCs/>
          <w:i/>
        </w:rPr>
        <w:t>commune</w:t>
      </w:r>
      <w:r w:rsidRPr="005470AD">
        <w:rPr>
          <w:bCs/>
          <w:i/>
        </w:rPr>
        <w:t>,</w:t>
      </w:r>
    </w:p>
    <w:p w14:paraId="4ECE46E5" w14:textId="77777777" w:rsidR="00C67489" w:rsidRPr="005470AD" w:rsidRDefault="00C67489" w:rsidP="002624E4">
      <w:pPr>
        <w:rPr>
          <w:i/>
        </w:rPr>
      </w:pPr>
    </w:p>
    <w:p w14:paraId="5C6B4AED" w14:textId="7B52663A" w:rsidR="0051669D" w:rsidRPr="005470AD" w:rsidRDefault="00582BC0" w:rsidP="002624E4">
      <w:pPr>
        <w:rPr>
          <w:i/>
        </w:rPr>
      </w:pPr>
      <w:r w:rsidRPr="005470AD">
        <w:rPr>
          <w:i/>
          <w:iCs/>
        </w:rPr>
        <w:t>Rejette</w:t>
      </w:r>
      <w:r w:rsidRPr="005470AD">
        <w:t xml:space="preserve"> les exceptions d</w:t>
      </w:r>
      <w:r w:rsidR="00A95CF8" w:rsidRPr="005470AD">
        <w:t>’</w:t>
      </w:r>
      <w:r w:rsidRPr="005470AD">
        <w:t>irrecevabilité de la Requête ;</w:t>
      </w:r>
    </w:p>
    <w:p w14:paraId="1CB87241" w14:textId="3C0B2114" w:rsidR="00FA2BF0" w:rsidRPr="005470AD" w:rsidRDefault="00582BC0" w:rsidP="002624E4">
      <w:r w:rsidRPr="005470AD">
        <w:rPr>
          <w:i/>
          <w:iCs/>
        </w:rPr>
        <w:t>Déclare</w:t>
      </w:r>
      <w:r w:rsidRPr="005470AD">
        <w:t xml:space="preserve"> la Requête recevable.</w:t>
      </w:r>
    </w:p>
    <w:p w14:paraId="1200E026" w14:textId="77777777" w:rsidR="00FA2BF0" w:rsidRPr="005470AD" w:rsidRDefault="00FA2BF0" w:rsidP="002624E4"/>
    <w:p w14:paraId="7B9ED3CD" w14:textId="3B86383D" w:rsidR="00472824" w:rsidRPr="005470AD" w:rsidRDefault="00472824" w:rsidP="002624E4">
      <w:pPr>
        <w:rPr>
          <w:i/>
        </w:rPr>
      </w:pPr>
      <w:r w:rsidRPr="005470AD">
        <w:rPr>
          <w:i/>
        </w:rPr>
        <w:t xml:space="preserve">Sur le fond </w:t>
      </w:r>
    </w:p>
    <w:p w14:paraId="147B873D" w14:textId="6AEEE17D" w:rsidR="0041677F" w:rsidRPr="005470AD" w:rsidRDefault="0041677F" w:rsidP="002624E4"/>
    <w:p w14:paraId="4F7C2151" w14:textId="54CE8068" w:rsidR="00B37027" w:rsidRPr="005470AD" w:rsidRDefault="00B37027" w:rsidP="002624E4">
      <w:pPr>
        <w:rPr>
          <w:bCs/>
          <w:i/>
        </w:rPr>
      </w:pPr>
      <w:r w:rsidRPr="005470AD">
        <w:rPr>
          <w:bCs/>
          <w:i/>
        </w:rPr>
        <w:t xml:space="preserve">À la majorité de </w:t>
      </w:r>
      <w:r w:rsidR="00F106D9" w:rsidRPr="005470AD">
        <w:rPr>
          <w:bCs/>
          <w:i/>
        </w:rPr>
        <w:t xml:space="preserve">six </w:t>
      </w:r>
      <w:r w:rsidRPr="005470AD">
        <w:rPr>
          <w:bCs/>
          <w:i/>
        </w:rPr>
        <w:t>(</w:t>
      </w:r>
      <w:r w:rsidR="00F106D9" w:rsidRPr="005470AD">
        <w:rPr>
          <w:bCs/>
          <w:i/>
        </w:rPr>
        <w:t>6</w:t>
      </w:r>
      <w:r w:rsidRPr="005470AD">
        <w:rPr>
          <w:bCs/>
          <w:i/>
        </w:rPr>
        <w:t>) voix pour et une (1) voix contre, la Juge Chafika BENSAOULA ayant émis une opinion dissidente</w:t>
      </w:r>
      <w:r w:rsidR="00F106D9" w:rsidRPr="005470AD">
        <w:rPr>
          <w:bCs/>
          <w:i/>
        </w:rPr>
        <w:t xml:space="preserve"> et les Juges </w:t>
      </w:r>
      <w:r w:rsidR="00F106D9" w:rsidRPr="005470AD">
        <w:rPr>
          <w:i/>
        </w:rPr>
        <w:t>Ben KIOKO,</w:t>
      </w:r>
      <w:r w:rsidR="00F106D9" w:rsidRPr="005470AD">
        <w:t xml:space="preserve"> </w:t>
      </w:r>
      <w:r w:rsidR="00F106D9" w:rsidRPr="005470AD">
        <w:rPr>
          <w:i/>
          <w:iCs/>
        </w:rPr>
        <w:t>Tujilane R. CHIZUMILA</w:t>
      </w:r>
      <w:r w:rsidR="00F106D9" w:rsidRPr="005470AD">
        <w:rPr>
          <w:i/>
        </w:rPr>
        <w:t xml:space="preserve"> et Dennis D. ADJEI ayant émis une opinion dissidente commune sur la recevabilité,</w:t>
      </w:r>
    </w:p>
    <w:p w14:paraId="694D77DC" w14:textId="77777777" w:rsidR="00B37027" w:rsidRPr="005470AD" w:rsidRDefault="00B37027" w:rsidP="002624E4"/>
    <w:p w14:paraId="5A156C72" w14:textId="54BBBA76" w:rsidR="002B50CC" w:rsidRPr="005470AD" w:rsidRDefault="002B50CC" w:rsidP="002624E4">
      <w:r w:rsidRPr="005470AD">
        <w:rPr>
          <w:i/>
          <w:iCs/>
        </w:rPr>
        <w:t>Dit</w:t>
      </w:r>
      <w:r w:rsidRPr="005470AD">
        <w:t xml:space="preserve"> que l</w:t>
      </w:r>
      <w:r w:rsidR="00A95CF8" w:rsidRPr="005470AD">
        <w:t>’</w:t>
      </w:r>
      <w:r w:rsidRPr="005470AD">
        <w:t>État défendeur n</w:t>
      </w:r>
      <w:r w:rsidR="00A95CF8" w:rsidRPr="005470AD">
        <w:t>’</w:t>
      </w:r>
      <w:r w:rsidRPr="005470AD">
        <w:t>a pas violé le droit du Requérant à ce que sa cause soit entendue, protégé par l</w:t>
      </w:r>
      <w:r w:rsidR="00A95CF8" w:rsidRPr="005470AD">
        <w:t>’</w:t>
      </w:r>
      <w:r w:rsidRPr="005470AD">
        <w:t xml:space="preserve">article 7(1) de la Charte, en condamnant le Requérant sur la base </w:t>
      </w:r>
      <w:r w:rsidR="007E5AFF" w:rsidRPr="005470AD">
        <w:t>de ses</w:t>
      </w:r>
      <w:r w:rsidR="00CF4549" w:rsidRPr="005470AD">
        <w:t xml:space="preserve"> </w:t>
      </w:r>
      <w:r w:rsidRPr="005470AD">
        <w:t>aveu</w:t>
      </w:r>
      <w:r w:rsidR="00CF4549" w:rsidRPr="005470AD">
        <w:t>x</w:t>
      </w:r>
      <w:r w:rsidRPr="005470AD">
        <w:t> ;</w:t>
      </w:r>
    </w:p>
    <w:p w14:paraId="5566599D" w14:textId="094AF969" w:rsidR="0051669D" w:rsidRPr="005470AD" w:rsidRDefault="00A14BFE" w:rsidP="002624E4">
      <w:r w:rsidRPr="005470AD">
        <w:rPr>
          <w:i/>
          <w:iCs/>
        </w:rPr>
        <w:t>Dit</w:t>
      </w:r>
      <w:r w:rsidRPr="005470AD">
        <w:t xml:space="preserve"> que l</w:t>
      </w:r>
      <w:r w:rsidR="00A95CF8" w:rsidRPr="005470AD">
        <w:t>’</w:t>
      </w:r>
      <w:r w:rsidRPr="005470AD">
        <w:t>État défendeur n</w:t>
      </w:r>
      <w:r w:rsidR="00A95CF8" w:rsidRPr="005470AD">
        <w:t>’</w:t>
      </w:r>
      <w:r w:rsidRPr="005470AD">
        <w:t>a pas violé le droit du Requérant protégé par l</w:t>
      </w:r>
      <w:r w:rsidR="00A95CF8" w:rsidRPr="005470AD">
        <w:t>’</w:t>
      </w:r>
      <w:r w:rsidRPr="005470AD">
        <w:t xml:space="preserve">article 7(1) de la Charte, en </w:t>
      </w:r>
      <w:r w:rsidR="007E5AFF" w:rsidRPr="005470AD">
        <w:t xml:space="preserve">ayant </w:t>
      </w:r>
      <w:r w:rsidR="00D86615" w:rsidRPr="005470AD">
        <w:rPr>
          <w:bCs/>
        </w:rPr>
        <w:t xml:space="preserve">prétendument </w:t>
      </w:r>
      <w:r w:rsidR="007E5AFF" w:rsidRPr="005470AD">
        <w:rPr>
          <w:bCs/>
        </w:rPr>
        <w:t>tardé</w:t>
      </w:r>
      <w:r w:rsidR="007E5AFF" w:rsidRPr="005470AD">
        <w:t xml:space="preserve"> </w:t>
      </w:r>
      <w:r w:rsidRPr="005470AD">
        <w:t>à statuer sur la requête en révision de l</w:t>
      </w:r>
      <w:r w:rsidR="00A95CF8" w:rsidRPr="005470AD">
        <w:t>’</w:t>
      </w:r>
      <w:r w:rsidRPr="005470AD">
        <w:t>arrêt de la Cour d</w:t>
      </w:r>
      <w:r w:rsidR="00A95CF8" w:rsidRPr="005470AD">
        <w:t>’</w:t>
      </w:r>
      <w:r w:rsidRPr="005470AD">
        <w:t>appel ;</w:t>
      </w:r>
    </w:p>
    <w:p w14:paraId="40D06145" w14:textId="34FB24B5" w:rsidR="00A14BFE" w:rsidRPr="005470AD" w:rsidRDefault="00452219" w:rsidP="002624E4">
      <w:r w:rsidRPr="005470AD">
        <w:rPr>
          <w:i/>
          <w:iCs/>
        </w:rPr>
        <w:t>Dit</w:t>
      </w:r>
      <w:r w:rsidRPr="005470AD">
        <w:t xml:space="preserve"> que l</w:t>
      </w:r>
      <w:r w:rsidR="00A95CF8" w:rsidRPr="005470AD">
        <w:t>’</w:t>
      </w:r>
      <w:r w:rsidRPr="005470AD">
        <w:t>État défendeur n</w:t>
      </w:r>
      <w:r w:rsidR="00A95CF8" w:rsidRPr="005470AD">
        <w:t>’</w:t>
      </w:r>
      <w:r w:rsidRPr="005470AD">
        <w:t>a pas violé le droit à la défense du Requérant, protégé par l</w:t>
      </w:r>
      <w:r w:rsidR="00A95CF8" w:rsidRPr="005470AD">
        <w:t>’</w:t>
      </w:r>
      <w:r w:rsidRPr="005470AD">
        <w:t>article 7(1)(c) de la Charte</w:t>
      </w:r>
      <w:r w:rsidR="00CA0147" w:rsidRPr="005470AD">
        <w:t>,</w:t>
      </w:r>
      <w:r w:rsidRPr="005470AD">
        <w:t xml:space="preserve"> en </w:t>
      </w:r>
      <w:r w:rsidR="00CA0147" w:rsidRPr="005470AD">
        <w:t xml:space="preserve">ce qui concerne </w:t>
      </w:r>
      <w:r w:rsidR="00140A3C" w:rsidRPr="005470AD">
        <w:t>l</w:t>
      </w:r>
      <w:r w:rsidR="00A95CF8" w:rsidRPr="005470AD">
        <w:t>’</w:t>
      </w:r>
      <w:r w:rsidR="00140A3C" w:rsidRPr="005470AD">
        <w:t xml:space="preserve">octroi </w:t>
      </w:r>
      <w:r w:rsidRPr="005470AD">
        <w:t xml:space="preserve">au Requérant </w:t>
      </w:r>
      <w:r w:rsidR="00CA0147" w:rsidRPr="005470AD">
        <w:t>d</w:t>
      </w:r>
      <w:r w:rsidR="00A95CF8" w:rsidRPr="005470AD">
        <w:t>’</w:t>
      </w:r>
      <w:r w:rsidRPr="005470AD">
        <w:t>un défenseur de son choix.</w:t>
      </w:r>
    </w:p>
    <w:p w14:paraId="473911C1" w14:textId="77777777" w:rsidR="00D86615" w:rsidRPr="005470AD" w:rsidRDefault="00D86615" w:rsidP="002624E4"/>
    <w:p w14:paraId="01A442B1" w14:textId="77777777" w:rsidR="000A7225" w:rsidRPr="005470AD" w:rsidRDefault="000A7225" w:rsidP="002624E4">
      <w:pPr>
        <w:rPr>
          <w:bCs/>
          <w:i/>
          <w:iCs/>
        </w:rPr>
      </w:pPr>
      <w:r w:rsidRPr="005470AD">
        <w:rPr>
          <w:bCs/>
          <w:i/>
          <w:iCs/>
        </w:rPr>
        <w:t>À l’unanimité,</w:t>
      </w:r>
    </w:p>
    <w:p w14:paraId="199A7390" w14:textId="77777777" w:rsidR="000A7225" w:rsidRPr="005470AD" w:rsidRDefault="000A7225" w:rsidP="002624E4">
      <w:pPr>
        <w:rPr>
          <w:i/>
        </w:rPr>
      </w:pPr>
    </w:p>
    <w:p w14:paraId="2C4A900F" w14:textId="159F4157" w:rsidR="00472824" w:rsidRPr="005470AD" w:rsidRDefault="00803E72" w:rsidP="002624E4">
      <w:pPr>
        <w:rPr>
          <w:i/>
        </w:rPr>
      </w:pPr>
      <w:r w:rsidRPr="005470AD">
        <w:rPr>
          <w:i/>
        </w:rPr>
        <w:t>Sur les réparations</w:t>
      </w:r>
    </w:p>
    <w:p w14:paraId="61FFED20" w14:textId="010D7804" w:rsidR="0041677F" w:rsidRPr="005470AD" w:rsidRDefault="0041677F" w:rsidP="002624E4">
      <w:pPr>
        <w:rPr>
          <w:i/>
        </w:rPr>
      </w:pPr>
    </w:p>
    <w:p w14:paraId="2E60FDB8" w14:textId="38F3250D" w:rsidR="004C45AB" w:rsidRPr="005470AD" w:rsidRDefault="00522A4A" w:rsidP="002624E4">
      <w:r w:rsidRPr="005470AD">
        <w:rPr>
          <w:i/>
        </w:rPr>
        <w:t>Rejette</w:t>
      </w:r>
      <w:r w:rsidRPr="005470AD">
        <w:t xml:space="preserve"> la demande de réparations formulée par le Requérant.</w:t>
      </w:r>
    </w:p>
    <w:p w14:paraId="35C187C5" w14:textId="77777777" w:rsidR="00E75395" w:rsidRPr="005470AD" w:rsidRDefault="00E75395" w:rsidP="002624E4">
      <w:pPr>
        <w:rPr>
          <w:i/>
        </w:rPr>
      </w:pPr>
    </w:p>
    <w:p w14:paraId="4935D03E" w14:textId="726C09D1" w:rsidR="00B915F3" w:rsidRPr="005470AD" w:rsidRDefault="00B915F3" w:rsidP="002624E4">
      <w:pPr>
        <w:rPr>
          <w:i/>
          <w:iCs/>
        </w:rPr>
      </w:pPr>
      <w:r w:rsidRPr="005470AD">
        <w:rPr>
          <w:i/>
        </w:rPr>
        <w:t xml:space="preserve">Sur la demande de mesures provisoires </w:t>
      </w:r>
    </w:p>
    <w:p w14:paraId="3238C6C8" w14:textId="77777777" w:rsidR="0041677F" w:rsidRPr="005470AD" w:rsidRDefault="0041677F" w:rsidP="002624E4">
      <w:pPr>
        <w:rPr>
          <w:i/>
          <w:iCs/>
        </w:rPr>
      </w:pPr>
    </w:p>
    <w:p w14:paraId="2CF4099A" w14:textId="77777777" w:rsidR="00B915F3" w:rsidRPr="005470AD" w:rsidRDefault="00B915F3" w:rsidP="002624E4">
      <w:pPr>
        <w:rPr>
          <w:i/>
        </w:rPr>
      </w:pPr>
      <w:r w:rsidRPr="005470AD">
        <w:rPr>
          <w:i/>
          <w:iCs/>
        </w:rPr>
        <w:t>Dit</w:t>
      </w:r>
      <w:r w:rsidRPr="005470AD">
        <w:t xml:space="preserve"> que la demande de mesures provisoires est sans objet.</w:t>
      </w:r>
    </w:p>
    <w:p w14:paraId="472EBE8C" w14:textId="77777777" w:rsidR="0041677F" w:rsidRPr="005470AD" w:rsidRDefault="0041677F" w:rsidP="002624E4">
      <w:pPr>
        <w:rPr>
          <w:i/>
        </w:rPr>
      </w:pPr>
    </w:p>
    <w:p w14:paraId="2C00981F" w14:textId="363B41C6" w:rsidR="00B14B75" w:rsidRPr="005470AD" w:rsidRDefault="00B14B75" w:rsidP="002624E4">
      <w:pPr>
        <w:rPr>
          <w:i/>
        </w:rPr>
      </w:pPr>
      <w:r w:rsidRPr="005470AD">
        <w:rPr>
          <w:i/>
        </w:rPr>
        <w:t>Sur les frais de procédure</w:t>
      </w:r>
    </w:p>
    <w:p w14:paraId="6750DD2B" w14:textId="77777777" w:rsidR="0041677F" w:rsidRPr="005470AD" w:rsidRDefault="0041677F" w:rsidP="002624E4">
      <w:pPr>
        <w:rPr>
          <w:i/>
        </w:rPr>
      </w:pPr>
    </w:p>
    <w:p w14:paraId="2DD8AB30" w14:textId="47E0C0FC" w:rsidR="00B14B75" w:rsidRPr="005470AD" w:rsidRDefault="008E21B7" w:rsidP="002624E4">
      <w:r w:rsidRPr="005470AD">
        <w:rPr>
          <w:i/>
          <w:iCs/>
        </w:rPr>
        <w:t>Ordonne</w:t>
      </w:r>
      <w:r w:rsidRPr="005470AD">
        <w:t xml:space="preserve"> que chaque Partie supporte ses frais de procédure.</w:t>
      </w:r>
    </w:p>
    <w:p w14:paraId="6C2C26AD" w14:textId="77777777" w:rsidR="00B14B75" w:rsidRPr="005470AD" w:rsidRDefault="00B14B75" w:rsidP="002624E4"/>
    <w:p w14:paraId="42A1B749" w14:textId="77777777" w:rsidR="00EE0A5E" w:rsidRPr="005470AD" w:rsidRDefault="00EE0A5E" w:rsidP="002624E4"/>
    <w:p w14:paraId="74D4BDAB" w14:textId="77777777" w:rsidR="00B14B75" w:rsidRPr="005470AD" w:rsidRDefault="00B14B75" w:rsidP="002624E4">
      <w:r w:rsidRPr="005470AD">
        <w:t xml:space="preserve">Ont signé : </w:t>
      </w:r>
    </w:p>
    <w:p w14:paraId="4652DDD3" w14:textId="77777777" w:rsidR="00EE0A5E" w:rsidRPr="005470AD" w:rsidRDefault="00EE0A5E" w:rsidP="002624E4"/>
    <w:p w14:paraId="024D3D13" w14:textId="77777777" w:rsidR="003C36A3" w:rsidRPr="005470AD" w:rsidRDefault="003C36A3" w:rsidP="002624E4">
      <w:r w:rsidRPr="005470AD">
        <w:t>Blaise TCHIKAYA, Vice-président ;</w:t>
      </w:r>
    </w:p>
    <w:p w14:paraId="7414CF80" w14:textId="77777777" w:rsidR="00EE0A5E" w:rsidRPr="005470AD" w:rsidRDefault="00EE0A5E" w:rsidP="002624E4"/>
    <w:p w14:paraId="682CB59A" w14:textId="3D8424CF" w:rsidR="00B14B75" w:rsidRPr="005470AD" w:rsidRDefault="00B14B75" w:rsidP="002624E4">
      <w:r w:rsidRPr="005470AD">
        <w:t>Ben KIOKO, Juge ;</w:t>
      </w:r>
    </w:p>
    <w:p w14:paraId="5D695843" w14:textId="77777777" w:rsidR="00EE0A5E" w:rsidRPr="005470AD" w:rsidRDefault="00EE0A5E" w:rsidP="002624E4"/>
    <w:p w14:paraId="163FBB87" w14:textId="77777777" w:rsidR="00B14B75" w:rsidRPr="005470AD" w:rsidRDefault="00B14B75" w:rsidP="002624E4">
      <w:r w:rsidRPr="005470AD">
        <w:t xml:space="preserve">Rafaâ BEN ACHOUR, Juge ; </w:t>
      </w:r>
    </w:p>
    <w:p w14:paraId="2D6BD86F" w14:textId="77777777" w:rsidR="00EE0A5E" w:rsidRPr="005470AD" w:rsidRDefault="00EE0A5E" w:rsidP="002624E4"/>
    <w:p w14:paraId="650AF766" w14:textId="42B7BFBA" w:rsidR="00B14B75" w:rsidRPr="005470AD" w:rsidRDefault="00B14B75" w:rsidP="002624E4">
      <w:r w:rsidRPr="005470AD">
        <w:t xml:space="preserve">Suzanne MENGUE, Juge ; </w:t>
      </w:r>
    </w:p>
    <w:p w14:paraId="1E4318BD" w14:textId="77777777" w:rsidR="0040171F" w:rsidRPr="005470AD" w:rsidRDefault="0040171F" w:rsidP="002624E4"/>
    <w:p w14:paraId="5A9812C6" w14:textId="77777777" w:rsidR="00B14B75" w:rsidRPr="005470AD" w:rsidRDefault="00B14B75" w:rsidP="002624E4">
      <w:r w:rsidRPr="005470AD">
        <w:t>Tujilane R. CHIZUMILA, Juge ;</w:t>
      </w:r>
    </w:p>
    <w:p w14:paraId="43A3B475" w14:textId="77777777" w:rsidR="00EE0A5E" w:rsidRPr="005470AD" w:rsidRDefault="00EE0A5E" w:rsidP="002624E4"/>
    <w:p w14:paraId="17151577" w14:textId="77777777" w:rsidR="00B14B75" w:rsidRPr="005470AD" w:rsidRDefault="00B14B75" w:rsidP="002624E4">
      <w:r w:rsidRPr="005470AD">
        <w:t>Chafika BENSAOULA, Juge ;</w:t>
      </w:r>
    </w:p>
    <w:p w14:paraId="7A4ECE5B" w14:textId="77777777" w:rsidR="00EE0A5E" w:rsidRPr="005470AD" w:rsidRDefault="00EE0A5E" w:rsidP="002624E4"/>
    <w:p w14:paraId="5BE4CF3D" w14:textId="77777777" w:rsidR="00B14B75" w:rsidRPr="005470AD" w:rsidRDefault="00B14B75" w:rsidP="002624E4">
      <w:r w:rsidRPr="005470AD">
        <w:t>Stella I. ANUKAM, Juge ;</w:t>
      </w:r>
    </w:p>
    <w:p w14:paraId="3C4F81CE" w14:textId="77777777" w:rsidR="00EE0A5E" w:rsidRPr="005470AD" w:rsidRDefault="00EE0A5E" w:rsidP="002624E4"/>
    <w:p w14:paraId="73EF41DB" w14:textId="77777777" w:rsidR="003C36A3" w:rsidRPr="005470AD" w:rsidRDefault="003C36A3" w:rsidP="002624E4">
      <w:r w:rsidRPr="005470AD">
        <w:t xml:space="preserve">Dumisa B. NTSEBEZA, Juge ; </w:t>
      </w:r>
    </w:p>
    <w:p w14:paraId="51338258" w14:textId="77777777" w:rsidR="00EE0A5E" w:rsidRPr="005470AD" w:rsidRDefault="00EE0A5E" w:rsidP="002624E4"/>
    <w:p w14:paraId="3CBE6193" w14:textId="7A6FA755" w:rsidR="003C36A3" w:rsidRPr="005470AD" w:rsidRDefault="003C36A3" w:rsidP="002624E4">
      <w:r w:rsidRPr="005470AD">
        <w:t>Modibo SACKO, Juge ;</w:t>
      </w:r>
    </w:p>
    <w:p w14:paraId="28736935" w14:textId="77777777" w:rsidR="000A7225" w:rsidRPr="005470AD" w:rsidRDefault="000A7225" w:rsidP="002624E4"/>
    <w:p w14:paraId="57607742" w14:textId="55441F35" w:rsidR="008E21B7" w:rsidRPr="005470AD" w:rsidRDefault="008E21B7" w:rsidP="002624E4">
      <w:r w:rsidRPr="005470AD">
        <w:t xml:space="preserve">Dennis D. ADJEI, Juge ; </w:t>
      </w:r>
    </w:p>
    <w:p w14:paraId="16F212EB" w14:textId="77777777" w:rsidR="00EE0A5E" w:rsidRPr="005470AD" w:rsidRDefault="00EE0A5E" w:rsidP="002624E4"/>
    <w:p w14:paraId="41368E18" w14:textId="77777777" w:rsidR="00B14B75" w:rsidRPr="005470AD" w:rsidRDefault="00B14B75" w:rsidP="002624E4">
      <w:r w:rsidRPr="005470AD">
        <w:t>et Robert ENO, Greffier.</w:t>
      </w:r>
    </w:p>
    <w:p w14:paraId="5FCC7BAA" w14:textId="77777777" w:rsidR="00EE0A5E" w:rsidRPr="005470AD" w:rsidRDefault="00EE0A5E" w:rsidP="002624E4"/>
    <w:p w14:paraId="185B7CBB" w14:textId="77777777" w:rsidR="0032137A" w:rsidRPr="005470AD" w:rsidRDefault="0032137A" w:rsidP="002624E4"/>
    <w:p w14:paraId="42B10EBC" w14:textId="1BA8C1D7" w:rsidR="00EE0A5E" w:rsidRPr="005470AD" w:rsidRDefault="0088478C" w:rsidP="002624E4">
      <w:pPr>
        <w:rPr>
          <w:bCs/>
        </w:rPr>
      </w:pPr>
      <w:r w:rsidRPr="005470AD">
        <w:rPr>
          <w:bCs/>
        </w:rPr>
        <w:t>Conformément à l</w:t>
      </w:r>
      <w:r w:rsidR="00A95CF8" w:rsidRPr="005470AD">
        <w:rPr>
          <w:bCs/>
        </w:rPr>
        <w:t>’</w:t>
      </w:r>
      <w:r w:rsidRPr="005470AD">
        <w:rPr>
          <w:bCs/>
        </w:rPr>
        <w:t xml:space="preserve">article 28(7) du Protocole et à la règle 70(1) du Règlement, </w:t>
      </w:r>
      <w:r w:rsidR="0040171F" w:rsidRPr="005470AD">
        <w:rPr>
          <w:bCs/>
        </w:rPr>
        <w:t xml:space="preserve">l’Opinion dissidente conjointe des Juges Ben KIOKO, Tujilane R. CHIZUMILA et Dennis D. ADJEI ; l’Opinion dissidente de la Juge Chafika BENSAOULA ; et </w:t>
      </w:r>
      <w:r w:rsidR="00832025" w:rsidRPr="005470AD">
        <w:rPr>
          <w:bCs/>
        </w:rPr>
        <w:t>l</w:t>
      </w:r>
      <w:r w:rsidR="00A95CF8" w:rsidRPr="005470AD">
        <w:rPr>
          <w:bCs/>
        </w:rPr>
        <w:t>’</w:t>
      </w:r>
      <w:r w:rsidR="00832025" w:rsidRPr="005470AD">
        <w:rPr>
          <w:bCs/>
        </w:rPr>
        <w:t xml:space="preserve">opinion individuelle du Juge Blaise </w:t>
      </w:r>
      <w:r w:rsidR="00D675D0" w:rsidRPr="005470AD">
        <w:rPr>
          <w:bCs/>
        </w:rPr>
        <w:t>TCHIKAYA</w:t>
      </w:r>
      <w:r w:rsidR="00832025" w:rsidRPr="005470AD">
        <w:rPr>
          <w:bCs/>
        </w:rPr>
        <w:t>, V</w:t>
      </w:r>
      <w:r w:rsidR="00140A3C" w:rsidRPr="005470AD">
        <w:rPr>
          <w:bCs/>
        </w:rPr>
        <w:t>ice-président</w:t>
      </w:r>
      <w:r w:rsidR="0040171F" w:rsidRPr="005470AD">
        <w:rPr>
          <w:bCs/>
        </w:rPr>
        <w:t>,</w:t>
      </w:r>
      <w:r w:rsidR="0049677F" w:rsidRPr="005470AD">
        <w:rPr>
          <w:bCs/>
        </w:rPr>
        <w:t xml:space="preserve"> </w:t>
      </w:r>
      <w:r w:rsidR="00832025" w:rsidRPr="005470AD">
        <w:rPr>
          <w:bCs/>
        </w:rPr>
        <w:t xml:space="preserve">sont jointes au présent </w:t>
      </w:r>
      <w:r w:rsidR="005C1EEC" w:rsidRPr="005470AD">
        <w:rPr>
          <w:bCs/>
        </w:rPr>
        <w:t>a</w:t>
      </w:r>
      <w:r w:rsidR="00832025" w:rsidRPr="005470AD">
        <w:rPr>
          <w:bCs/>
        </w:rPr>
        <w:t>rrêt</w:t>
      </w:r>
      <w:r w:rsidR="005C1E20" w:rsidRPr="005470AD">
        <w:rPr>
          <w:bCs/>
        </w:rPr>
        <w:t>.</w:t>
      </w:r>
    </w:p>
    <w:p w14:paraId="0CF3F546" w14:textId="77777777" w:rsidR="00B615B9" w:rsidRPr="005470AD" w:rsidRDefault="00B615B9" w:rsidP="002624E4"/>
    <w:p w14:paraId="4F084B60" w14:textId="77777777" w:rsidR="004B16BA" w:rsidRPr="005470AD" w:rsidRDefault="004B16BA" w:rsidP="002624E4"/>
    <w:p w14:paraId="1F98742F" w14:textId="2EFAA625" w:rsidR="00801245" w:rsidRPr="00222E25" w:rsidRDefault="00FA4FB1" w:rsidP="002624E4">
      <w:r w:rsidRPr="005470AD">
        <w:t xml:space="preserve">Fait à Arusha, ce </w:t>
      </w:r>
      <w:r w:rsidR="000A7225" w:rsidRPr="005470AD">
        <w:t xml:space="preserve">treizième </w:t>
      </w:r>
      <w:r w:rsidRPr="005470AD">
        <w:t>jour du mois </w:t>
      </w:r>
      <w:r w:rsidR="004C45AB" w:rsidRPr="005470AD">
        <w:t>juin </w:t>
      </w:r>
      <w:r w:rsidRPr="005470AD">
        <w:t>de l</w:t>
      </w:r>
      <w:r w:rsidR="00A95CF8" w:rsidRPr="005470AD">
        <w:t>’</w:t>
      </w:r>
      <w:r w:rsidRPr="005470AD">
        <w:t>an deux mille vingt-</w:t>
      </w:r>
      <w:r w:rsidR="00267A14" w:rsidRPr="005470AD">
        <w:t>trois</w:t>
      </w:r>
      <w:r w:rsidRPr="005470AD">
        <w:t>, en anglais et en français, le texte anglais faisant foi.</w:t>
      </w:r>
    </w:p>
    <w:sectPr w:rsidR="00801245" w:rsidRPr="00222E25" w:rsidSect="00C77D5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C6B6" w14:textId="77777777" w:rsidR="004D394D" w:rsidRDefault="004D394D" w:rsidP="00B14B75">
      <w:r>
        <w:separator/>
      </w:r>
    </w:p>
  </w:endnote>
  <w:endnote w:type="continuationSeparator" w:id="0">
    <w:p w14:paraId="7E7C184A" w14:textId="77777777" w:rsidR="004D394D" w:rsidRDefault="004D394D" w:rsidP="00B1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84919"/>
      <w:docPartObj>
        <w:docPartGallery w:val="Page Numbers (Bottom of Page)"/>
        <w:docPartUnique/>
      </w:docPartObj>
    </w:sdtPr>
    <w:sdtEndPr>
      <w:rPr>
        <w:rFonts w:ascii="Arial" w:hAnsi="Arial" w:cs="Arial"/>
        <w:noProof/>
      </w:rPr>
    </w:sdtEndPr>
    <w:sdtContent>
      <w:p w14:paraId="441D8758" w14:textId="66010D7D" w:rsidR="009577FE" w:rsidRPr="00920CD5" w:rsidRDefault="009577FE">
        <w:pPr>
          <w:pStyle w:val="Footer"/>
          <w:jc w:val="center"/>
          <w:rPr>
            <w:rFonts w:ascii="Arial" w:hAnsi="Arial" w:cs="Arial"/>
          </w:rPr>
        </w:pPr>
        <w:r w:rsidRPr="00920CD5">
          <w:rPr>
            <w:rFonts w:ascii="Arial" w:hAnsi="Arial" w:cs="Arial"/>
          </w:rPr>
          <w:fldChar w:fldCharType="begin"/>
        </w:r>
        <w:r w:rsidRPr="00920CD5">
          <w:rPr>
            <w:rFonts w:ascii="Arial" w:hAnsi="Arial" w:cs="Arial"/>
          </w:rPr>
          <w:instrText xml:space="preserve"> PAGE   \* MERGEFORMAT </w:instrText>
        </w:r>
        <w:r w:rsidRPr="00920CD5">
          <w:rPr>
            <w:rFonts w:ascii="Arial" w:hAnsi="Arial" w:cs="Arial"/>
          </w:rPr>
          <w:fldChar w:fldCharType="separate"/>
        </w:r>
        <w:r w:rsidR="00531CFA">
          <w:rPr>
            <w:rFonts w:ascii="Arial" w:hAnsi="Arial" w:cs="Arial"/>
            <w:noProof/>
          </w:rPr>
          <w:t>2</w:t>
        </w:r>
        <w:r w:rsidRPr="00920CD5">
          <w:rPr>
            <w:rFonts w:ascii="Arial" w:hAnsi="Arial" w:cs="Arial"/>
            <w:noProof/>
          </w:rPr>
          <w:fldChar w:fldCharType="end"/>
        </w:r>
      </w:p>
    </w:sdtContent>
  </w:sdt>
  <w:p w14:paraId="61E3C9DB" w14:textId="1476F950" w:rsidR="009577FE" w:rsidRDefault="00957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B129" w14:textId="77777777" w:rsidR="004D394D" w:rsidRDefault="004D394D" w:rsidP="00B14B75">
      <w:r>
        <w:separator/>
      </w:r>
    </w:p>
  </w:footnote>
  <w:footnote w:type="continuationSeparator" w:id="0">
    <w:p w14:paraId="0EA81889" w14:textId="77777777" w:rsidR="004D394D" w:rsidRDefault="004D394D" w:rsidP="00B14B75">
      <w:r>
        <w:continuationSeparator/>
      </w:r>
    </w:p>
  </w:footnote>
  <w:footnote w:id="1">
    <w:p w14:paraId="756767E0" w14:textId="35D328EA"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Andrew Ambrose Cheusi c. République-Unie de Tanzanie</w:t>
      </w:r>
      <w:r w:rsidRPr="00CF6F2E">
        <w:rPr>
          <w:rFonts w:ascii="Arial" w:hAnsi="Arial" w:cs="Arial"/>
        </w:rPr>
        <w:t xml:space="preserve"> </w:t>
      </w:r>
      <w:r>
        <w:rPr>
          <w:rFonts w:ascii="Arial" w:hAnsi="Arial" w:cs="Arial"/>
        </w:rPr>
        <w:t>(arrêt) (</w:t>
      </w:r>
      <w:r w:rsidRPr="00CF6F2E">
        <w:rPr>
          <w:rFonts w:ascii="Arial" w:hAnsi="Arial" w:cs="Arial"/>
        </w:rPr>
        <w:t>26 juin 2020</w:t>
      </w:r>
      <w:r>
        <w:rPr>
          <w:rFonts w:ascii="Arial" w:hAnsi="Arial" w:cs="Arial"/>
        </w:rPr>
        <w:t>)</w:t>
      </w:r>
      <w:r w:rsidRPr="00CF6F2E">
        <w:rPr>
          <w:rFonts w:ascii="Arial" w:hAnsi="Arial" w:cs="Arial"/>
        </w:rPr>
        <w:t xml:space="preserve"> </w:t>
      </w:r>
      <w:r>
        <w:rPr>
          <w:rFonts w:ascii="Arial" w:hAnsi="Arial" w:cs="Arial"/>
        </w:rPr>
        <w:t>4 RJCA 219</w:t>
      </w:r>
      <w:r w:rsidRPr="00CF6F2E">
        <w:rPr>
          <w:rFonts w:ascii="Arial" w:hAnsi="Arial" w:cs="Arial"/>
        </w:rPr>
        <w:t>, § 38.</w:t>
      </w:r>
    </w:p>
  </w:footnote>
  <w:footnote w:id="2">
    <w:p w14:paraId="272FD9FC" w14:textId="73E7D436" w:rsidR="009577FE" w:rsidRPr="002607EE" w:rsidRDefault="009577FE" w:rsidP="00CF6F2E">
      <w:pPr>
        <w:pStyle w:val="FootnoteText"/>
        <w:jc w:val="both"/>
        <w:rPr>
          <w:rFonts w:ascii="Arial" w:hAnsi="Arial" w:cs="Arial"/>
        </w:rPr>
      </w:pPr>
      <w:r w:rsidRPr="002607EE">
        <w:rPr>
          <w:rStyle w:val="FootnoteReference"/>
          <w:rFonts w:ascii="Arial" w:hAnsi="Arial" w:cs="Arial"/>
        </w:rPr>
        <w:footnoteRef/>
      </w:r>
      <w:r w:rsidRPr="002607EE">
        <w:rPr>
          <w:rFonts w:ascii="Arial" w:hAnsi="Arial" w:cs="Arial"/>
        </w:rPr>
        <w:t xml:space="preserve"> Il ressort du compte rendu des audiences devant la Haute Cour que les deux (2) coaccusés du Requérant sont décédés avant le début des procédures, mais que les dates de décès ne sont pas indiquées.</w:t>
      </w:r>
    </w:p>
  </w:footnote>
  <w:footnote w:id="3">
    <w:p w14:paraId="293E3060" w14:textId="368EEA2A"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Les notifications aux fins de dépôt de ces documents étaient fondées sur la règle 51(1) du Règlement intérieur de la Cour, qui dispose : « La Cour peut, au cours de la procédure, et chaque fois qu</w:t>
      </w:r>
      <w:r>
        <w:rPr>
          <w:rFonts w:ascii="Arial" w:hAnsi="Arial" w:cs="Arial"/>
        </w:rPr>
        <w:t>’</w:t>
      </w:r>
      <w:r w:rsidRPr="00CF6F2E">
        <w:rPr>
          <w:rFonts w:ascii="Arial" w:hAnsi="Arial" w:cs="Arial"/>
        </w:rPr>
        <w:t>elle le juge nécessaire, demander aux parties de produire tout document pertinent et de fournir toutes explications pertinentes. La Cour prendra dûment acte de tout défaut de production de documents ou explications requis ».</w:t>
      </w:r>
    </w:p>
  </w:footnote>
  <w:footnote w:id="4">
    <w:p w14:paraId="36778BE7" w14:textId="7514FEC1"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Règle 59(1) du Règlement intérieur de la Cour du 1</w:t>
      </w:r>
      <w:r w:rsidRPr="00CF6F2E">
        <w:rPr>
          <w:rFonts w:ascii="Arial" w:hAnsi="Arial" w:cs="Arial"/>
          <w:vertAlign w:val="superscript"/>
        </w:rPr>
        <w:t>er</w:t>
      </w:r>
      <w:r w:rsidRPr="00CF6F2E">
        <w:rPr>
          <w:rFonts w:ascii="Arial" w:hAnsi="Arial" w:cs="Arial"/>
        </w:rPr>
        <w:t xml:space="preserve"> septembre 2020.</w:t>
      </w:r>
    </w:p>
  </w:footnote>
  <w:footnote w:id="5">
    <w:p w14:paraId="6491CC0B" w14:textId="4C7B9622" w:rsidR="009577FE" w:rsidRPr="002607EE" w:rsidRDefault="009577FE" w:rsidP="00CF6F2E">
      <w:pPr>
        <w:pStyle w:val="FootnoteText"/>
        <w:jc w:val="both"/>
        <w:rPr>
          <w:rFonts w:ascii="Arial" w:hAnsi="Arial" w:cs="Arial"/>
        </w:rPr>
      </w:pPr>
      <w:r w:rsidRPr="002607EE">
        <w:rPr>
          <w:rStyle w:val="FootnoteReference"/>
          <w:rFonts w:ascii="Arial" w:hAnsi="Arial" w:cs="Arial"/>
        </w:rPr>
        <w:footnoteRef/>
      </w:r>
      <w:r w:rsidRPr="002607EE">
        <w:rPr>
          <w:rFonts w:ascii="Arial" w:hAnsi="Arial" w:cs="Arial"/>
        </w:rPr>
        <w:t xml:space="preserve"> Règle 50(2)(e) et (f) du Règlement intérieur de la Cour du 1</w:t>
      </w:r>
      <w:r w:rsidRPr="002607EE">
        <w:rPr>
          <w:rFonts w:ascii="Arial" w:hAnsi="Arial" w:cs="Arial"/>
          <w:vertAlign w:val="superscript"/>
        </w:rPr>
        <w:t>er</w:t>
      </w:r>
      <w:r w:rsidRPr="002607EE">
        <w:rPr>
          <w:rFonts w:ascii="Arial" w:hAnsi="Arial" w:cs="Arial"/>
        </w:rPr>
        <w:t xml:space="preserve"> septembre 2020</w:t>
      </w:r>
      <w:r w:rsidRPr="00735EDA">
        <w:rPr>
          <w:rFonts w:ascii="Arial" w:hAnsi="Arial" w:cs="Arial"/>
        </w:rPr>
        <w:t>.</w:t>
      </w:r>
    </w:p>
  </w:footnote>
  <w:footnote w:id="6">
    <w:p w14:paraId="61C212E7" w14:textId="229E7CBB" w:rsidR="009577FE" w:rsidRPr="00CF6F2E" w:rsidRDefault="009577FE" w:rsidP="00CF6F2E">
      <w:pPr>
        <w:pStyle w:val="FootnoteText"/>
        <w:contextualSpacing/>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Kalebi Elisamehe c. République-Unie de Tanzanie,</w:t>
      </w:r>
      <w:r w:rsidRPr="00CF6F2E">
        <w:rPr>
          <w:rFonts w:ascii="Arial" w:hAnsi="Arial" w:cs="Arial"/>
        </w:rPr>
        <w:t xml:space="preserve"> CAfDHP, Requête n° 028/2015, </w:t>
      </w:r>
      <w:r>
        <w:rPr>
          <w:rFonts w:ascii="Arial" w:hAnsi="Arial" w:cs="Arial"/>
        </w:rPr>
        <w:t>(a</w:t>
      </w:r>
      <w:r w:rsidRPr="00CF6F2E">
        <w:rPr>
          <w:rFonts w:ascii="Arial" w:hAnsi="Arial" w:cs="Arial"/>
        </w:rPr>
        <w:t>rrêt</w:t>
      </w:r>
      <w:r>
        <w:rPr>
          <w:rFonts w:ascii="Arial" w:hAnsi="Arial" w:cs="Arial"/>
        </w:rPr>
        <w:t>)</w:t>
      </w:r>
      <w:r w:rsidRPr="00CF6F2E">
        <w:rPr>
          <w:rFonts w:ascii="Arial" w:hAnsi="Arial" w:cs="Arial"/>
        </w:rPr>
        <w:t xml:space="preserve"> </w:t>
      </w:r>
      <w:r>
        <w:rPr>
          <w:rFonts w:ascii="Arial" w:hAnsi="Arial" w:cs="Arial"/>
        </w:rPr>
        <w:t>(</w:t>
      </w:r>
      <w:r w:rsidRPr="00CF6F2E">
        <w:rPr>
          <w:rFonts w:ascii="Arial" w:hAnsi="Arial" w:cs="Arial"/>
        </w:rPr>
        <w:t>26 juin </w:t>
      </w:r>
      <w:r w:rsidRPr="004E2699">
        <w:rPr>
          <w:rFonts w:ascii="Arial" w:hAnsi="Arial" w:cs="Arial"/>
        </w:rPr>
        <w:t>2020), §</w:t>
      </w:r>
      <w:r w:rsidRPr="00CF6F2E">
        <w:rPr>
          <w:rFonts w:ascii="Arial" w:hAnsi="Arial" w:cs="Arial"/>
        </w:rPr>
        <w:t xml:space="preserve"> 18. </w:t>
      </w:r>
    </w:p>
  </w:footnote>
  <w:footnote w:id="7">
    <w:p w14:paraId="3593BF64" w14:textId="7B221E9B"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iCs/>
        </w:rPr>
        <w:t>Ernest Francis Mtingwi c. République du Malawi</w:t>
      </w:r>
      <w:r w:rsidRPr="00CF6F2E">
        <w:rPr>
          <w:rFonts w:ascii="Arial" w:hAnsi="Arial" w:cs="Arial"/>
        </w:rPr>
        <w:t xml:space="preserve"> (compétence) (15 mars 2013), 1 RJCA 197, § 14 ; </w:t>
      </w:r>
      <w:r w:rsidRPr="00CF6F2E">
        <w:rPr>
          <w:rFonts w:ascii="Arial" w:hAnsi="Arial" w:cs="Arial"/>
          <w:i/>
          <w:iCs/>
        </w:rPr>
        <w:t>Kennedy Ivan c. République-Unie de Tanzanie</w:t>
      </w:r>
      <w:r w:rsidRPr="00CF6F2E">
        <w:rPr>
          <w:rFonts w:ascii="Arial" w:hAnsi="Arial" w:cs="Arial"/>
        </w:rPr>
        <w:t xml:space="preserve"> (fond) (28 septembre 2017), 2 RJCA 67, § 26 ; </w:t>
      </w:r>
      <w:r w:rsidRPr="00CF6F2E">
        <w:rPr>
          <w:rFonts w:ascii="Arial" w:hAnsi="Arial" w:cs="Arial"/>
          <w:i/>
          <w:iCs/>
        </w:rPr>
        <w:t>Nguza Viking (Babu Seya) et Johnson Nguza (Papi Kocha) c. République-Unie de Tanzanie</w:t>
      </w:r>
      <w:r w:rsidRPr="00CF6F2E">
        <w:rPr>
          <w:rFonts w:ascii="Arial" w:hAnsi="Arial" w:cs="Arial"/>
        </w:rPr>
        <w:t xml:space="preserve"> (fond) (23 mars 2018), 2 RJCA 297, § 35.</w:t>
      </w:r>
    </w:p>
  </w:footnote>
  <w:footnote w:id="8">
    <w:p w14:paraId="002237AC" w14:textId="49DF9E28"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Armand Guehi c. République-Unie de Tanzanie</w:t>
      </w:r>
      <w:r w:rsidRPr="00CF6F2E">
        <w:rPr>
          <w:rFonts w:ascii="Arial" w:hAnsi="Arial" w:cs="Arial"/>
        </w:rPr>
        <w:t xml:space="preserve"> (fond et réparations) (7 décembre 2018), 2 RJCA 493, § 33 ; </w:t>
      </w:r>
      <w:r w:rsidRPr="00CF6F2E">
        <w:rPr>
          <w:rFonts w:ascii="Arial" w:hAnsi="Arial" w:cs="Arial"/>
          <w:i/>
        </w:rPr>
        <w:t>Werema Wangoko Werema et un autre c. République-Unie de Tanzanie</w:t>
      </w:r>
      <w:r w:rsidRPr="00CF6F2E">
        <w:rPr>
          <w:rFonts w:ascii="Arial" w:hAnsi="Arial" w:cs="Arial"/>
        </w:rPr>
        <w:t xml:space="preserve"> (fond) (7 décembre 2018), 2 RJCA 539, § 29 et </w:t>
      </w:r>
      <w:r w:rsidRPr="00CF6F2E">
        <w:rPr>
          <w:rFonts w:ascii="Arial" w:hAnsi="Arial" w:cs="Arial"/>
          <w:i/>
        </w:rPr>
        <w:t>Alex Thomas c. République-Unie de Tanzanie</w:t>
      </w:r>
      <w:r w:rsidRPr="00CF6F2E">
        <w:rPr>
          <w:rFonts w:ascii="Arial" w:hAnsi="Arial" w:cs="Arial"/>
        </w:rPr>
        <w:t xml:space="preserve"> (fond) (20 novembre 2015), 1 RJCA 482, § 130.</w:t>
      </w:r>
    </w:p>
  </w:footnote>
  <w:footnote w:id="9">
    <w:p w14:paraId="09947FFE" w14:textId="77777777"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Mohamed Abubakari</w:t>
      </w:r>
      <w:r w:rsidRPr="00CF6F2E">
        <w:rPr>
          <w:rFonts w:ascii="Arial" w:hAnsi="Arial" w:cs="Arial"/>
        </w:rPr>
        <w:t xml:space="preserve"> </w:t>
      </w:r>
      <w:r w:rsidRPr="00CF6F2E">
        <w:rPr>
          <w:rFonts w:ascii="Arial" w:hAnsi="Arial" w:cs="Arial"/>
          <w:i/>
        </w:rPr>
        <w:t xml:space="preserve">c. République-Unie de Tanzanie </w:t>
      </w:r>
      <w:r w:rsidRPr="00CF6F2E">
        <w:rPr>
          <w:rFonts w:ascii="Arial" w:hAnsi="Arial" w:cs="Arial"/>
        </w:rPr>
        <w:t xml:space="preserve">(fond) (3 juin 2016), 1 RJCA 624, § 32. </w:t>
      </w:r>
    </w:p>
  </w:footnote>
  <w:footnote w:id="10">
    <w:p w14:paraId="1C6B9750" w14:textId="77777777" w:rsidR="009577FE" w:rsidRPr="00CF6F2E" w:rsidRDefault="009577FE" w:rsidP="00CF6F2E">
      <w:pPr>
        <w:pStyle w:val="FootnoteText"/>
        <w:contextualSpacing/>
        <w:jc w:val="both"/>
        <w:rPr>
          <w:rFonts w:ascii="Arial" w:hAnsi="Arial" w:cs="Arial"/>
        </w:rPr>
      </w:pPr>
      <w:r w:rsidRPr="00CF6F2E">
        <w:rPr>
          <w:rStyle w:val="FootnoteReference"/>
          <w:rFonts w:ascii="Arial" w:hAnsi="Arial" w:cs="Arial"/>
        </w:rPr>
        <w:footnoteRef/>
      </w:r>
      <w:r w:rsidRPr="00CF6F2E">
        <w:rPr>
          <w:rFonts w:ascii="Arial" w:hAnsi="Arial" w:cs="Arial"/>
        </w:rPr>
        <w:t xml:space="preserve"> Article 39(1) du Règlement de la Cour du 2 juin 2010.</w:t>
      </w:r>
    </w:p>
  </w:footnote>
  <w:footnote w:id="11">
    <w:p w14:paraId="5B615D4B" w14:textId="3569D38D" w:rsidR="009577FE" w:rsidRPr="00CF6F2E" w:rsidRDefault="009577FE" w:rsidP="00CF6F2E">
      <w:pPr>
        <w:jc w:val="both"/>
        <w:rPr>
          <w:rFonts w:ascii="Arial" w:hAnsi="Arial" w:cs="Arial"/>
          <w:b/>
          <w:i/>
          <w:color w:val="000000" w:themeColor="text1"/>
          <w:sz w:val="20"/>
          <w:szCs w:val="20"/>
        </w:rPr>
      </w:pPr>
      <w:r w:rsidRPr="00CF6F2E">
        <w:rPr>
          <w:rStyle w:val="FootnoteReference"/>
          <w:rFonts w:ascii="Arial" w:hAnsi="Arial" w:cs="Arial"/>
          <w:sz w:val="20"/>
          <w:szCs w:val="20"/>
        </w:rPr>
        <w:footnoteRef/>
      </w:r>
      <w:r w:rsidRPr="00CF6F2E">
        <w:rPr>
          <w:rFonts w:ascii="Arial" w:hAnsi="Arial" w:cs="Arial"/>
          <w:sz w:val="20"/>
          <w:szCs w:val="20"/>
        </w:rPr>
        <w:t xml:space="preserve"> </w:t>
      </w:r>
      <w:r w:rsidRPr="00CF6F2E">
        <w:rPr>
          <w:rFonts w:ascii="Arial" w:hAnsi="Arial" w:cs="Arial"/>
          <w:i/>
          <w:color w:val="000000" w:themeColor="text1"/>
          <w:sz w:val="20"/>
          <w:szCs w:val="20"/>
        </w:rPr>
        <w:t xml:space="preserve">Mtikila c. Tanzanie </w:t>
      </w:r>
      <w:r w:rsidRPr="00CF6F2E">
        <w:rPr>
          <w:rFonts w:ascii="Arial" w:hAnsi="Arial" w:cs="Arial"/>
          <w:color w:val="000000" w:themeColor="text1"/>
          <w:sz w:val="20"/>
          <w:szCs w:val="20"/>
        </w:rPr>
        <w:t xml:space="preserve">(fond), </w:t>
      </w:r>
      <w:r w:rsidRPr="00CF6F2E">
        <w:rPr>
          <w:rFonts w:ascii="Arial" w:hAnsi="Arial" w:cs="Arial"/>
          <w:i/>
          <w:color w:val="000000" w:themeColor="text1"/>
          <w:sz w:val="20"/>
          <w:szCs w:val="20"/>
        </w:rPr>
        <w:t>supra</w:t>
      </w:r>
      <w:r w:rsidRPr="00CF6F2E">
        <w:rPr>
          <w:rFonts w:ascii="Arial" w:hAnsi="Arial" w:cs="Arial"/>
          <w:color w:val="000000" w:themeColor="text1"/>
          <w:sz w:val="20"/>
          <w:szCs w:val="20"/>
        </w:rPr>
        <w:t xml:space="preserve">, </w:t>
      </w:r>
      <w:r w:rsidRPr="00CF6F2E">
        <w:rPr>
          <w:rFonts w:ascii="Arial" w:hAnsi="Arial" w:cs="Arial"/>
          <w:sz w:val="20"/>
          <w:szCs w:val="20"/>
        </w:rPr>
        <w:t xml:space="preserve">§ </w:t>
      </w:r>
      <w:r w:rsidRPr="00CF6F2E">
        <w:rPr>
          <w:rFonts w:ascii="Arial" w:hAnsi="Arial" w:cs="Arial"/>
          <w:color w:val="000000" w:themeColor="text1"/>
          <w:sz w:val="20"/>
          <w:szCs w:val="20"/>
        </w:rPr>
        <w:t xml:space="preserve">84 ; </w:t>
      </w:r>
      <w:r w:rsidRPr="00CF6F2E">
        <w:rPr>
          <w:rFonts w:ascii="Arial" w:hAnsi="Arial" w:cs="Arial"/>
          <w:i/>
          <w:sz w:val="20"/>
          <w:szCs w:val="20"/>
        </w:rPr>
        <w:t>Commission africaine des droits de l</w:t>
      </w:r>
      <w:r>
        <w:rPr>
          <w:rFonts w:ascii="Arial" w:hAnsi="Arial" w:cs="Arial"/>
          <w:i/>
          <w:sz w:val="20"/>
          <w:szCs w:val="20"/>
        </w:rPr>
        <w:t>’</w:t>
      </w:r>
      <w:r w:rsidRPr="00CF6F2E">
        <w:rPr>
          <w:rFonts w:ascii="Arial" w:hAnsi="Arial" w:cs="Arial"/>
          <w:i/>
          <w:sz w:val="20"/>
          <w:szCs w:val="20"/>
        </w:rPr>
        <w:t>homme et des peuples c. Kenya</w:t>
      </w:r>
      <w:r w:rsidRPr="00CF6F2E">
        <w:rPr>
          <w:rFonts w:ascii="Arial" w:hAnsi="Arial" w:cs="Arial"/>
          <w:sz w:val="20"/>
          <w:szCs w:val="20"/>
        </w:rPr>
        <w:t xml:space="preserve"> (fond) (26 mai 2017), 2 RJCA 9, § 65 ; </w:t>
      </w:r>
      <w:r w:rsidRPr="00CF6F2E">
        <w:rPr>
          <w:rFonts w:ascii="Arial" w:hAnsi="Arial" w:cs="Arial"/>
          <w:i/>
          <w:color w:val="000000" w:themeColor="text1"/>
          <w:sz w:val="20"/>
          <w:szCs w:val="20"/>
        </w:rPr>
        <w:t xml:space="preserve">Kennedy Ivan c. République-Unie de Tanzanie </w:t>
      </w:r>
      <w:r w:rsidRPr="00CF6F2E">
        <w:rPr>
          <w:rFonts w:ascii="Arial" w:hAnsi="Arial" w:cs="Arial"/>
          <w:color w:val="000000" w:themeColor="text1"/>
          <w:sz w:val="20"/>
          <w:szCs w:val="20"/>
        </w:rPr>
        <w:t xml:space="preserve">(fond et réparations) (28 mars 2019), </w:t>
      </w:r>
      <w:r w:rsidRPr="00CF6F2E">
        <w:rPr>
          <w:rFonts w:ascii="Arial" w:hAnsi="Arial" w:cs="Arial"/>
          <w:sz w:val="20"/>
          <w:szCs w:val="20"/>
        </w:rPr>
        <w:t>3 RJCA 51, § 29(ii).</w:t>
      </w:r>
    </w:p>
  </w:footnote>
  <w:footnote w:id="12">
    <w:p w14:paraId="015D7448" w14:textId="5A044F1B"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Pr>
          <w:rFonts w:ascii="Arial" w:hAnsi="Arial" w:cs="Arial"/>
        </w:rPr>
        <w:t xml:space="preserve"> Règle 50(2)(e) </w:t>
      </w:r>
      <w:r w:rsidRPr="00CF6F2E">
        <w:rPr>
          <w:rFonts w:ascii="Arial" w:hAnsi="Arial" w:cs="Arial"/>
        </w:rPr>
        <w:t>du Règlement de la Cour du 1</w:t>
      </w:r>
      <w:r w:rsidRPr="00CF6F2E">
        <w:rPr>
          <w:rFonts w:ascii="Arial" w:hAnsi="Arial" w:cs="Arial"/>
          <w:vertAlign w:val="superscript"/>
        </w:rPr>
        <w:t>er</w:t>
      </w:r>
      <w:r w:rsidRPr="00CF6F2E">
        <w:rPr>
          <w:rFonts w:ascii="Arial" w:hAnsi="Arial" w:cs="Arial"/>
        </w:rPr>
        <w:t xml:space="preserve"> septembre 2020. </w:t>
      </w:r>
    </w:p>
  </w:footnote>
  <w:footnote w:id="13">
    <w:p w14:paraId="058BFF89" w14:textId="7E1CE1C7" w:rsidR="009577FE" w:rsidRPr="00CF6F2E" w:rsidRDefault="009577FE" w:rsidP="00CF6F2E">
      <w:pPr>
        <w:pStyle w:val="FootnoteText"/>
        <w:contextualSpacing/>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Commission africaine des droits de l</w:t>
      </w:r>
      <w:r>
        <w:rPr>
          <w:rFonts w:ascii="Arial" w:hAnsi="Arial" w:cs="Arial"/>
          <w:i/>
        </w:rPr>
        <w:t>’</w:t>
      </w:r>
      <w:r w:rsidRPr="00CF6F2E">
        <w:rPr>
          <w:rFonts w:ascii="Arial" w:hAnsi="Arial" w:cs="Arial"/>
          <w:i/>
        </w:rPr>
        <w:t>homme et des peuples c. Kenya</w:t>
      </w:r>
      <w:r w:rsidRPr="00CF6F2E">
        <w:rPr>
          <w:rFonts w:ascii="Arial" w:hAnsi="Arial" w:cs="Arial"/>
        </w:rPr>
        <w:t xml:space="preserve"> (fond), </w:t>
      </w:r>
      <w:r w:rsidRPr="00CF6F2E">
        <w:rPr>
          <w:rFonts w:ascii="Arial" w:hAnsi="Arial" w:cs="Arial"/>
          <w:i/>
        </w:rPr>
        <w:t>supra</w:t>
      </w:r>
      <w:r w:rsidRPr="00CF6F2E">
        <w:rPr>
          <w:rFonts w:ascii="Arial" w:hAnsi="Arial" w:cs="Arial"/>
        </w:rPr>
        <w:t>, §§ 93 à 94.</w:t>
      </w:r>
    </w:p>
  </w:footnote>
  <w:footnote w:id="14">
    <w:p w14:paraId="4DBDA89E" w14:textId="1CB8C028" w:rsidR="009577FE" w:rsidRPr="00CF6F2E" w:rsidRDefault="009577FE" w:rsidP="00CF6F2E">
      <w:pPr>
        <w:pStyle w:val="NoSpacing"/>
        <w:jc w:val="both"/>
        <w:rPr>
          <w:rFonts w:ascii="Arial" w:hAnsi="Arial" w:cs="Arial"/>
          <w:sz w:val="20"/>
          <w:szCs w:val="20"/>
        </w:rPr>
      </w:pPr>
      <w:r w:rsidRPr="00CF6F2E">
        <w:rPr>
          <w:rStyle w:val="FootnoteReference"/>
          <w:rFonts w:ascii="Arial" w:hAnsi="Arial" w:cs="Arial"/>
          <w:sz w:val="20"/>
          <w:szCs w:val="20"/>
        </w:rPr>
        <w:footnoteRef/>
      </w:r>
      <w:r w:rsidRPr="00CF6F2E">
        <w:rPr>
          <w:rFonts w:ascii="Arial" w:hAnsi="Arial" w:cs="Arial"/>
          <w:sz w:val="20"/>
          <w:szCs w:val="20"/>
        </w:rPr>
        <w:t xml:space="preserve"> Voir </w:t>
      </w:r>
      <w:r w:rsidRPr="00CF6F2E">
        <w:rPr>
          <w:rFonts w:ascii="Arial" w:hAnsi="Arial" w:cs="Arial"/>
          <w:i/>
          <w:iCs/>
          <w:sz w:val="20"/>
          <w:szCs w:val="20"/>
        </w:rPr>
        <w:t>Thomas c. Tanzanie</w:t>
      </w:r>
      <w:r w:rsidRPr="00CF6F2E">
        <w:rPr>
          <w:rFonts w:ascii="Arial" w:hAnsi="Arial" w:cs="Arial"/>
          <w:sz w:val="20"/>
          <w:szCs w:val="20"/>
        </w:rPr>
        <w:t xml:space="preserve"> (fond), </w:t>
      </w:r>
      <w:r w:rsidRPr="00CF6F2E">
        <w:rPr>
          <w:rFonts w:ascii="Arial" w:hAnsi="Arial" w:cs="Arial"/>
          <w:i/>
          <w:sz w:val="20"/>
          <w:szCs w:val="20"/>
        </w:rPr>
        <w:t>supra</w:t>
      </w:r>
      <w:r w:rsidRPr="00CF6F2E">
        <w:rPr>
          <w:rFonts w:ascii="Arial" w:hAnsi="Arial" w:cs="Arial"/>
          <w:sz w:val="20"/>
          <w:szCs w:val="20"/>
        </w:rPr>
        <w:t xml:space="preserve">, § 65 ; </w:t>
      </w:r>
      <w:r w:rsidRPr="00CF6F2E">
        <w:rPr>
          <w:rFonts w:ascii="Arial" w:hAnsi="Arial" w:cs="Arial"/>
          <w:i/>
          <w:iCs/>
          <w:sz w:val="20"/>
          <w:szCs w:val="20"/>
        </w:rPr>
        <w:t>Abubakari c. Tanzanie</w:t>
      </w:r>
      <w:r w:rsidRPr="00CF6F2E">
        <w:rPr>
          <w:rFonts w:ascii="Arial" w:hAnsi="Arial" w:cs="Arial"/>
          <w:sz w:val="20"/>
          <w:szCs w:val="20"/>
        </w:rPr>
        <w:t xml:space="preserve"> (fond), </w:t>
      </w:r>
      <w:r w:rsidRPr="00CF6F2E">
        <w:rPr>
          <w:rFonts w:ascii="Arial" w:hAnsi="Arial" w:cs="Arial"/>
          <w:i/>
          <w:sz w:val="20"/>
          <w:szCs w:val="20"/>
        </w:rPr>
        <w:t>supra</w:t>
      </w:r>
      <w:r w:rsidRPr="00CF6F2E">
        <w:rPr>
          <w:rFonts w:ascii="Arial" w:hAnsi="Arial" w:cs="Arial"/>
          <w:sz w:val="20"/>
          <w:szCs w:val="20"/>
        </w:rPr>
        <w:t xml:space="preserve">, §§ 66 à 70 ; </w:t>
      </w:r>
      <w:r w:rsidRPr="00CF6F2E">
        <w:rPr>
          <w:rFonts w:ascii="Arial" w:hAnsi="Arial" w:cs="Arial"/>
          <w:i/>
          <w:iCs/>
          <w:sz w:val="20"/>
          <w:szCs w:val="20"/>
        </w:rPr>
        <w:t>Christopher Jonas c. République-Unie de Tanzanie</w:t>
      </w:r>
      <w:r w:rsidRPr="00CF6F2E">
        <w:rPr>
          <w:rFonts w:ascii="Arial" w:hAnsi="Arial" w:cs="Arial"/>
          <w:sz w:val="20"/>
          <w:szCs w:val="20"/>
        </w:rPr>
        <w:t xml:space="preserve"> (fond) (28 septembre 2017) 2 RJCA 105, § 44. </w:t>
      </w:r>
    </w:p>
  </w:footnote>
  <w:footnote w:id="15">
    <w:p w14:paraId="6CE552AE" w14:textId="712AA0F1"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Règle 50(2)(f) du Règlement de la Cour du 1</w:t>
      </w:r>
      <w:r w:rsidRPr="00CF6F2E">
        <w:rPr>
          <w:rFonts w:ascii="Arial" w:hAnsi="Arial" w:cs="Arial"/>
          <w:vertAlign w:val="superscript"/>
        </w:rPr>
        <w:t>er</w:t>
      </w:r>
      <w:r w:rsidRPr="00CF6F2E">
        <w:rPr>
          <w:rFonts w:ascii="Arial" w:hAnsi="Arial" w:cs="Arial"/>
        </w:rPr>
        <w:t xml:space="preserve"> septembre 2020. </w:t>
      </w:r>
    </w:p>
  </w:footnote>
  <w:footnote w:id="16">
    <w:p w14:paraId="1FC5A1B8" w14:textId="1B50A392"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Voir, Communication 308/2005 (2008) AHRLR (CADHP 2008). </w:t>
      </w:r>
    </w:p>
  </w:footnote>
  <w:footnote w:id="17">
    <w:p w14:paraId="7BD9D513" w14:textId="528A9419"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Lucien Ikili Rashidi c. République-Unie de Tanzanie</w:t>
      </w:r>
      <w:r w:rsidRPr="00CF6F2E">
        <w:rPr>
          <w:rFonts w:ascii="Arial" w:hAnsi="Arial" w:cs="Arial"/>
        </w:rPr>
        <w:t xml:space="preserve"> (fond et réparations) (28 mars 2019), 3 RJCA 13, § 52 à 53. </w:t>
      </w:r>
    </w:p>
  </w:footnote>
  <w:footnote w:id="18">
    <w:p w14:paraId="78B5999B" w14:textId="70863F27" w:rsidR="009577FE" w:rsidRPr="00CF6F2E" w:rsidRDefault="009577FE" w:rsidP="00CF6F2E">
      <w:pPr>
        <w:pStyle w:val="FootnoteText"/>
        <w:jc w:val="both"/>
        <w:rPr>
          <w:rFonts w:ascii="Arial" w:hAnsi="Arial" w:cs="Arial"/>
          <w:color w:val="000000" w:themeColor="text1"/>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iCs/>
        </w:rPr>
        <w:t>Sadick Marwa c. République-Unie de Tanzanie</w:t>
      </w:r>
      <w:r w:rsidRPr="00CF6F2E">
        <w:rPr>
          <w:rFonts w:ascii="Arial" w:hAnsi="Arial" w:cs="Arial"/>
        </w:rPr>
        <w:t>, CAfDHP, Requête n° 005/2016, Arrêt du 2 décembre 2021, § 52.</w:t>
      </w:r>
    </w:p>
  </w:footnote>
  <w:footnote w:id="19">
    <w:p w14:paraId="2B4A676A" w14:textId="76B07F7E" w:rsidR="009577FE" w:rsidRPr="00CF6F2E" w:rsidRDefault="009577FE" w:rsidP="00CF6F2E">
      <w:pPr>
        <w:pStyle w:val="FootnoteText"/>
        <w:jc w:val="both"/>
        <w:rPr>
          <w:rFonts w:ascii="Arial" w:hAnsi="Arial" w:cs="Arial"/>
          <w:b/>
          <w:highlight w:val="green"/>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iCs/>
          <w:shd w:val="clear" w:color="auto" w:fill="FFFFFF"/>
        </w:rPr>
        <w:t>Norbert Zongo et autres c.</w:t>
      </w:r>
      <w:r w:rsidRPr="00CF6F2E">
        <w:rPr>
          <w:rFonts w:ascii="Arial" w:hAnsi="Arial" w:cs="Arial"/>
          <w:i/>
          <w:shd w:val="clear" w:color="auto" w:fill="FFFFFF"/>
        </w:rPr>
        <w:t xml:space="preserve"> </w:t>
      </w:r>
      <w:r w:rsidRPr="00CF6F2E">
        <w:rPr>
          <w:rFonts w:ascii="Arial" w:hAnsi="Arial" w:cs="Arial"/>
          <w:i/>
        </w:rPr>
        <w:t>Burkina Faso</w:t>
      </w:r>
      <w:r w:rsidRPr="00CF6F2E">
        <w:rPr>
          <w:rFonts w:ascii="Arial" w:hAnsi="Arial" w:cs="Arial"/>
        </w:rPr>
        <w:t xml:space="preserve"> (fond), </w:t>
      </w:r>
      <w:r w:rsidRPr="00CF6F2E">
        <w:rPr>
          <w:rFonts w:ascii="Arial" w:hAnsi="Arial" w:cs="Arial"/>
          <w:i/>
        </w:rPr>
        <w:t>supra</w:t>
      </w:r>
      <w:r w:rsidRPr="00CF6F2E">
        <w:rPr>
          <w:rFonts w:ascii="Arial" w:hAnsi="Arial" w:cs="Arial"/>
        </w:rPr>
        <w:t xml:space="preserve">, § 92. </w:t>
      </w:r>
      <w:r w:rsidRPr="00CF6F2E">
        <w:rPr>
          <w:rFonts w:ascii="Arial" w:hAnsi="Arial" w:cs="Arial"/>
          <w:i/>
          <w:iCs/>
        </w:rPr>
        <w:t>Voir également Thomas c. Tanzanie</w:t>
      </w:r>
      <w:r w:rsidRPr="00CF6F2E">
        <w:rPr>
          <w:rFonts w:ascii="Arial" w:hAnsi="Arial" w:cs="Arial"/>
        </w:rPr>
        <w:t xml:space="preserve"> (fond), </w:t>
      </w:r>
      <w:r w:rsidRPr="00CF6F2E">
        <w:rPr>
          <w:rFonts w:ascii="Arial" w:hAnsi="Arial" w:cs="Arial"/>
          <w:i/>
        </w:rPr>
        <w:t>supra</w:t>
      </w:r>
      <w:r w:rsidRPr="00CF6F2E">
        <w:rPr>
          <w:rFonts w:ascii="Arial" w:hAnsi="Arial" w:cs="Arial"/>
        </w:rPr>
        <w:t>, § 73.</w:t>
      </w:r>
    </w:p>
  </w:footnote>
  <w:footnote w:id="20">
    <w:p w14:paraId="606E1091" w14:textId="329F0581"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Igola Iguna c. République-Unie de Tanzanie</w:t>
      </w:r>
      <w:r w:rsidRPr="00CF6F2E">
        <w:rPr>
          <w:rFonts w:ascii="Arial" w:hAnsi="Arial" w:cs="Arial"/>
        </w:rPr>
        <w:t>, CAfDHP, Requête n° 020/2017, Arrêt du 1</w:t>
      </w:r>
      <w:r w:rsidRPr="00CF6F2E">
        <w:rPr>
          <w:rFonts w:ascii="Arial" w:hAnsi="Arial" w:cs="Arial"/>
          <w:vertAlign w:val="superscript"/>
        </w:rPr>
        <w:t>er</w:t>
      </w:r>
      <w:r w:rsidRPr="00CF6F2E">
        <w:rPr>
          <w:rFonts w:ascii="Arial" w:hAnsi="Arial" w:cs="Arial"/>
        </w:rPr>
        <w:t xml:space="preserve"> décembre 2022, §§ 37 et 38. </w:t>
      </w:r>
    </w:p>
  </w:footnote>
  <w:footnote w:id="21">
    <w:p w14:paraId="797E7A51" w14:textId="6C17F11E"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iCs/>
        </w:rPr>
        <w:t>Thomas c. Tanzanie</w:t>
      </w:r>
      <w:r w:rsidRPr="00CF6F2E">
        <w:rPr>
          <w:rFonts w:ascii="Arial" w:hAnsi="Arial" w:cs="Arial"/>
        </w:rPr>
        <w:t xml:space="preserve"> (fond), </w:t>
      </w:r>
      <w:r w:rsidRPr="00CF6F2E">
        <w:rPr>
          <w:rFonts w:ascii="Arial" w:hAnsi="Arial" w:cs="Arial"/>
          <w:i/>
        </w:rPr>
        <w:t>supra</w:t>
      </w:r>
      <w:r w:rsidRPr="00CF6F2E">
        <w:rPr>
          <w:rFonts w:ascii="Arial" w:hAnsi="Arial" w:cs="Arial"/>
        </w:rPr>
        <w:t xml:space="preserve">, § 73 ; </w:t>
      </w:r>
      <w:r w:rsidRPr="00CF6F2E">
        <w:rPr>
          <w:rFonts w:ascii="Arial" w:hAnsi="Arial" w:cs="Arial"/>
          <w:i/>
          <w:iCs/>
        </w:rPr>
        <w:t>Jonas c. Tanzanie</w:t>
      </w:r>
      <w:r w:rsidRPr="00CF6F2E">
        <w:rPr>
          <w:rFonts w:ascii="Arial" w:hAnsi="Arial" w:cs="Arial"/>
        </w:rPr>
        <w:t xml:space="preserve"> (fond), </w:t>
      </w:r>
      <w:r w:rsidRPr="00CF6F2E">
        <w:rPr>
          <w:rFonts w:ascii="Arial" w:hAnsi="Arial" w:cs="Arial"/>
          <w:i/>
        </w:rPr>
        <w:t>supra</w:t>
      </w:r>
      <w:r w:rsidRPr="00CF6F2E">
        <w:rPr>
          <w:rFonts w:ascii="Arial" w:hAnsi="Arial" w:cs="Arial"/>
        </w:rPr>
        <w:t xml:space="preserve">, § 54 ; </w:t>
      </w:r>
      <w:r w:rsidRPr="00CF6F2E">
        <w:rPr>
          <w:rFonts w:ascii="Arial" w:hAnsi="Arial" w:cs="Arial"/>
          <w:i/>
          <w:iCs/>
        </w:rPr>
        <w:t>Amir Ramadhani c. République-Unie de Tanzanie</w:t>
      </w:r>
      <w:r w:rsidRPr="00CF6F2E">
        <w:rPr>
          <w:rFonts w:ascii="Arial" w:hAnsi="Arial" w:cs="Arial"/>
        </w:rPr>
        <w:t xml:space="preserve"> (fond) (11 mai 2018) 2 RJCA 356, § 83.</w:t>
      </w:r>
    </w:p>
  </w:footnote>
  <w:footnote w:id="22">
    <w:p w14:paraId="042767FF" w14:textId="6D89FEE9"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Ramadhani c. Tanzanie</w:t>
      </w:r>
      <w:r w:rsidRPr="00CF6F2E">
        <w:rPr>
          <w:rFonts w:ascii="Arial" w:hAnsi="Arial" w:cs="Arial"/>
        </w:rPr>
        <w:t xml:space="preserve">, </w:t>
      </w:r>
      <w:r w:rsidRPr="00CF6F2E">
        <w:rPr>
          <w:rFonts w:ascii="Arial" w:hAnsi="Arial" w:cs="Arial"/>
          <w:i/>
        </w:rPr>
        <w:t>ibid.</w:t>
      </w:r>
      <w:r w:rsidRPr="00CF6F2E">
        <w:rPr>
          <w:rFonts w:ascii="Arial" w:hAnsi="Arial" w:cs="Arial"/>
        </w:rPr>
        <w:t xml:space="preserve">, § 50 ; </w:t>
      </w:r>
      <w:r w:rsidRPr="00CF6F2E">
        <w:rPr>
          <w:rFonts w:ascii="Arial" w:hAnsi="Arial" w:cs="Arial"/>
          <w:i/>
        </w:rPr>
        <w:t>Jonas c. Tanzanie</w:t>
      </w:r>
      <w:r w:rsidRPr="00CF6F2E">
        <w:rPr>
          <w:rFonts w:ascii="Arial" w:hAnsi="Arial" w:cs="Arial"/>
        </w:rPr>
        <w:t xml:space="preserve"> (fond), </w:t>
      </w:r>
      <w:r w:rsidRPr="00CF6F2E">
        <w:rPr>
          <w:rFonts w:ascii="Arial" w:hAnsi="Arial" w:cs="Arial"/>
          <w:i/>
        </w:rPr>
        <w:t>ibid.</w:t>
      </w:r>
      <w:r w:rsidRPr="00CF6F2E">
        <w:rPr>
          <w:rFonts w:ascii="Arial" w:hAnsi="Arial" w:cs="Arial"/>
        </w:rPr>
        <w:t>, § 54.</w:t>
      </w:r>
    </w:p>
  </w:footnote>
  <w:footnote w:id="23">
    <w:p w14:paraId="044B4E10" w14:textId="1B0705D9"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Thomas c. Tanzanie</w:t>
      </w:r>
      <w:r w:rsidRPr="00CF6F2E">
        <w:rPr>
          <w:rFonts w:ascii="Arial" w:hAnsi="Arial" w:cs="Arial"/>
        </w:rPr>
        <w:t xml:space="preserve"> (fond), </w:t>
      </w:r>
      <w:r w:rsidRPr="00CF6F2E">
        <w:rPr>
          <w:rFonts w:ascii="Arial" w:hAnsi="Arial" w:cs="Arial"/>
          <w:i/>
        </w:rPr>
        <w:t>supra</w:t>
      </w:r>
      <w:r w:rsidRPr="00CF6F2E">
        <w:rPr>
          <w:rFonts w:ascii="Arial" w:hAnsi="Arial" w:cs="Arial"/>
        </w:rPr>
        <w:t xml:space="preserve">, § 73 ; </w:t>
      </w:r>
      <w:r w:rsidRPr="00CF6F2E">
        <w:rPr>
          <w:rFonts w:ascii="Arial" w:hAnsi="Arial" w:cs="Arial"/>
          <w:i/>
        </w:rPr>
        <w:t>Jonas c. Tanzanie</w:t>
      </w:r>
      <w:r w:rsidRPr="00CF6F2E">
        <w:rPr>
          <w:rFonts w:ascii="Arial" w:hAnsi="Arial" w:cs="Arial"/>
        </w:rPr>
        <w:t xml:space="preserve"> (fond), </w:t>
      </w:r>
      <w:r w:rsidRPr="00CF6F2E">
        <w:rPr>
          <w:rFonts w:ascii="Arial" w:hAnsi="Arial" w:cs="Arial"/>
          <w:i/>
        </w:rPr>
        <w:t>supra</w:t>
      </w:r>
      <w:r w:rsidRPr="00CF6F2E">
        <w:rPr>
          <w:rFonts w:ascii="Arial" w:hAnsi="Arial" w:cs="Arial"/>
        </w:rPr>
        <w:t xml:space="preserve">, § 54 ; </w:t>
      </w:r>
      <w:r w:rsidRPr="00CF6F2E">
        <w:rPr>
          <w:rFonts w:ascii="Arial" w:hAnsi="Arial" w:cs="Arial"/>
          <w:i/>
        </w:rPr>
        <w:t>Ramadhani c. Tanzanie</w:t>
      </w:r>
      <w:r w:rsidRPr="00CF6F2E">
        <w:rPr>
          <w:rFonts w:ascii="Arial" w:hAnsi="Arial" w:cs="Arial"/>
        </w:rPr>
        <w:t xml:space="preserve"> (fond), </w:t>
      </w:r>
      <w:r w:rsidRPr="00CF6F2E">
        <w:rPr>
          <w:rFonts w:ascii="Arial" w:hAnsi="Arial" w:cs="Arial"/>
          <w:i/>
        </w:rPr>
        <w:t>supra</w:t>
      </w:r>
      <w:r w:rsidRPr="00CF6F2E">
        <w:rPr>
          <w:rFonts w:ascii="Arial" w:hAnsi="Arial" w:cs="Arial"/>
        </w:rPr>
        <w:t xml:space="preserve">, § 83 ; </w:t>
      </w:r>
      <w:r w:rsidRPr="00CF6F2E">
        <w:rPr>
          <w:rFonts w:ascii="Arial" w:hAnsi="Arial" w:cs="Arial"/>
          <w:i/>
        </w:rPr>
        <w:t>Iguna c. Tanzanie</w:t>
      </w:r>
      <w:r w:rsidRPr="00CF6F2E">
        <w:rPr>
          <w:rFonts w:ascii="Arial" w:hAnsi="Arial" w:cs="Arial"/>
        </w:rPr>
        <w:t xml:space="preserve">, </w:t>
      </w:r>
      <w:r w:rsidRPr="00CF6F2E">
        <w:rPr>
          <w:rFonts w:ascii="Arial" w:hAnsi="Arial" w:cs="Arial"/>
          <w:i/>
        </w:rPr>
        <w:t>supra</w:t>
      </w:r>
      <w:r w:rsidRPr="00CF6F2E">
        <w:rPr>
          <w:rFonts w:ascii="Arial" w:hAnsi="Arial" w:cs="Arial"/>
        </w:rPr>
        <w:t xml:space="preserve">, </w:t>
      </w:r>
      <w:r w:rsidRPr="00CF6F2E">
        <w:rPr>
          <w:rFonts w:ascii="Arial" w:hAnsi="Arial" w:cs="Arial"/>
          <w:color w:val="000000" w:themeColor="text1"/>
        </w:rPr>
        <w:t>§</w:t>
      </w:r>
      <w:r w:rsidRPr="00CF6F2E">
        <w:rPr>
          <w:rFonts w:ascii="Arial" w:hAnsi="Arial" w:cs="Arial"/>
        </w:rPr>
        <w:t xml:space="preserve"> 39.</w:t>
      </w:r>
    </w:p>
  </w:footnote>
  <w:footnote w:id="24">
    <w:p w14:paraId="3C8368D7" w14:textId="3AADFE9F"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 xml:space="preserve">Kijiji Isiaga c. République-Unie de Tanzanie </w:t>
      </w:r>
      <w:r w:rsidRPr="00CF6F2E">
        <w:rPr>
          <w:rFonts w:ascii="Arial" w:hAnsi="Arial" w:cs="Arial"/>
        </w:rPr>
        <w:t>(fond) (21 mars 2018) 2 RJCA 2</w:t>
      </w:r>
      <w:r>
        <w:rPr>
          <w:rFonts w:ascii="Arial" w:hAnsi="Arial" w:cs="Arial"/>
        </w:rPr>
        <w:t>26</w:t>
      </w:r>
      <w:r w:rsidRPr="00CF6F2E">
        <w:rPr>
          <w:rFonts w:ascii="Arial" w:hAnsi="Arial" w:cs="Arial"/>
        </w:rPr>
        <w:t>, § 65.</w:t>
      </w:r>
    </w:p>
  </w:footnote>
  <w:footnote w:id="25">
    <w:p w14:paraId="6BF7CA1E" w14:textId="01D19996"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A</w:t>
      </w:r>
      <w:r w:rsidRPr="00CF6F2E">
        <w:rPr>
          <w:rFonts w:ascii="Arial" w:hAnsi="Arial" w:cs="Arial"/>
          <w:i/>
          <w:iCs/>
        </w:rPr>
        <w:t>bubakari c. Tanzanie</w:t>
      </w:r>
      <w:r w:rsidRPr="00CF6F2E">
        <w:rPr>
          <w:rFonts w:ascii="Arial" w:hAnsi="Arial" w:cs="Arial"/>
        </w:rPr>
        <w:t xml:space="preserve"> (fond), </w:t>
      </w:r>
      <w:r w:rsidRPr="00CF6F2E">
        <w:rPr>
          <w:rFonts w:ascii="Arial" w:hAnsi="Arial" w:cs="Arial"/>
          <w:i/>
        </w:rPr>
        <w:t>supra</w:t>
      </w:r>
      <w:r w:rsidRPr="00CF6F2E">
        <w:rPr>
          <w:rFonts w:ascii="Arial" w:hAnsi="Arial" w:cs="Arial"/>
        </w:rPr>
        <w:t xml:space="preserve">, § 173. </w:t>
      </w:r>
    </w:p>
  </w:footnote>
  <w:footnote w:id="26">
    <w:p w14:paraId="0D30BEDF" w14:textId="55B0DB16"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Ibid</w:t>
      </w:r>
      <w:r w:rsidRPr="00CF6F2E">
        <w:rPr>
          <w:rFonts w:ascii="Arial" w:hAnsi="Arial" w:cs="Arial"/>
        </w:rPr>
        <w:t xml:space="preserve">, § 174. </w:t>
      </w:r>
    </w:p>
  </w:footnote>
  <w:footnote w:id="27">
    <w:p w14:paraId="456962A1" w14:textId="07E66C71"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Un groupe d</w:t>
      </w:r>
      <w:r>
        <w:rPr>
          <w:rFonts w:ascii="Arial" w:hAnsi="Arial" w:cs="Arial"/>
        </w:rPr>
        <w:t>’</w:t>
      </w:r>
      <w:r w:rsidRPr="00CF6F2E">
        <w:rPr>
          <w:rFonts w:ascii="Arial" w:hAnsi="Arial" w:cs="Arial"/>
        </w:rPr>
        <w:t xml:space="preserve">autodéfense ou une force de sécurité informelle. </w:t>
      </w:r>
    </w:p>
  </w:footnote>
  <w:footnote w:id="28">
    <w:p w14:paraId="0F22529F" w14:textId="138DA345"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Tuwamoi c. Ouganda</w:t>
      </w:r>
      <w:r w:rsidRPr="00CF6F2E">
        <w:rPr>
          <w:rFonts w:ascii="Arial" w:hAnsi="Arial" w:cs="Arial"/>
        </w:rPr>
        <w:t xml:space="preserve"> [1967] EA 84 à la page 91. « Le point de droit est le suivant : la cour de céans a le droit de condamner un accusé sur la base d</w:t>
      </w:r>
      <w:r>
        <w:rPr>
          <w:rFonts w:ascii="Arial" w:hAnsi="Arial" w:cs="Arial"/>
        </w:rPr>
        <w:t>’</w:t>
      </w:r>
      <w:r w:rsidRPr="00CF6F2E">
        <w:rPr>
          <w:rFonts w:ascii="Arial" w:hAnsi="Arial" w:cs="Arial"/>
        </w:rPr>
        <w:t>un aveu rétracté si elle est convaincue, après avoir pris en compte les éléments matériels de l</w:t>
      </w:r>
      <w:r>
        <w:rPr>
          <w:rFonts w:ascii="Arial" w:hAnsi="Arial" w:cs="Arial"/>
        </w:rPr>
        <w:t>’</w:t>
      </w:r>
      <w:r w:rsidRPr="00CF6F2E">
        <w:rPr>
          <w:rFonts w:ascii="Arial" w:hAnsi="Arial" w:cs="Arial"/>
        </w:rPr>
        <w:t>affaire, qu</w:t>
      </w:r>
      <w:r>
        <w:rPr>
          <w:rFonts w:ascii="Arial" w:hAnsi="Arial" w:cs="Arial"/>
        </w:rPr>
        <w:t>’</w:t>
      </w:r>
      <w:r w:rsidRPr="00CF6F2E">
        <w:rPr>
          <w:rFonts w:ascii="Arial" w:hAnsi="Arial" w:cs="Arial"/>
        </w:rPr>
        <w:t>il ne ressort des éléments de la déclaration que la vérité et rien d</w:t>
      </w:r>
      <w:r>
        <w:rPr>
          <w:rFonts w:ascii="Arial" w:hAnsi="Arial" w:cs="Arial"/>
        </w:rPr>
        <w:t>’</w:t>
      </w:r>
      <w:r w:rsidRPr="00CF6F2E">
        <w:rPr>
          <w:rFonts w:ascii="Arial" w:hAnsi="Arial" w:cs="Arial"/>
        </w:rPr>
        <w:t>autre ».</w:t>
      </w:r>
    </w:p>
  </w:footnote>
  <w:footnote w:id="29">
    <w:p w14:paraId="170D4D36" w14:textId="77777777"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iCs/>
        </w:rPr>
        <w:t>Nganyi et autres c. Tanzanie</w:t>
      </w:r>
      <w:r w:rsidRPr="00CF6F2E">
        <w:rPr>
          <w:rFonts w:ascii="Arial" w:hAnsi="Arial" w:cs="Arial"/>
        </w:rPr>
        <w:t xml:space="preserve"> (fond), </w:t>
      </w:r>
      <w:r w:rsidRPr="00CF6F2E">
        <w:rPr>
          <w:rFonts w:ascii="Arial" w:hAnsi="Arial" w:cs="Arial"/>
          <w:i/>
        </w:rPr>
        <w:t>supra</w:t>
      </w:r>
      <w:r w:rsidRPr="00CF6F2E">
        <w:rPr>
          <w:rFonts w:ascii="Arial" w:hAnsi="Arial" w:cs="Arial"/>
        </w:rPr>
        <w:t xml:space="preserve">, § 135. </w:t>
      </w:r>
    </w:p>
  </w:footnote>
  <w:footnote w:id="30">
    <w:p w14:paraId="597FB05D" w14:textId="77777777"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Ibid</w:t>
      </w:r>
      <w:r w:rsidRPr="00CF6F2E">
        <w:rPr>
          <w:rFonts w:ascii="Arial" w:hAnsi="Arial" w:cs="Arial"/>
        </w:rPr>
        <w:t xml:space="preserve">, §§ 134 et 136. </w:t>
      </w:r>
    </w:p>
  </w:footnote>
  <w:footnote w:id="31">
    <w:p w14:paraId="129DC46B" w14:textId="77777777"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Ibid</w:t>
      </w:r>
      <w:r w:rsidRPr="00CF6F2E">
        <w:rPr>
          <w:rFonts w:ascii="Arial" w:hAnsi="Arial" w:cs="Arial"/>
        </w:rPr>
        <w:t xml:space="preserve">, § 153. </w:t>
      </w:r>
    </w:p>
  </w:footnote>
  <w:footnote w:id="32">
    <w:p w14:paraId="02EE7627" w14:textId="6AD2133D" w:rsidR="009577FE" w:rsidRPr="002607EE" w:rsidRDefault="009577FE" w:rsidP="001F39E9">
      <w:pPr>
        <w:pStyle w:val="FootnoteText"/>
        <w:jc w:val="both"/>
        <w:rPr>
          <w:rFonts w:ascii="Arial" w:hAnsi="Arial" w:cs="Arial"/>
          <w:bCs/>
        </w:rPr>
      </w:pPr>
      <w:r w:rsidRPr="002607EE">
        <w:rPr>
          <w:rStyle w:val="FootnoteReference"/>
          <w:rFonts w:ascii="Arial" w:hAnsi="Arial" w:cs="Arial"/>
          <w:bCs/>
        </w:rPr>
        <w:footnoteRef/>
      </w:r>
      <w:r w:rsidRPr="002607EE">
        <w:rPr>
          <w:rFonts w:ascii="Arial" w:hAnsi="Arial" w:cs="Arial"/>
          <w:bCs/>
        </w:rPr>
        <w:t xml:space="preserve"> Aux termes de l</w:t>
      </w:r>
      <w:r>
        <w:rPr>
          <w:rFonts w:ascii="Arial" w:hAnsi="Arial" w:cs="Arial"/>
          <w:bCs/>
        </w:rPr>
        <w:t>’</w:t>
      </w:r>
      <w:r w:rsidRPr="002607EE">
        <w:rPr>
          <w:rFonts w:ascii="Arial" w:hAnsi="Arial" w:cs="Arial"/>
          <w:bCs/>
        </w:rPr>
        <w:t>article 66(3) et (4) du Règlement de la Cour d</w:t>
      </w:r>
      <w:r>
        <w:rPr>
          <w:rFonts w:ascii="Arial" w:hAnsi="Arial" w:cs="Arial"/>
          <w:bCs/>
        </w:rPr>
        <w:t>’</w:t>
      </w:r>
      <w:r w:rsidRPr="002607EE">
        <w:rPr>
          <w:rFonts w:ascii="Arial" w:hAnsi="Arial" w:cs="Arial"/>
          <w:bCs/>
        </w:rPr>
        <w:t xml:space="preserve">appel, 2009 : </w:t>
      </w:r>
    </w:p>
    <w:p w14:paraId="113762D4" w14:textId="329BF504" w:rsidR="009577FE" w:rsidRPr="002607EE" w:rsidRDefault="009577FE" w:rsidP="001F39E9">
      <w:pPr>
        <w:pStyle w:val="FootnoteText"/>
        <w:jc w:val="both"/>
        <w:rPr>
          <w:rFonts w:ascii="Arial" w:hAnsi="Arial" w:cs="Arial"/>
          <w:bCs/>
        </w:rPr>
      </w:pPr>
      <w:r w:rsidRPr="002607EE">
        <w:rPr>
          <w:rFonts w:ascii="Arial" w:hAnsi="Arial" w:cs="Arial"/>
          <w:bCs/>
        </w:rPr>
        <w:t>(3) L</w:t>
      </w:r>
      <w:r>
        <w:rPr>
          <w:rFonts w:ascii="Arial" w:hAnsi="Arial" w:cs="Arial"/>
          <w:bCs/>
        </w:rPr>
        <w:t>’</w:t>
      </w:r>
      <w:r w:rsidRPr="002607EE">
        <w:rPr>
          <w:rFonts w:ascii="Arial" w:hAnsi="Arial" w:cs="Arial"/>
          <w:bCs/>
        </w:rPr>
        <w:t>avis de requête en révision doit être déposé dans un délai de soixante jours à compter de la date de l</w:t>
      </w:r>
      <w:r>
        <w:rPr>
          <w:rFonts w:ascii="Arial" w:hAnsi="Arial" w:cs="Arial"/>
          <w:bCs/>
        </w:rPr>
        <w:t>’</w:t>
      </w:r>
      <w:r w:rsidRPr="002607EE">
        <w:rPr>
          <w:rFonts w:ascii="Arial" w:hAnsi="Arial" w:cs="Arial"/>
          <w:bCs/>
        </w:rPr>
        <w:t>arrêt ou de l</w:t>
      </w:r>
      <w:r>
        <w:rPr>
          <w:rFonts w:ascii="Arial" w:hAnsi="Arial" w:cs="Arial"/>
          <w:bCs/>
        </w:rPr>
        <w:t>’</w:t>
      </w:r>
      <w:r w:rsidRPr="002607EE">
        <w:rPr>
          <w:rFonts w:ascii="Arial" w:hAnsi="Arial" w:cs="Arial"/>
          <w:bCs/>
        </w:rPr>
        <w:t xml:space="preserve">ordonnance dont la révision est sollicitée. Elle expose clairement les motifs de la révision. </w:t>
      </w:r>
    </w:p>
    <w:p w14:paraId="14D71C63" w14:textId="55735AB5" w:rsidR="009577FE" w:rsidRPr="00CF6F2E" w:rsidRDefault="009577FE" w:rsidP="001F39E9">
      <w:pPr>
        <w:pStyle w:val="FootnoteText"/>
        <w:jc w:val="both"/>
        <w:rPr>
          <w:rFonts w:ascii="Arial" w:hAnsi="Arial" w:cs="Arial"/>
          <w:b/>
        </w:rPr>
      </w:pPr>
      <w:r w:rsidRPr="002607EE">
        <w:rPr>
          <w:rFonts w:ascii="Arial" w:hAnsi="Arial" w:cs="Arial"/>
          <w:bCs/>
        </w:rPr>
        <w:t>(4) Des copies de l</w:t>
      </w:r>
      <w:r>
        <w:rPr>
          <w:rFonts w:ascii="Arial" w:hAnsi="Arial" w:cs="Arial"/>
          <w:bCs/>
        </w:rPr>
        <w:t>’</w:t>
      </w:r>
      <w:r w:rsidRPr="002607EE">
        <w:rPr>
          <w:rFonts w:ascii="Arial" w:hAnsi="Arial" w:cs="Arial"/>
          <w:bCs/>
        </w:rPr>
        <w:t>avis de requête en révision sont signifiées à l</w:t>
      </w:r>
      <w:r>
        <w:rPr>
          <w:rFonts w:ascii="Arial" w:hAnsi="Arial" w:cs="Arial"/>
          <w:bCs/>
        </w:rPr>
        <w:t>’</w:t>
      </w:r>
      <w:r w:rsidRPr="002607EE">
        <w:rPr>
          <w:rFonts w:ascii="Arial" w:hAnsi="Arial" w:cs="Arial"/>
          <w:bCs/>
        </w:rPr>
        <w:t>autre ou aux autres parties, selon le cas, dans un délai de quatorze jours à compter de la date de dépôt. La partie à l</w:t>
      </w:r>
      <w:r>
        <w:rPr>
          <w:rFonts w:ascii="Arial" w:hAnsi="Arial" w:cs="Arial"/>
          <w:bCs/>
        </w:rPr>
        <w:t>’</w:t>
      </w:r>
      <w:r w:rsidRPr="002607EE">
        <w:rPr>
          <w:rFonts w:ascii="Arial" w:hAnsi="Arial" w:cs="Arial"/>
          <w:bCs/>
        </w:rPr>
        <w:t>initiative de l</w:t>
      </w:r>
      <w:r>
        <w:rPr>
          <w:rFonts w:ascii="Arial" w:hAnsi="Arial" w:cs="Arial"/>
          <w:bCs/>
        </w:rPr>
        <w:t>’</w:t>
      </w:r>
      <w:r w:rsidRPr="002607EE">
        <w:rPr>
          <w:rFonts w:ascii="Arial" w:hAnsi="Arial" w:cs="Arial"/>
          <w:bCs/>
        </w:rPr>
        <w:t>avis doit déposer auprès de la juridiction la preuve de la signification.</w:t>
      </w:r>
    </w:p>
  </w:footnote>
  <w:footnote w:id="33">
    <w:p w14:paraId="2112A707" w14:textId="16F529CF" w:rsidR="009577FE" w:rsidRPr="00CF6F2E" w:rsidRDefault="009577FE" w:rsidP="00CF6F2E">
      <w:pPr>
        <w:pStyle w:val="FootnoteText"/>
        <w:jc w:val="both"/>
        <w:rPr>
          <w:rFonts w:ascii="Arial" w:hAnsi="Arial" w:cs="Arial"/>
          <w:color w:val="000000" w:themeColor="text1"/>
        </w:rPr>
      </w:pPr>
      <w:r w:rsidRPr="00CF6F2E">
        <w:rPr>
          <w:rStyle w:val="FootnoteReference"/>
          <w:rFonts w:ascii="Arial" w:hAnsi="Arial" w:cs="Arial"/>
          <w:color w:val="000000" w:themeColor="text1"/>
        </w:rPr>
        <w:footnoteRef/>
      </w:r>
      <w:r w:rsidRPr="00CF6F2E">
        <w:rPr>
          <w:rFonts w:ascii="Arial" w:hAnsi="Arial" w:cs="Arial"/>
          <w:i/>
          <w:iCs/>
        </w:rPr>
        <w:t xml:space="preserve"> Thomas c. Tanzanie</w:t>
      </w:r>
      <w:r w:rsidRPr="00CF6F2E">
        <w:rPr>
          <w:rFonts w:ascii="Arial" w:hAnsi="Arial" w:cs="Arial"/>
        </w:rPr>
        <w:t xml:space="preserve"> (fond), </w:t>
      </w:r>
      <w:r w:rsidRPr="00CF6F2E">
        <w:rPr>
          <w:rFonts w:ascii="Arial" w:hAnsi="Arial" w:cs="Arial"/>
          <w:i/>
        </w:rPr>
        <w:t>supra</w:t>
      </w:r>
      <w:r w:rsidRPr="00CF6F2E">
        <w:rPr>
          <w:rFonts w:ascii="Arial" w:hAnsi="Arial" w:cs="Arial"/>
        </w:rPr>
        <w:t>, § 124.</w:t>
      </w:r>
      <w:r w:rsidRPr="00CF6F2E">
        <w:rPr>
          <w:rFonts w:ascii="Arial" w:hAnsi="Arial" w:cs="Arial"/>
          <w:color w:val="000000" w:themeColor="text1"/>
        </w:rPr>
        <w:t xml:space="preserve"> </w:t>
      </w:r>
    </w:p>
  </w:footnote>
  <w:footnote w:id="34">
    <w:p w14:paraId="1FB6A835" w14:textId="43564A29" w:rsidR="009577FE" w:rsidRPr="00CF6F2E" w:rsidRDefault="009577FE" w:rsidP="00CF6F2E">
      <w:pPr>
        <w:pStyle w:val="FootnoteText"/>
        <w:contextualSpacing/>
        <w:jc w:val="both"/>
        <w:rPr>
          <w:rFonts w:ascii="Arial" w:hAnsi="Arial" w:cs="Arial"/>
        </w:rPr>
      </w:pPr>
      <w:r w:rsidRPr="00CF6F2E">
        <w:rPr>
          <w:rStyle w:val="FootnoteReference"/>
          <w:rFonts w:ascii="Arial" w:hAnsi="Arial" w:cs="Arial"/>
        </w:rPr>
        <w:footnoteRef/>
      </w:r>
      <w:r w:rsidRPr="00CF6F2E">
        <w:rPr>
          <w:rFonts w:ascii="Arial" w:hAnsi="Arial" w:cs="Arial"/>
          <w:i/>
        </w:rPr>
        <w:t xml:space="preserve"> Idem</w:t>
      </w:r>
      <w:r w:rsidR="00BC0BDE">
        <w:rPr>
          <w:rFonts w:ascii="Arial" w:hAnsi="Arial" w:cs="Arial"/>
          <w:i/>
        </w:rPr>
        <w:t xml:space="preserve"> </w:t>
      </w:r>
      <w:r w:rsidRPr="00CF6F2E">
        <w:rPr>
          <w:rFonts w:ascii="Arial" w:hAnsi="Arial" w:cs="Arial"/>
        </w:rPr>
        <w:t xml:space="preserve">; </w:t>
      </w:r>
      <w:r w:rsidRPr="00CF6F2E">
        <w:rPr>
          <w:rFonts w:ascii="Arial" w:hAnsi="Arial" w:cs="Arial"/>
          <w:i/>
        </w:rPr>
        <w:t>Nganyi et autres c. Tanzanie</w:t>
      </w:r>
      <w:r w:rsidRPr="00CF6F2E">
        <w:rPr>
          <w:rFonts w:ascii="Arial" w:hAnsi="Arial" w:cs="Arial"/>
        </w:rPr>
        <w:t xml:space="preserve"> (fond), </w:t>
      </w:r>
      <w:r w:rsidRPr="00CF6F2E">
        <w:rPr>
          <w:rFonts w:ascii="Arial" w:hAnsi="Arial" w:cs="Arial"/>
          <w:i/>
        </w:rPr>
        <w:t>supra</w:t>
      </w:r>
      <w:r w:rsidRPr="00CF6F2E">
        <w:rPr>
          <w:rFonts w:ascii="Arial" w:hAnsi="Arial" w:cs="Arial"/>
        </w:rPr>
        <w:t xml:space="preserve">, § 183. </w:t>
      </w:r>
    </w:p>
  </w:footnote>
  <w:footnote w:id="35">
    <w:p w14:paraId="08936D45" w14:textId="4F54EFDF"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Nom des conseils tels qu</w:t>
      </w:r>
      <w:r>
        <w:rPr>
          <w:rFonts w:ascii="Arial" w:hAnsi="Arial" w:cs="Arial"/>
        </w:rPr>
        <w:t>’</w:t>
      </w:r>
      <w:r w:rsidRPr="00CF6F2E">
        <w:rPr>
          <w:rFonts w:ascii="Arial" w:hAnsi="Arial" w:cs="Arial"/>
        </w:rPr>
        <w:t>ils figurent dans le dossier.</w:t>
      </w:r>
    </w:p>
  </w:footnote>
  <w:footnote w:id="36">
    <w:p w14:paraId="26A212A8" w14:textId="65EDAA8F" w:rsidR="009577FE" w:rsidRPr="00CF6F2E" w:rsidRDefault="009577FE" w:rsidP="00CF6F2E">
      <w:pPr>
        <w:pStyle w:val="FootnoteText"/>
        <w:jc w:val="both"/>
        <w:rPr>
          <w:rFonts w:ascii="Arial" w:hAnsi="Arial" w:cs="Arial"/>
        </w:rPr>
      </w:pPr>
      <w:r w:rsidRPr="00CF6F2E">
        <w:rPr>
          <w:rStyle w:val="FootnoteReference"/>
          <w:rFonts w:ascii="Arial" w:hAnsi="Arial" w:cs="Arial"/>
        </w:rPr>
        <w:footnoteRef/>
      </w:r>
      <w:r w:rsidRPr="00CF6F2E">
        <w:rPr>
          <w:rFonts w:ascii="Arial" w:hAnsi="Arial" w:cs="Arial"/>
        </w:rPr>
        <w:t xml:space="preserve"> </w:t>
      </w:r>
      <w:r w:rsidRPr="00CF6F2E">
        <w:rPr>
          <w:rFonts w:ascii="Arial" w:hAnsi="Arial" w:cs="Arial"/>
          <w:i/>
        </w:rPr>
        <w:t>Evodius Rutechura c. République Unie de Tanzanie</w:t>
      </w:r>
      <w:r w:rsidRPr="00CF6F2E">
        <w:rPr>
          <w:rFonts w:ascii="Arial" w:hAnsi="Arial" w:cs="Arial"/>
        </w:rPr>
        <w:t xml:space="preserve">, </w:t>
      </w:r>
      <w:r>
        <w:rPr>
          <w:rFonts w:ascii="Arial" w:hAnsi="Arial" w:cs="Arial"/>
        </w:rPr>
        <w:t>CAfDHP</w:t>
      </w:r>
      <w:r w:rsidRPr="00CF6F2E">
        <w:rPr>
          <w:rFonts w:ascii="Arial" w:hAnsi="Arial" w:cs="Arial"/>
        </w:rPr>
        <w:t xml:space="preserve">, Requête n° 004/2016, Arrêt du 26 février 2021 (fond et réparations), § 75. </w:t>
      </w:r>
    </w:p>
  </w:footnote>
  <w:footnote w:id="37">
    <w:p w14:paraId="4F8B8F1D" w14:textId="3A27909F" w:rsidR="009577FE" w:rsidRPr="002607EE" w:rsidRDefault="009577FE" w:rsidP="00CF6F2E">
      <w:pPr>
        <w:pStyle w:val="FootnoteText"/>
        <w:jc w:val="both"/>
        <w:rPr>
          <w:rFonts w:ascii="Arial" w:hAnsi="Arial" w:cs="Arial"/>
        </w:rPr>
      </w:pPr>
      <w:r w:rsidRPr="002607EE">
        <w:rPr>
          <w:rStyle w:val="FootnoteReference"/>
          <w:rFonts w:ascii="Arial" w:hAnsi="Arial" w:cs="Arial"/>
        </w:rPr>
        <w:footnoteRef/>
      </w:r>
      <w:r w:rsidRPr="002607EE">
        <w:rPr>
          <w:rFonts w:ascii="Arial" w:hAnsi="Arial" w:cs="Arial"/>
        </w:rPr>
        <w:t xml:space="preserve"> </w:t>
      </w:r>
      <w:r w:rsidRPr="002607EE">
        <w:rPr>
          <w:rFonts w:ascii="Arial" w:hAnsi="Arial" w:cs="Arial"/>
          <w:i/>
        </w:rPr>
        <w:t>Ally Rajabu et autres c. République-Unie de Tanzanie</w:t>
      </w:r>
      <w:r w:rsidRPr="002607EE">
        <w:rPr>
          <w:rFonts w:ascii="Arial" w:hAnsi="Arial" w:cs="Arial"/>
        </w:rPr>
        <w:t xml:space="preserve"> (fond et réparations) (28 novembre 2019) 3 RJCA 562, §§ 104 à 114. Voir également, </w:t>
      </w:r>
      <w:r w:rsidRPr="002607EE">
        <w:rPr>
          <w:rFonts w:ascii="Arial" w:hAnsi="Arial" w:cs="Arial"/>
          <w:i/>
        </w:rPr>
        <w:t>Amini Juma c. République-Unie de Tanzanie</w:t>
      </w:r>
      <w:r w:rsidRPr="002607EE">
        <w:rPr>
          <w:rFonts w:ascii="Arial" w:hAnsi="Arial" w:cs="Arial"/>
        </w:rPr>
        <w:t>, CAfDHP, Requête n° 024/2016, Arrêt du 30 septembre 2021, §§ 120 à 131</w:t>
      </w:r>
      <w:r w:rsidR="004E2699">
        <w:rPr>
          <w:rFonts w:ascii="Arial" w:hAnsi="Arial" w:cs="Arial"/>
        </w:rPr>
        <w:t xml:space="preserve"> </w:t>
      </w:r>
      <w:r w:rsidRPr="002607EE">
        <w:rPr>
          <w:rFonts w:ascii="Arial" w:hAnsi="Arial" w:cs="Arial"/>
        </w:rPr>
        <w:t xml:space="preserve">; </w:t>
      </w:r>
      <w:r w:rsidRPr="002607EE">
        <w:rPr>
          <w:rFonts w:ascii="Arial" w:hAnsi="Arial" w:cs="Arial"/>
          <w:i/>
        </w:rPr>
        <w:t xml:space="preserve">Gozbert Henerico c. République-Unie de Tanzanie ; </w:t>
      </w:r>
      <w:r w:rsidRPr="002607EE">
        <w:rPr>
          <w:rFonts w:ascii="Arial" w:hAnsi="Arial" w:cs="Arial"/>
        </w:rPr>
        <w:t>CAfDHP, Requête n° 056/2016, Arrêt du 10 janvier 2022, § 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A7A9" w14:textId="751084C3" w:rsidR="009577FE" w:rsidRDefault="009577FE" w:rsidP="00EF64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619B"/>
    <w:multiLevelType w:val="hybridMultilevel"/>
    <w:tmpl w:val="F9E0AC68"/>
    <w:lvl w:ilvl="0" w:tplc="5802CD98">
      <w:start w:val="79"/>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BD290E"/>
    <w:multiLevelType w:val="hybridMultilevel"/>
    <w:tmpl w:val="66F68910"/>
    <w:lvl w:ilvl="0" w:tplc="040C0015">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6D13AA8"/>
    <w:multiLevelType w:val="hybridMultilevel"/>
    <w:tmpl w:val="52747EC2"/>
    <w:lvl w:ilvl="0" w:tplc="BD9EDCE2">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D1EFC"/>
    <w:multiLevelType w:val="hybridMultilevel"/>
    <w:tmpl w:val="7D0CA1FA"/>
    <w:lvl w:ilvl="0" w:tplc="E398E67A">
      <w:start w:val="87"/>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4119C2"/>
    <w:multiLevelType w:val="hybridMultilevel"/>
    <w:tmpl w:val="E7565B34"/>
    <w:lvl w:ilvl="0" w:tplc="04090015">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B29598E"/>
    <w:multiLevelType w:val="hybridMultilevel"/>
    <w:tmpl w:val="2032760C"/>
    <w:lvl w:ilvl="0" w:tplc="2B2E05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55E85"/>
    <w:multiLevelType w:val="hybridMultilevel"/>
    <w:tmpl w:val="D1C4F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70190"/>
    <w:multiLevelType w:val="hybridMultilevel"/>
    <w:tmpl w:val="E3527B20"/>
    <w:lvl w:ilvl="0" w:tplc="5AF02CB0">
      <w:start w:val="80"/>
      <w:numFmt w:val="decimal"/>
      <w:lvlText w:val="%1"/>
      <w:lvlJc w:val="left"/>
      <w:pPr>
        <w:ind w:left="720" w:hanging="360"/>
      </w:pPr>
      <w:rPr>
        <w:rFonts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A274F6"/>
    <w:multiLevelType w:val="hybridMultilevel"/>
    <w:tmpl w:val="706AF5F0"/>
    <w:lvl w:ilvl="0" w:tplc="7A8E3DC0">
      <w:start w:val="74"/>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966B81"/>
    <w:multiLevelType w:val="hybridMultilevel"/>
    <w:tmpl w:val="BA168CEC"/>
    <w:lvl w:ilvl="0" w:tplc="CCBE539E">
      <w:start w:val="1"/>
      <w:numFmt w:val="upperLetter"/>
      <w:lvlText w:val="%1."/>
      <w:lvlJc w:val="left"/>
      <w:pPr>
        <w:ind w:left="1080" w:hanging="360"/>
      </w:pPr>
      <w:rPr>
        <w:rFonts w:hint="default"/>
        <w:color w:val="000000" w:themeColor="text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2090F31"/>
    <w:multiLevelType w:val="hybridMultilevel"/>
    <w:tmpl w:val="F43EA5CA"/>
    <w:lvl w:ilvl="0" w:tplc="DF704692">
      <w:start w:val="1"/>
      <w:numFmt w:val="decimal"/>
      <w:lvlText w:val="%1."/>
      <w:lvlJc w:val="left"/>
      <w:pPr>
        <w:ind w:left="-326" w:hanging="360"/>
      </w:pPr>
      <w:rPr>
        <w:rFonts w:ascii="Arial" w:hAnsi="Arial" w:cs="Arial" w:hint="default"/>
        <w:b w:val="0"/>
        <w:bCs w:val="0"/>
      </w:rPr>
    </w:lvl>
    <w:lvl w:ilvl="1" w:tplc="123CF910">
      <w:start w:val="1"/>
      <w:numFmt w:val="lowerRoman"/>
      <w:lvlText w:val="%2."/>
      <w:lvlJc w:val="left"/>
      <w:pPr>
        <w:ind w:left="524" w:hanging="360"/>
      </w:pPr>
      <w:rPr>
        <w:rFonts w:eastAsiaTheme="minorHAnsi" w:hint="default"/>
      </w:rPr>
    </w:lvl>
    <w:lvl w:ilvl="2" w:tplc="5F2C9B6C">
      <w:start w:val="2"/>
      <w:numFmt w:val="upperLetter"/>
      <w:lvlText w:val="%3."/>
      <w:lvlJc w:val="left"/>
      <w:pPr>
        <w:ind w:left="242" w:hanging="360"/>
      </w:pPr>
      <w:rPr>
        <w:rFonts w:hint="default"/>
        <w:b/>
      </w:rPr>
    </w:lvl>
    <w:lvl w:ilvl="3" w:tplc="8BCCA4E4">
      <w:start w:val="1"/>
      <w:numFmt w:val="lowerLetter"/>
      <w:lvlText w:val="%4."/>
      <w:lvlJc w:val="left"/>
      <w:pPr>
        <w:ind w:left="2052" w:hanging="360"/>
      </w:pPr>
      <w:rPr>
        <w:rFonts w:hint="default"/>
      </w:rPr>
    </w:lvl>
    <w:lvl w:ilvl="4" w:tplc="40090019" w:tentative="1">
      <w:start w:val="1"/>
      <w:numFmt w:val="lowerLetter"/>
      <w:lvlText w:val="%5."/>
      <w:lvlJc w:val="left"/>
      <w:pPr>
        <w:ind w:left="2772" w:hanging="360"/>
      </w:pPr>
    </w:lvl>
    <w:lvl w:ilvl="5" w:tplc="4009001B" w:tentative="1">
      <w:start w:val="1"/>
      <w:numFmt w:val="lowerRoman"/>
      <w:lvlText w:val="%6."/>
      <w:lvlJc w:val="right"/>
      <w:pPr>
        <w:ind w:left="3492" w:hanging="180"/>
      </w:pPr>
    </w:lvl>
    <w:lvl w:ilvl="6" w:tplc="4009000F" w:tentative="1">
      <w:start w:val="1"/>
      <w:numFmt w:val="decimal"/>
      <w:lvlText w:val="%7."/>
      <w:lvlJc w:val="left"/>
      <w:pPr>
        <w:ind w:left="4212" w:hanging="360"/>
      </w:pPr>
    </w:lvl>
    <w:lvl w:ilvl="7" w:tplc="40090019" w:tentative="1">
      <w:start w:val="1"/>
      <w:numFmt w:val="lowerLetter"/>
      <w:lvlText w:val="%8."/>
      <w:lvlJc w:val="left"/>
      <w:pPr>
        <w:ind w:left="4932" w:hanging="360"/>
      </w:pPr>
    </w:lvl>
    <w:lvl w:ilvl="8" w:tplc="4009001B" w:tentative="1">
      <w:start w:val="1"/>
      <w:numFmt w:val="lowerRoman"/>
      <w:lvlText w:val="%9."/>
      <w:lvlJc w:val="right"/>
      <w:pPr>
        <w:ind w:left="5652" w:hanging="180"/>
      </w:pPr>
    </w:lvl>
  </w:abstractNum>
  <w:abstractNum w:abstractNumId="11" w15:restartNumberingAfterBreak="0">
    <w:nsid w:val="132E0CBF"/>
    <w:multiLevelType w:val="hybridMultilevel"/>
    <w:tmpl w:val="DB04AA14"/>
    <w:lvl w:ilvl="0" w:tplc="964EA07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73F11DE"/>
    <w:multiLevelType w:val="hybridMultilevel"/>
    <w:tmpl w:val="C226B3FC"/>
    <w:lvl w:ilvl="0" w:tplc="39FCE96C">
      <w:start w:val="1"/>
      <w:numFmt w:val="upperLetter"/>
      <w:lvlText w:val="%1."/>
      <w:lvlJc w:val="left"/>
      <w:pPr>
        <w:ind w:left="1080" w:hanging="360"/>
      </w:pPr>
      <w:rPr>
        <w:rFonts w:hint="default"/>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18506596"/>
    <w:multiLevelType w:val="hybridMultilevel"/>
    <w:tmpl w:val="8EA4A5D0"/>
    <w:lvl w:ilvl="0" w:tplc="33AEE55C">
      <w:start w:val="94"/>
      <w:numFmt w:val="decimal"/>
      <w:lvlText w:val="%1"/>
      <w:lvlJc w:val="left"/>
      <w:pPr>
        <w:ind w:left="720" w:hanging="360"/>
      </w:pPr>
      <w:rPr>
        <w:rFonts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AA295A"/>
    <w:multiLevelType w:val="hybridMultilevel"/>
    <w:tmpl w:val="E2CA0572"/>
    <w:lvl w:ilvl="0" w:tplc="69067362">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1CE061A1"/>
    <w:multiLevelType w:val="hybridMultilevel"/>
    <w:tmpl w:val="7910F3E0"/>
    <w:lvl w:ilvl="0" w:tplc="7CB0FE28">
      <w:start w:val="95"/>
      <w:numFmt w:val="decimal"/>
      <w:lvlText w:val="%1"/>
      <w:lvlJc w:val="left"/>
      <w:pPr>
        <w:ind w:left="720" w:hanging="360"/>
      </w:pPr>
      <w:rPr>
        <w:rFonts w:cstheme="minorBidi"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D4E612C"/>
    <w:multiLevelType w:val="hybridMultilevel"/>
    <w:tmpl w:val="07324CFC"/>
    <w:lvl w:ilvl="0" w:tplc="A5DA0BEE">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22862709"/>
    <w:multiLevelType w:val="hybridMultilevel"/>
    <w:tmpl w:val="E0CEE972"/>
    <w:lvl w:ilvl="0" w:tplc="8878CD56">
      <w:start w:val="89"/>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1E6C09"/>
    <w:multiLevelType w:val="hybridMultilevel"/>
    <w:tmpl w:val="BAD88E94"/>
    <w:lvl w:ilvl="0" w:tplc="E948143C">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25880CB7"/>
    <w:multiLevelType w:val="hybridMultilevel"/>
    <w:tmpl w:val="3D147F02"/>
    <w:lvl w:ilvl="0" w:tplc="C2605416">
      <w:start w:val="75"/>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5F30CD8"/>
    <w:multiLevelType w:val="hybridMultilevel"/>
    <w:tmpl w:val="9AE0EBCC"/>
    <w:lvl w:ilvl="0" w:tplc="319C762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68E5CF4"/>
    <w:multiLevelType w:val="hybridMultilevel"/>
    <w:tmpl w:val="84ECDF1C"/>
    <w:lvl w:ilvl="0" w:tplc="7B780E72">
      <w:start w:val="86"/>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8EA58C3"/>
    <w:multiLevelType w:val="hybridMultilevel"/>
    <w:tmpl w:val="5414F8F4"/>
    <w:lvl w:ilvl="0" w:tplc="85860BF0">
      <w:start w:val="1"/>
      <w:numFmt w:val="lowerRoman"/>
      <w:lvlText w:val="%1."/>
      <w:lvlJc w:val="left"/>
      <w:pPr>
        <w:ind w:left="1854" w:hanging="720"/>
      </w:pPr>
      <w:rPr>
        <w:rFonts w:cstheme="minorBidi"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317169C5"/>
    <w:multiLevelType w:val="hybridMultilevel"/>
    <w:tmpl w:val="41D637DC"/>
    <w:lvl w:ilvl="0" w:tplc="08786850">
      <w:start w:val="8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7C239DE"/>
    <w:multiLevelType w:val="hybridMultilevel"/>
    <w:tmpl w:val="F0601552"/>
    <w:lvl w:ilvl="0" w:tplc="6A84E59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A952C94"/>
    <w:multiLevelType w:val="hybridMultilevel"/>
    <w:tmpl w:val="2B129602"/>
    <w:lvl w:ilvl="0" w:tplc="51D601D2">
      <w:start w:val="1"/>
      <w:numFmt w:val="decimal"/>
      <w:lvlText w:val="%1."/>
      <w:lvlJc w:val="left"/>
      <w:pPr>
        <w:ind w:left="1353" w:hanging="360"/>
      </w:pPr>
      <w:rPr>
        <w:rFonts w:ascii="Arial" w:hAnsi="Arial" w:cs="Arial" w:hint="default"/>
        <w:b w:val="0"/>
        <w:i w:val="0"/>
        <w:sz w:val="24"/>
        <w:szCs w:val="24"/>
      </w:rPr>
    </w:lvl>
    <w:lvl w:ilvl="1" w:tplc="6024D096">
      <w:start w:val="1"/>
      <w:numFmt w:val="lowerLetter"/>
      <w:lvlText w:val="%2."/>
      <w:lvlJc w:val="left"/>
      <w:pPr>
        <w:ind w:left="2202" w:hanging="360"/>
      </w:pPr>
      <w:rPr>
        <w:b w:val="0"/>
        <w:bCs/>
        <w:i w:val="0"/>
        <w:sz w:val="24"/>
        <w:szCs w:val="24"/>
      </w:rPr>
    </w:lvl>
    <w:lvl w:ilvl="2" w:tplc="77AC65B2">
      <w:start w:val="1"/>
      <w:numFmt w:val="lowerRoman"/>
      <w:lvlText w:val="%3."/>
      <w:lvlJc w:val="left"/>
      <w:pPr>
        <w:ind w:left="3168" w:hanging="180"/>
      </w:pPr>
      <w:rPr>
        <w:rFonts w:hint="default"/>
        <w:sz w:val="24"/>
        <w:szCs w:val="24"/>
      </w:rPr>
    </w:lvl>
    <w:lvl w:ilvl="3" w:tplc="2C6ECADC">
      <w:start w:val="1"/>
      <w:numFmt w:val="upperLetter"/>
      <w:lvlText w:val="%4."/>
      <w:lvlJc w:val="left"/>
      <w:pPr>
        <w:ind w:left="2922" w:hanging="360"/>
      </w:pPr>
      <w:rPr>
        <w:rFonts w:hint="default"/>
      </w:rPr>
    </w:lvl>
    <w:lvl w:ilvl="4" w:tplc="04090019" w:tentative="1">
      <w:start w:val="1"/>
      <w:numFmt w:val="lowerLetter"/>
      <w:lvlText w:val="%5."/>
      <w:lvlJc w:val="left"/>
      <w:pPr>
        <w:ind w:left="5312" w:hanging="360"/>
      </w:pPr>
    </w:lvl>
    <w:lvl w:ilvl="5" w:tplc="0409001B" w:tentative="1">
      <w:start w:val="1"/>
      <w:numFmt w:val="lowerRoman"/>
      <w:lvlText w:val="%6."/>
      <w:lvlJc w:val="right"/>
      <w:pPr>
        <w:ind w:left="6032" w:hanging="180"/>
      </w:pPr>
    </w:lvl>
    <w:lvl w:ilvl="6" w:tplc="0409000F" w:tentative="1">
      <w:start w:val="1"/>
      <w:numFmt w:val="decimal"/>
      <w:lvlText w:val="%7."/>
      <w:lvlJc w:val="left"/>
      <w:pPr>
        <w:ind w:left="6752" w:hanging="360"/>
      </w:pPr>
    </w:lvl>
    <w:lvl w:ilvl="7" w:tplc="04090019" w:tentative="1">
      <w:start w:val="1"/>
      <w:numFmt w:val="lowerLetter"/>
      <w:lvlText w:val="%8."/>
      <w:lvlJc w:val="left"/>
      <w:pPr>
        <w:ind w:left="7472" w:hanging="360"/>
      </w:pPr>
    </w:lvl>
    <w:lvl w:ilvl="8" w:tplc="0409001B" w:tentative="1">
      <w:start w:val="1"/>
      <w:numFmt w:val="lowerRoman"/>
      <w:lvlText w:val="%9."/>
      <w:lvlJc w:val="right"/>
      <w:pPr>
        <w:ind w:left="8192" w:hanging="180"/>
      </w:pPr>
    </w:lvl>
  </w:abstractNum>
  <w:abstractNum w:abstractNumId="26" w15:restartNumberingAfterBreak="0">
    <w:nsid w:val="3BE4512B"/>
    <w:multiLevelType w:val="hybridMultilevel"/>
    <w:tmpl w:val="0AD01682"/>
    <w:lvl w:ilvl="0" w:tplc="705627F4">
      <w:start w:val="1"/>
      <w:numFmt w:val="lowerRoman"/>
      <w:lvlText w:val="%1."/>
      <w:lvlJc w:val="left"/>
      <w:pPr>
        <w:ind w:left="1080" w:hanging="72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16804B2"/>
    <w:multiLevelType w:val="hybridMultilevel"/>
    <w:tmpl w:val="8CE6F8CA"/>
    <w:lvl w:ilvl="0" w:tplc="1416E0A4">
      <w:start w:val="90"/>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3642386"/>
    <w:multiLevelType w:val="hybridMultilevel"/>
    <w:tmpl w:val="F28A26EC"/>
    <w:lvl w:ilvl="0" w:tplc="204EA052">
      <w:start w:val="1"/>
      <w:numFmt w:val="lowerRoman"/>
      <w:lvlText w:val="%1."/>
      <w:lvlJc w:val="left"/>
      <w:pPr>
        <w:ind w:left="1713" w:hanging="72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B16A19"/>
    <w:multiLevelType w:val="hybridMultilevel"/>
    <w:tmpl w:val="BF640F0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D4CC3912">
      <w:start w:val="1"/>
      <w:numFmt w:val="lowerRoman"/>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9FF02A5"/>
    <w:multiLevelType w:val="hybridMultilevel"/>
    <w:tmpl w:val="4DA40D98"/>
    <w:lvl w:ilvl="0" w:tplc="C8F4C2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A987CA4"/>
    <w:multiLevelType w:val="hybridMultilevel"/>
    <w:tmpl w:val="346EB6F0"/>
    <w:lvl w:ilvl="0" w:tplc="61880050">
      <w:start w:val="1"/>
      <w:numFmt w:val="lowerRoman"/>
      <w:lvlText w:val="%1."/>
      <w:lvlJc w:val="left"/>
      <w:pPr>
        <w:ind w:left="1854" w:hanging="720"/>
      </w:pPr>
      <w:rPr>
        <w:rFonts w:cstheme="minorBidi"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4C0A7126"/>
    <w:multiLevelType w:val="hybridMultilevel"/>
    <w:tmpl w:val="6AEEB992"/>
    <w:lvl w:ilvl="0" w:tplc="BB66B70C">
      <w:start w:val="22"/>
      <w:numFmt w:val="decimal"/>
      <w:lvlText w:val="%1."/>
      <w:lvlJc w:val="left"/>
      <w:pPr>
        <w:ind w:left="720" w:hanging="360"/>
      </w:pPr>
      <w:rPr>
        <w:rFonts w:ascii="Arial" w:hAnsi="Arial" w:cs="Arial"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E72987"/>
    <w:multiLevelType w:val="hybridMultilevel"/>
    <w:tmpl w:val="201C53F4"/>
    <w:lvl w:ilvl="0" w:tplc="5C1AAF0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F540D12"/>
    <w:multiLevelType w:val="hybridMultilevel"/>
    <w:tmpl w:val="4336BB56"/>
    <w:lvl w:ilvl="0" w:tplc="1F0A09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AF3387"/>
    <w:multiLevelType w:val="hybridMultilevel"/>
    <w:tmpl w:val="23583BF6"/>
    <w:lvl w:ilvl="0" w:tplc="96BAD80E">
      <w:start w:val="85"/>
      <w:numFmt w:val="decimal"/>
      <w:lvlText w:val="%1"/>
      <w:lvlJc w:val="left"/>
      <w:pPr>
        <w:ind w:left="720" w:hanging="360"/>
      </w:pPr>
      <w:rPr>
        <w:rFonts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05808B6"/>
    <w:multiLevelType w:val="hybridMultilevel"/>
    <w:tmpl w:val="CB9E0492"/>
    <w:lvl w:ilvl="0" w:tplc="DFB24C4E">
      <w:start w:val="6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0AF1635"/>
    <w:multiLevelType w:val="hybridMultilevel"/>
    <w:tmpl w:val="A8CABF3C"/>
    <w:lvl w:ilvl="0" w:tplc="7FC89C54">
      <w:start w:val="80"/>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1AE553C"/>
    <w:multiLevelType w:val="hybridMultilevel"/>
    <w:tmpl w:val="66F68910"/>
    <w:lvl w:ilvl="0" w:tplc="040C0015">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553C30C7"/>
    <w:multiLevelType w:val="hybridMultilevel"/>
    <w:tmpl w:val="A880CA42"/>
    <w:lvl w:ilvl="0" w:tplc="EE862E98">
      <w:start w:val="1"/>
      <w:numFmt w:val="lowerRoman"/>
      <w:lvlText w:val="%1."/>
      <w:lvlJc w:val="left"/>
      <w:pPr>
        <w:ind w:left="2160" w:hanging="360"/>
      </w:pPr>
      <w:rPr>
        <w:rFonts w:hint="default"/>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0" w15:restartNumberingAfterBreak="0">
    <w:nsid w:val="558214FE"/>
    <w:multiLevelType w:val="hybridMultilevel"/>
    <w:tmpl w:val="45EE4306"/>
    <w:lvl w:ilvl="0" w:tplc="AEEAD8A4">
      <w:start w:val="1"/>
      <w:numFmt w:val="lowerLetter"/>
      <w:lvlText w:val="%1)"/>
      <w:lvlJc w:val="left"/>
      <w:pPr>
        <w:ind w:left="1440" w:hanging="360"/>
      </w:pPr>
      <w:rPr>
        <w:b w:val="0"/>
      </w:rPr>
    </w:lvl>
    <w:lvl w:ilvl="1" w:tplc="04870019" w:tentative="1">
      <w:start w:val="1"/>
      <w:numFmt w:val="lowerLetter"/>
      <w:lvlText w:val="%2."/>
      <w:lvlJc w:val="left"/>
      <w:pPr>
        <w:ind w:left="2160" w:hanging="360"/>
      </w:pPr>
    </w:lvl>
    <w:lvl w:ilvl="2" w:tplc="0487001B" w:tentative="1">
      <w:start w:val="1"/>
      <w:numFmt w:val="lowerRoman"/>
      <w:lvlText w:val="%3."/>
      <w:lvlJc w:val="right"/>
      <w:pPr>
        <w:ind w:left="2880" w:hanging="180"/>
      </w:pPr>
    </w:lvl>
    <w:lvl w:ilvl="3" w:tplc="0487000F" w:tentative="1">
      <w:start w:val="1"/>
      <w:numFmt w:val="decimal"/>
      <w:lvlText w:val="%4."/>
      <w:lvlJc w:val="left"/>
      <w:pPr>
        <w:ind w:left="3600" w:hanging="360"/>
      </w:pPr>
    </w:lvl>
    <w:lvl w:ilvl="4" w:tplc="04870019" w:tentative="1">
      <w:start w:val="1"/>
      <w:numFmt w:val="lowerLetter"/>
      <w:lvlText w:val="%5."/>
      <w:lvlJc w:val="left"/>
      <w:pPr>
        <w:ind w:left="4320" w:hanging="360"/>
      </w:pPr>
    </w:lvl>
    <w:lvl w:ilvl="5" w:tplc="0487001B" w:tentative="1">
      <w:start w:val="1"/>
      <w:numFmt w:val="lowerRoman"/>
      <w:lvlText w:val="%6."/>
      <w:lvlJc w:val="right"/>
      <w:pPr>
        <w:ind w:left="5040" w:hanging="180"/>
      </w:pPr>
    </w:lvl>
    <w:lvl w:ilvl="6" w:tplc="0487000F" w:tentative="1">
      <w:start w:val="1"/>
      <w:numFmt w:val="decimal"/>
      <w:lvlText w:val="%7."/>
      <w:lvlJc w:val="left"/>
      <w:pPr>
        <w:ind w:left="5760" w:hanging="360"/>
      </w:pPr>
    </w:lvl>
    <w:lvl w:ilvl="7" w:tplc="04870019" w:tentative="1">
      <w:start w:val="1"/>
      <w:numFmt w:val="lowerLetter"/>
      <w:lvlText w:val="%8."/>
      <w:lvlJc w:val="left"/>
      <w:pPr>
        <w:ind w:left="6480" w:hanging="360"/>
      </w:pPr>
    </w:lvl>
    <w:lvl w:ilvl="8" w:tplc="0487001B" w:tentative="1">
      <w:start w:val="1"/>
      <w:numFmt w:val="lowerRoman"/>
      <w:lvlText w:val="%9."/>
      <w:lvlJc w:val="right"/>
      <w:pPr>
        <w:ind w:left="7200" w:hanging="180"/>
      </w:pPr>
    </w:lvl>
  </w:abstractNum>
  <w:abstractNum w:abstractNumId="41" w15:restartNumberingAfterBreak="0">
    <w:nsid w:val="55AF689F"/>
    <w:multiLevelType w:val="hybridMultilevel"/>
    <w:tmpl w:val="EB163AFA"/>
    <w:lvl w:ilvl="0" w:tplc="DFB604FA">
      <w:start w:val="1"/>
      <w:numFmt w:val="lowerRoman"/>
      <w:lvlText w:val="%1."/>
      <w:lvlJc w:val="left"/>
      <w:pPr>
        <w:ind w:left="1145" w:hanging="360"/>
      </w:pPr>
      <w:rPr>
        <w:rFonts w:hint="default"/>
        <w:b/>
        <w:color w:val="auto"/>
        <w:sz w:val="24"/>
        <w:szCs w:val="24"/>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42" w15:restartNumberingAfterBreak="0">
    <w:nsid w:val="58753C85"/>
    <w:multiLevelType w:val="hybridMultilevel"/>
    <w:tmpl w:val="66EAAA90"/>
    <w:lvl w:ilvl="0" w:tplc="360846E0">
      <w:start w:val="82"/>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A302694"/>
    <w:multiLevelType w:val="hybridMultilevel"/>
    <w:tmpl w:val="AFA26426"/>
    <w:lvl w:ilvl="0" w:tplc="FFFFFFFF">
      <w:start w:val="1"/>
      <w:numFmt w:val="lowerRoman"/>
      <w:lvlText w:val="%1."/>
      <w:lvlJc w:val="right"/>
      <w:pPr>
        <w:ind w:left="1440" w:hanging="360"/>
      </w:pPr>
      <w:rPr>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BB27E2A"/>
    <w:multiLevelType w:val="hybridMultilevel"/>
    <w:tmpl w:val="D5C811BE"/>
    <w:lvl w:ilvl="0" w:tplc="DFB604FA">
      <w:start w:val="1"/>
      <w:numFmt w:val="lowerRoman"/>
      <w:lvlText w:val="%1."/>
      <w:lvlJc w:val="left"/>
      <w:pPr>
        <w:ind w:left="720" w:hanging="360"/>
      </w:pPr>
      <w:rPr>
        <w:rFonts w:hint="default"/>
        <w:b/>
        <w:color w:val="auto"/>
        <w:sz w:val="24"/>
        <w:szCs w:val="24"/>
      </w:rPr>
    </w:lvl>
    <w:lvl w:ilvl="1" w:tplc="197AB006">
      <w:start w:val="1"/>
      <w:numFmt w:val="lowerRoman"/>
      <w:lvlText w:val="%2."/>
      <w:lvlJc w:val="left"/>
      <w:pPr>
        <w:ind w:left="1440" w:hanging="360"/>
      </w:pPr>
      <w:rPr>
        <w:rFonts w:hint="default"/>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F5D3961"/>
    <w:multiLevelType w:val="hybridMultilevel"/>
    <w:tmpl w:val="222EBAAA"/>
    <w:lvl w:ilvl="0" w:tplc="7632C870">
      <w:start w:val="76"/>
      <w:numFmt w:val="decimal"/>
      <w:lvlText w:val="%1"/>
      <w:lvlJc w:val="left"/>
      <w:pPr>
        <w:ind w:left="720" w:hanging="360"/>
      </w:pPr>
      <w:rPr>
        <w:rFonts w:cstheme="minorBidi" w:hint="default"/>
        <w:color w:val="2E74B5"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FC71C98"/>
    <w:multiLevelType w:val="hybridMultilevel"/>
    <w:tmpl w:val="DD68731A"/>
    <w:lvl w:ilvl="0" w:tplc="BE22CC36">
      <w:start w:val="75"/>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0DB6EAC"/>
    <w:multiLevelType w:val="hybridMultilevel"/>
    <w:tmpl w:val="82E870F2"/>
    <w:lvl w:ilvl="0" w:tplc="099E469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30B6068"/>
    <w:multiLevelType w:val="multilevel"/>
    <w:tmpl w:val="5A3AB986"/>
    <w:lvl w:ilvl="0">
      <w:start w:val="1"/>
      <w:numFmt w:val="lowerRoman"/>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5070478"/>
    <w:multiLevelType w:val="hybridMultilevel"/>
    <w:tmpl w:val="0826ECD8"/>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65C33494"/>
    <w:multiLevelType w:val="hybridMultilevel"/>
    <w:tmpl w:val="326CA40A"/>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6653558C"/>
    <w:multiLevelType w:val="hybridMultilevel"/>
    <w:tmpl w:val="961C2A8C"/>
    <w:lvl w:ilvl="0" w:tplc="23CE19F0">
      <w:start w:val="93"/>
      <w:numFmt w:val="decimal"/>
      <w:lvlText w:val="%1"/>
      <w:lvlJc w:val="left"/>
      <w:pPr>
        <w:ind w:left="720" w:hanging="360"/>
      </w:pPr>
      <w:rPr>
        <w:rFonts w:eastAsiaTheme="minorHAns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74A4F16"/>
    <w:multiLevelType w:val="hybridMultilevel"/>
    <w:tmpl w:val="732CF4EC"/>
    <w:lvl w:ilvl="0" w:tplc="A7A4DB1A">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67FD2994"/>
    <w:multiLevelType w:val="hybridMultilevel"/>
    <w:tmpl w:val="E1A4EBAC"/>
    <w:lvl w:ilvl="0" w:tplc="1F78AF6A">
      <w:start w:val="77"/>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D7C6B31"/>
    <w:multiLevelType w:val="hybridMultilevel"/>
    <w:tmpl w:val="66F68910"/>
    <w:lvl w:ilvl="0" w:tplc="040C0015">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5" w15:restartNumberingAfterBreak="0">
    <w:nsid w:val="70FF443D"/>
    <w:multiLevelType w:val="hybridMultilevel"/>
    <w:tmpl w:val="7CD0C2C0"/>
    <w:lvl w:ilvl="0" w:tplc="B58065EC">
      <w:start w:val="83"/>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18C6A63"/>
    <w:multiLevelType w:val="hybridMultilevel"/>
    <w:tmpl w:val="DD92BEF8"/>
    <w:lvl w:ilvl="0" w:tplc="0409000F">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A300A6"/>
    <w:multiLevelType w:val="hybridMultilevel"/>
    <w:tmpl w:val="D702FD8C"/>
    <w:lvl w:ilvl="0" w:tplc="C4E039D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7A513F96"/>
    <w:multiLevelType w:val="hybridMultilevel"/>
    <w:tmpl w:val="3BEACC0C"/>
    <w:lvl w:ilvl="0" w:tplc="F9CCC5E4">
      <w:start w:val="94"/>
      <w:numFmt w:val="decimal"/>
      <w:lvlText w:val="%1"/>
      <w:lvlJc w:val="left"/>
      <w:pPr>
        <w:ind w:left="720" w:hanging="360"/>
      </w:pPr>
      <w:rPr>
        <w:rFonts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DBC61EF"/>
    <w:multiLevelType w:val="hybridMultilevel"/>
    <w:tmpl w:val="3836CD74"/>
    <w:lvl w:ilvl="0" w:tplc="825212D2">
      <w:start w:val="1"/>
      <w:numFmt w:val="decimal"/>
      <w:lvlText w:val="%1."/>
      <w:lvlJc w:val="left"/>
      <w:pPr>
        <w:ind w:left="1494" w:hanging="360"/>
      </w:pPr>
      <w:rPr>
        <w:rFonts w:ascii="Arial" w:hAnsi="Arial" w:cs="Arial" w:hint="default"/>
        <w:b w:val="0"/>
      </w:rPr>
    </w:lvl>
    <w:lvl w:ilvl="1" w:tplc="12FEF120">
      <w:start w:val="1"/>
      <w:numFmt w:val="lowerRoman"/>
      <w:lvlText w:val="%2."/>
      <w:lvlJc w:val="left"/>
      <w:pPr>
        <w:ind w:left="3294" w:hanging="360"/>
      </w:pPr>
      <w:rPr>
        <w:rFonts w:hint="default"/>
      </w:r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num w:numId="1" w16cid:durableId="1197692084">
    <w:abstractNumId w:val="57"/>
  </w:num>
  <w:num w:numId="2" w16cid:durableId="952324644">
    <w:abstractNumId w:val="59"/>
  </w:num>
  <w:num w:numId="3" w16cid:durableId="2058122428">
    <w:abstractNumId w:val="40"/>
  </w:num>
  <w:num w:numId="4" w16cid:durableId="938869954">
    <w:abstractNumId w:val="49"/>
  </w:num>
  <w:num w:numId="5" w16cid:durableId="363210808">
    <w:abstractNumId w:val="56"/>
  </w:num>
  <w:num w:numId="6" w16cid:durableId="966084340">
    <w:abstractNumId w:val="32"/>
  </w:num>
  <w:num w:numId="7" w16cid:durableId="1810245675">
    <w:abstractNumId w:val="54"/>
  </w:num>
  <w:num w:numId="8" w16cid:durableId="141626435">
    <w:abstractNumId w:val="4"/>
  </w:num>
  <w:num w:numId="9" w16cid:durableId="1510028056">
    <w:abstractNumId w:val="12"/>
  </w:num>
  <w:num w:numId="10" w16cid:durableId="590430987">
    <w:abstractNumId w:val="5"/>
  </w:num>
  <w:num w:numId="11" w16cid:durableId="1853884133">
    <w:abstractNumId w:val="11"/>
  </w:num>
  <w:num w:numId="12" w16cid:durableId="1814907077">
    <w:abstractNumId w:val="30"/>
  </w:num>
  <w:num w:numId="13" w16cid:durableId="859661193">
    <w:abstractNumId w:val="20"/>
  </w:num>
  <w:num w:numId="14" w16cid:durableId="707029342">
    <w:abstractNumId w:val="24"/>
  </w:num>
  <w:num w:numId="15" w16cid:durableId="1758284101">
    <w:abstractNumId w:val="9"/>
  </w:num>
  <w:num w:numId="16" w16cid:durableId="865872778">
    <w:abstractNumId w:val="6"/>
  </w:num>
  <w:num w:numId="17" w16cid:durableId="1079672191">
    <w:abstractNumId w:val="50"/>
  </w:num>
  <w:num w:numId="18" w16cid:durableId="1296839247">
    <w:abstractNumId w:val="52"/>
  </w:num>
  <w:num w:numId="19" w16cid:durableId="1790394372">
    <w:abstractNumId w:val="10"/>
  </w:num>
  <w:num w:numId="20" w16cid:durableId="1436709682">
    <w:abstractNumId w:val="33"/>
  </w:num>
  <w:num w:numId="21" w16cid:durableId="1794402946">
    <w:abstractNumId w:val="43"/>
  </w:num>
  <w:num w:numId="22" w16cid:durableId="1206527446">
    <w:abstractNumId w:val="25"/>
  </w:num>
  <w:num w:numId="23" w16cid:durableId="1631013703">
    <w:abstractNumId w:val="48"/>
  </w:num>
  <w:num w:numId="24" w16cid:durableId="968586805">
    <w:abstractNumId w:val="34"/>
  </w:num>
  <w:num w:numId="25" w16cid:durableId="354311454">
    <w:abstractNumId w:val="1"/>
  </w:num>
  <w:num w:numId="26" w16cid:durableId="103155446">
    <w:abstractNumId w:val="38"/>
  </w:num>
  <w:num w:numId="27" w16cid:durableId="976498029">
    <w:abstractNumId w:val="14"/>
  </w:num>
  <w:num w:numId="28" w16cid:durableId="1203442925">
    <w:abstractNumId w:val="18"/>
  </w:num>
  <w:num w:numId="29" w16cid:durableId="262418456">
    <w:abstractNumId w:val="39"/>
  </w:num>
  <w:num w:numId="30" w16cid:durableId="1960261086">
    <w:abstractNumId w:val="26"/>
  </w:num>
  <w:num w:numId="31" w16cid:durableId="740954181">
    <w:abstractNumId w:val="31"/>
  </w:num>
  <w:num w:numId="32" w16cid:durableId="47338718">
    <w:abstractNumId w:val="22"/>
  </w:num>
  <w:num w:numId="33" w16cid:durableId="1116868727">
    <w:abstractNumId w:val="28"/>
  </w:num>
  <w:num w:numId="34" w16cid:durableId="295648654">
    <w:abstractNumId w:val="29"/>
  </w:num>
  <w:num w:numId="35" w16cid:durableId="1163280527">
    <w:abstractNumId w:val="8"/>
  </w:num>
  <w:num w:numId="36" w16cid:durableId="1311598053">
    <w:abstractNumId w:val="46"/>
  </w:num>
  <w:num w:numId="37" w16cid:durableId="2120710400">
    <w:abstractNumId w:val="19"/>
  </w:num>
  <w:num w:numId="38" w16cid:durableId="1467774877">
    <w:abstractNumId w:val="45"/>
  </w:num>
  <w:num w:numId="39" w16cid:durableId="410467840">
    <w:abstractNumId w:val="53"/>
  </w:num>
  <w:num w:numId="40" w16cid:durableId="185826473">
    <w:abstractNumId w:val="0"/>
  </w:num>
  <w:num w:numId="41" w16cid:durableId="95836048">
    <w:abstractNumId w:val="37"/>
  </w:num>
  <w:num w:numId="42" w16cid:durableId="767117911">
    <w:abstractNumId w:val="7"/>
  </w:num>
  <w:num w:numId="43" w16cid:durableId="2069911005">
    <w:abstractNumId w:val="23"/>
  </w:num>
  <w:num w:numId="44" w16cid:durableId="1166482961">
    <w:abstractNumId w:val="42"/>
  </w:num>
  <w:num w:numId="45" w16cid:durableId="466895130">
    <w:abstractNumId w:val="55"/>
  </w:num>
  <w:num w:numId="46" w16cid:durableId="2040544761">
    <w:abstractNumId w:val="35"/>
  </w:num>
  <w:num w:numId="47" w16cid:durableId="873888873">
    <w:abstractNumId w:val="21"/>
  </w:num>
  <w:num w:numId="48" w16cid:durableId="276914426">
    <w:abstractNumId w:val="3"/>
  </w:num>
  <w:num w:numId="49" w16cid:durableId="695810206">
    <w:abstractNumId w:val="36"/>
  </w:num>
  <w:num w:numId="50" w16cid:durableId="420948647">
    <w:abstractNumId w:val="17"/>
  </w:num>
  <w:num w:numId="51" w16cid:durableId="1114401185">
    <w:abstractNumId w:val="27"/>
  </w:num>
  <w:num w:numId="52" w16cid:durableId="415791046">
    <w:abstractNumId w:val="51"/>
  </w:num>
  <w:num w:numId="53" w16cid:durableId="1570310525">
    <w:abstractNumId w:val="58"/>
  </w:num>
  <w:num w:numId="54" w16cid:durableId="118492879">
    <w:abstractNumId w:val="13"/>
  </w:num>
  <w:num w:numId="55" w16cid:durableId="1203711085">
    <w:abstractNumId w:val="47"/>
  </w:num>
  <w:num w:numId="56" w16cid:durableId="92633263">
    <w:abstractNumId w:val="2"/>
  </w:num>
  <w:num w:numId="57" w16cid:durableId="1811165213">
    <w:abstractNumId w:val="16"/>
  </w:num>
  <w:num w:numId="58" w16cid:durableId="1383401512">
    <w:abstractNumId w:val="15"/>
  </w:num>
  <w:num w:numId="59" w16cid:durableId="1190874151">
    <w:abstractNumId w:val="44"/>
  </w:num>
  <w:num w:numId="60" w16cid:durableId="1533298715">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75"/>
    <w:rsid w:val="00000E8C"/>
    <w:rsid w:val="00001F94"/>
    <w:rsid w:val="00002044"/>
    <w:rsid w:val="00006845"/>
    <w:rsid w:val="00006975"/>
    <w:rsid w:val="00007AAC"/>
    <w:rsid w:val="00012CF9"/>
    <w:rsid w:val="00013DEC"/>
    <w:rsid w:val="000151E8"/>
    <w:rsid w:val="00015DFE"/>
    <w:rsid w:val="00016405"/>
    <w:rsid w:val="00017175"/>
    <w:rsid w:val="00017FF9"/>
    <w:rsid w:val="000202D0"/>
    <w:rsid w:val="00020555"/>
    <w:rsid w:val="00020EEE"/>
    <w:rsid w:val="00024AA3"/>
    <w:rsid w:val="000253EA"/>
    <w:rsid w:val="000256AE"/>
    <w:rsid w:val="00026204"/>
    <w:rsid w:val="000279C0"/>
    <w:rsid w:val="00031729"/>
    <w:rsid w:val="00031EC6"/>
    <w:rsid w:val="000323EF"/>
    <w:rsid w:val="00033FB2"/>
    <w:rsid w:val="0003437E"/>
    <w:rsid w:val="00035C8C"/>
    <w:rsid w:val="0004033B"/>
    <w:rsid w:val="000418B4"/>
    <w:rsid w:val="000425CC"/>
    <w:rsid w:val="00042A05"/>
    <w:rsid w:val="0004321C"/>
    <w:rsid w:val="000453B8"/>
    <w:rsid w:val="00046667"/>
    <w:rsid w:val="0004687C"/>
    <w:rsid w:val="0005092E"/>
    <w:rsid w:val="00052F7C"/>
    <w:rsid w:val="000554A8"/>
    <w:rsid w:val="00055F8D"/>
    <w:rsid w:val="000560A4"/>
    <w:rsid w:val="000561ED"/>
    <w:rsid w:val="00061902"/>
    <w:rsid w:val="00062100"/>
    <w:rsid w:val="00062548"/>
    <w:rsid w:val="000642C9"/>
    <w:rsid w:val="000644C6"/>
    <w:rsid w:val="00064884"/>
    <w:rsid w:val="00067A1C"/>
    <w:rsid w:val="00067AB2"/>
    <w:rsid w:val="00067D2D"/>
    <w:rsid w:val="000771A3"/>
    <w:rsid w:val="000773BD"/>
    <w:rsid w:val="0007778E"/>
    <w:rsid w:val="0008012E"/>
    <w:rsid w:val="000809A0"/>
    <w:rsid w:val="00080F4B"/>
    <w:rsid w:val="00081407"/>
    <w:rsid w:val="0008258B"/>
    <w:rsid w:val="000827BE"/>
    <w:rsid w:val="00085683"/>
    <w:rsid w:val="00086316"/>
    <w:rsid w:val="00092879"/>
    <w:rsid w:val="00093090"/>
    <w:rsid w:val="0009495A"/>
    <w:rsid w:val="00094B3D"/>
    <w:rsid w:val="00095BF3"/>
    <w:rsid w:val="0009712C"/>
    <w:rsid w:val="000A418B"/>
    <w:rsid w:val="000A55D9"/>
    <w:rsid w:val="000A604D"/>
    <w:rsid w:val="000A7225"/>
    <w:rsid w:val="000A7ACD"/>
    <w:rsid w:val="000B092A"/>
    <w:rsid w:val="000B7988"/>
    <w:rsid w:val="000C0798"/>
    <w:rsid w:val="000C0A8D"/>
    <w:rsid w:val="000C163B"/>
    <w:rsid w:val="000C246A"/>
    <w:rsid w:val="000C759D"/>
    <w:rsid w:val="000D6361"/>
    <w:rsid w:val="000D6FD1"/>
    <w:rsid w:val="000E0CE2"/>
    <w:rsid w:val="000E1135"/>
    <w:rsid w:val="000E1AD8"/>
    <w:rsid w:val="000E62AE"/>
    <w:rsid w:val="000F0BCA"/>
    <w:rsid w:val="000F1A7A"/>
    <w:rsid w:val="000F5166"/>
    <w:rsid w:val="000F615A"/>
    <w:rsid w:val="00103725"/>
    <w:rsid w:val="00103D35"/>
    <w:rsid w:val="00106BB6"/>
    <w:rsid w:val="001071A4"/>
    <w:rsid w:val="00110B52"/>
    <w:rsid w:val="00110B5D"/>
    <w:rsid w:val="001111BB"/>
    <w:rsid w:val="0011152A"/>
    <w:rsid w:val="00113003"/>
    <w:rsid w:val="00115F60"/>
    <w:rsid w:val="00121E29"/>
    <w:rsid w:val="00122258"/>
    <w:rsid w:val="00123228"/>
    <w:rsid w:val="0012352D"/>
    <w:rsid w:val="00124957"/>
    <w:rsid w:val="0012542D"/>
    <w:rsid w:val="00125B60"/>
    <w:rsid w:val="001270E8"/>
    <w:rsid w:val="0013291C"/>
    <w:rsid w:val="0013295E"/>
    <w:rsid w:val="0013525A"/>
    <w:rsid w:val="00135CEF"/>
    <w:rsid w:val="001366CD"/>
    <w:rsid w:val="00140A3C"/>
    <w:rsid w:val="0014119D"/>
    <w:rsid w:val="00142389"/>
    <w:rsid w:val="001433CA"/>
    <w:rsid w:val="0014394F"/>
    <w:rsid w:val="0015011E"/>
    <w:rsid w:val="00150444"/>
    <w:rsid w:val="00150B32"/>
    <w:rsid w:val="00150BBD"/>
    <w:rsid w:val="00151867"/>
    <w:rsid w:val="001528FC"/>
    <w:rsid w:val="0015340B"/>
    <w:rsid w:val="00153CCC"/>
    <w:rsid w:val="00153E4A"/>
    <w:rsid w:val="00154F16"/>
    <w:rsid w:val="00162A73"/>
    <w:rsid w:val="00163104"/>
    <w:rsid w:val="00163154"/>
    <w:rsid w:val="00163900"/>
    <w:rsid w:val="00165B50"/>
    <w:rsid w:val="00165C36"/>
    <w:rsid w:val="001707B0"/>
    <w:rsid w:val="00170D4F"/>
    <w:rsid w:val="001711B7"/>
    <w:rsid w:val="00171F7F"/>
    <w:rsid w:val="0017454E"/>
    <w:rsid w:val="001761B8"/>
    <w:rsid w:val="00180FFD"/>
    <w:rsid w:val="001838CD"/>
    <w:rsid w:val="001904EC"/>
    <w:rsid w:val="00190AB3"/>
    <w:rsid w:val="00190D6E"/>
    <w:rsid w:val="0019138F"/>
    <w:rsid w:val="00191617"/>
    <w:rsid w:val="00191D2F"/>
    <w:rsid w:val="0019268E"/>
    <w:rsid w:val="00192701"/>
    <w:rsid w:val="0019371E"/>
    <w:rsid w:val="00193741"/>
    <w:rsid w:val="00194258"/>
    <w:rsid w:val="001A0239"/>
    <w:rsid w:val="001A0679"/>
    <w:rsid w:val="001A1100"/>
    <w:rsid w:val="001A2317"/>
    <w:rsid w:val="001A2C96"/>
    <w:rsid w:val="001A3456"/>
    <w:rsid w:val="001A437E"/>
    <w:rsid w:val="001A6CB7"/>
    <w:rsid w:val="001A78AC"/>
    <w:rsid w:val="001B0278"/>
    <w:rsid w:val="001B07D9"/>
    <w:rsid w:val="001B2CAB"/>
    <w:rsid w:val="001B52E6"/>
    <w:rsid w:val="001B5744"/>
    <w:rsid w:val="001C01B8"/>
    <w:rsid w:val="001C2FC0"/>
    <w:rsid w:val="001C39EC"/>
    <w:rsid w:val="001D0273"/>
    <w:rsid w:val="001D081A"/>
    <w:rsid w:val="001D0BAE"/>
    <w:rsid w:val="001D31FB"/>
    <w:rsid w:val="001D322A"/>
    <w:rsid w:val="001D48AC"/>
    <w:rsid w:val="001E2704"/>
    <w:rsid w:val="001E7755"/>
    <w:rsid w:val="001F0A3E"/>
    <w:rsid w:val="001F17AF"/>
    <w:rsid w:val="001F1DFC"/>
    <w:rsid w:val="001F267F"/>
    <w:rsid w:val="001F30D5"/>
    <w:rsid w:val="001F34CB"/>
    <w:rsid w:val="001F38FB"/>
    <w:rsid w:val="001F39E9"/>
    <w:rsid w:val="001F5965"/>
    <w:rsid w:val="002002E4"/>
    <w:rsid w:val="00203AAC"/>
    <w:rsid w:val="002052D4"/>
    <w:rsid w:val="00205C52"/>
    <w:rsid w:val="0021084E"/>
    <w:rsid w:val="00212163"/>
    <w:rsid w:val="00212A59"/>
    <w:rsid w:val="00214A29"/>
    <w:rsid w:val="00214E7D"/>
    <w:rsid w:val="00216D0B"/>
    <w:rsid w:val="00220A05"/>
    <w:rsid w:val="0022177A"/>
    <w:rsid w:val="00222E25"/>
    <w:rsid w:val="002243F1"/>
    <w:rsid w:val="00225D3E"/>
    <w:rsid w:val="00227EDA"/>
    <w:rsid w:val="00231F93"/>
    <w:rsid w:val="002352B6"/>
    <w:rsid w:val="002358D5"/>
    <w:rsid w:val="00237EE1"/>
    <w:rsid w:val="002411B2"/>
    <w:rsid w:val="00241EBB"/>
    <w:rsid w:val="00242D8F"/>
    <w:rsid w:val="002431B5"/>
    <w:rsid w:val="002468DA"/>
    <w:rsid w:val="0024734D"/>
    <w:rsid w:val="002474F5"/>
    <w:rsid w:val="0025070A"/>
    <w:rsid w:val="00250B8F"/>
    <w:rsid w:val="00251425"/>
    <w:rsid w:val="00251C62"/>
    <w:rsid w:val="002545C3"/>
    <w:rsid w:val="0025627A"/>
    <w:rsid w:val="0025725F"/>
    <w:rsid w:val="002607EE"/>
    <w:rsid w:val="002608E1"/>
    <w:rsid w:val="00262071"/>
    <w:rsid w:val="00262084"/>
    <w:rsid w:val="002624E4"/>
    <w:rsid w:val="00266538"/>
    <w:rsid w:val="00267A14"/>
    <w:rsid w:val="002706C9"/>
    <w:rsid w:val="00270C1E"/>
    <w:rsid w:val="00270E9A"/>
    <w:rsid w:val="00273227"/>
    <w:rsid w:val="002753C1"/>
    <w:rsid w:val="002755F2"/>
    <w:rsid w:val="00275828"/>
    <w:rsid w:val="00280AFB"/>
    <w:rsid w:val="00285E76"/>
    <w:rsid w:val="00287116"/>
    <w:rsid w:val="00287905"/>
    <w:rsid w:val="002900FF"/>
    <w:rsid w:val="00290874"/>
    <w:rsid w:val="00290C2E"/>
    <w:rsid w:val="002933AE"/>
    <w:rsid w:val="00294286"/>
    <w:rsid w:val="00294EEB"/>
    <w:rsid w:val="002A037B"/>
    <w:rsid w:val="002A3189"/>
    <w:rsid w:val="002A36A1"/>
    <w:rsid w:val="002A46EA"/>
    <w:rsid w:val="002A5621"/>
    <w:rsid w:val="002B12F2"/>
    <w:rsid w:val="002B418D"/>
    <w:rsid w:val="002B4A32"/>
    <w:rsid w:val="002B50CC"/>
    <w:rsid w:val="002B5F2D"/>
    <w:rsid w:val="002B6E7C"/>
    <w:rsid w:val="002B71B0"/>
    <w:rsid w:val="002C1E7C"/>
    <w:rsid w:val="002C4346"/>
    <w:rsid w:val="002D2367"/>
    <w:rsid w:val="002D3A41"/>
    <w:rsid w:val="002D4F8B"/>
    <w:rsid w:val="002D59AF"/>
    <w:rsid w:val="002D611A"/>
    <w:rsid w:val="002D6E7E"/>
    <w:rsid w:val="002E254A"/>
    <w:rsid w:val="002E361E"/>
    <w:rsid w:val="002E5B24"/>
    <w:rsid w:val="002E742A"/>
    <w:rsid w:val="002F2EAA"/>
    <w:rsid w:val="002F436F"/>
    <w:rsid w:val="002F7FF7"/>
    <w:rsid w:val="0030071E"/>
    <w:rsid w:val="00303E32"/>
    <w:rsid w:val="00305E03"/>
    <w:rsid w:val="00311E7D"/>
    <w:rsid w:val="003132AF"/>
    <w:rsid w:val="00313B36"/>
    <w:rsid w:val="00314364"/>
    <w:rsid w:val="003158B8"/>
    <w:rsid w:val="003161D7"/>
    <w:rsid w:val="0032137A"/>
    <w:rsid w:val="00322880"/>
    <w:rsid w:val="00323E5D"/>
    <w:rsid w:val="00327A59"/>
    <w:rsid w:val="00330F56"/>
    <w:rsid w:val="00332829"/>
    <w:rsid w:val="003337D1"/>
    <w:rsid w:val="003348CD"/>
    <w:rsid w:val="00334FCA"/>
    <w:rsid w:val="003408B7"/>
    <w:rsid w:val="003414E7"/>
    <w:rsid w:val="00341A8A"/>
    <w:rsid w:val="00343A7D"/>
    <w:rsid w:val="00344CC2"/>
    <w:rsid w:val="0034728D"/>
    <w:rsid w:val="003571B8"/>
    <w:rsid w:val="00363DF8"/>
    <w:rsid w:val="0036475A"/>
    <w:rsid w:val="003668F3"/>
    <w:rsid w:val="00366DD6"/>
    <w:rsid w:val="003714CA"/>
    <w:rsid w:val="003720C8"/>
    <w:rsid w:val="00372D78"/>
    <w:rsid w:val="00374327"/>
    <w:rsid w:val="0038028C"/>
    <w:rsid w:val="00382154"/>
    <w:rsid w:val="00383EAB"/>
    <w:rsid w:val="0038456C"/>
    <w:rsid w:val="00384D42"/>
    <w:rsid w:val="003855B6"/>
    <w:rsid w:val="00391239"/>
    <w:rsid w:val="00392822"/>
    <w:rsid w:val="00392D75"/>
    <w:rsid w:val="00392F33"/>
    <w:rsid w:val="003937FA"/>
    <w:rsid w:val="0039449B"/>
    <w:rsid w:val="00394C76"/>
    <w:rsid w:val="00395BD4"/>
    <w:rsid w:val="0039634C"/>
    <w:rsid w:val="00397718"/>
    <w:rsid w:val="003A08E7"/>
    <w:rsid w:val="003A6E30"/>
    <w:rsid w:val="003B0C92"/>
    <w:rsid w:val="003B2922"/>
    <w:rsid w:val="003B4950"/>
    <w:rsid w:val="003B4D7B"/>
    <w:rsid w:val="003B5DC8"/>
    <w:rsid w:val="003B6119"/>
    <w:rsid w:val="003B62D2"/>
    <w:rsid w:val="003B6E5A"/>
    <w:rsid w:val="003B7542"/>
    <w:rsid w:val="003C13B5"/>
    <w:rsid w:val="003C14CA"/>
    <w:rsid w:val="003C1DA6"/>
    <w:rsid w:val="003C2476"/>
    <w:rsid w:val="003C36A3"/>
    <w:rsid w:val="003C424B"/>
    <w:rsid w:val="003C4351"/>
    <w:rsid w:val="003C4E23"/>
    <w:rsid w:val="003C5886"/>
    <w:rsid w:val="003C596C"/>
    <w:rsid w:val="003C6981"/>
    <w:rsid w:val="003C6B0E"/>
    <w:rsid w:val="003C7F28"/>
    <w:rsid w:val="003D033B"/>
    <w:rsid w:val="003D10EE"/>
    <w:rsid w:val="003D3B5D"/>
    <w:rsid w:val="003D5BA7"/>
    <w:rsid w:val="003E05C4"/>
    <w:rsid w:val="003E1491"/>
    <w:rsid w:val="003E244B"/>
    <w:rsid w:val="003E2818"/>
    <w:rsid w:val="003E2DE7"/>
    <w:rsid w:val="003E4E1D"/>
    <w:rsid w:val="003E5AA5"/>
    <w:rsid w:val="003E7037"/>
    <w:rsid w:val="003F55C7"/>
    <w:rsid w:val="003F5A49"/>
    <w:rsid w:val="003F7115"/>
    <w:rsid w:val="003F7AAE"/>
    <w:rsid w:val="003F7F5F"/>
    <w:rsid w:val="0040082D"/>
    <w:rsid w:val="00401260"/>
    <w:rsid w:val="0040171F"/>
    <w:rsid w:val="0040648B"/>
    <w:rsid w:val="00406856"/>
    <w:rsid w:val="00407669"/>
    <w:rsid w:val="00407BE7"/>
    <w:rsid w:val="00412714"/>
    <w:rsid w:val="00414330"/>
    <w:rsid w:val="0041677F"/>
    <w:rsid w:val="004217A1"/>
    <w:rsid w:val="004219C2"/>
    <w:rsid w:val="00427324"/>
    <w:rsid w:val="0043230F"/>
    <w:rsid w:val="00432C11"/>
    <w:rsid w:val="004336D4"/>
    <w:rsid w:val="0043416C"/>
    <w:rsid w:val="004348D7"/>
    <w:rsid w:val="004362E9"/>
    <w:rsid w:val="00436FC8"/>
    <w:rsid w:val="004373A4"/>
    <w:rsid w:val="00437505"/>
    <w:rsid w:val="00437C98"/>
    <w:rsid w:val="00440154"/>
    <w:rsid w:val="004412C9"/>
    <w:rsid w:val="00444065"/>
    <w:rsid w:val="00446BED"/>
    <w:rsid w:val="00447F46"/>
    <w:rsid w:val="004507DF"/>
    <w:rsid w:val="00451EE4"/>
    <w:rsid w:val="00452219"/>
    <w:rsid w:val="00454B2B"/>
    <w:rsid w:val="00454B70"/>
    <w:rsid w:val="00455076"/>
    <w:rsid w:val="00457BB2"/>
    <w:rsid w:val="0046037C"/>
    <w:rsid w:val="00462903"/>
    <w:rsid w:val="00462DF5"/>
    <w:rsid w:val="004636F7"/>
    <w:rsid w:val="004639D2"/>
    <w:rsid w:val="0046557B"/>
    <w:rsid w:val="0046593E"/>
    <w:rsid w:val="0047076F"/>
    <w:rsid w:val="00471C7F"/>
    <w:rsid w:val="00472824"/>
    <w:rsid w:val="00475A84"/>
    <w:rsid w:val="00476A27"/>
    <w:rsid w:val="00476B52"/>
    <w:rsid w:val="00480DA6"/>
    <w:rsid w:val="004811EF"/>
    <w:rsid w:val="0048257F"/>
    <w:rsid w:val="0048624C"/>
    <w:rsid w:val="004907C0"/>
    <w:rsid w:val="0049148B"/>
    <w:rsid w:val="004922CC"/>
    <w:rsid w:val="004948B1"/>
    <w:rsid w:val="0049614B"/>
    <w:rsid w:val="0049677F"/>
    <w:rsid w:val="00496885"/>
    <w:rsid w:val="0049757C"/>
    <w:rsid w:val="004A2912"/>
    <w:rsid w:val="004A487C"/>
    <w:rsid w:val="004A7DA0"/>
    <w:rsid w:val="004B16BA"/>
    <w:rsid w:val="004B3B3B"/>
    <w:rsid w:val="004B64B3"/>
    <w:rsid w:val="004B6B87"/>
    <w:rsid w:val="004B7BF6"/>
    <w:rsid w:val="004C1FF6"/>
    <w:rsid w:val="004C299D"/>
    <w:rsid w:val="004C3604"/>
    <w:rsid w:val="004C3C4C"/>
    <w:rsid w:val="004C45AB"/>
    <w:rsid w:val="004C5700"/>
    <w:rsid w:val="004C604A"/>
    <w:rsid w:val="004C6121"/>
    <w:rsid w:val="004C7281"/>
    <w:rsid w:val="004C79B6"/>
    <w:rsid w:val="004D06C1"/>
    <w:rsid w:val="004D0EB3"/>
    <w:rsid w:val="004D1649"/>
    <w:rsid w:val="004D2973"/>
    <w:rsid w:val="004D2CDA"/>
    <w:rsid w:val="004D35BA"/>
    <w:rsid w:val="004D394D"/>
    <w:rsid w:val="004D6022"/>
    <w:rsid w:val="004D6304"/>
    <w:rsid w:val="004D6769"/>
    <w:rsid w:val="004D6793"/>
    <w:rsid w:val="004D78FC"/>
    <w:rsid w:val="004E2415"/>
    <w:rsid w:val="004E2699"/>
    <w:rsid w:val="004E6747"/>
    <w:rsid w:val="004F1AD2"/>
    <w:rsid w:val="004F2963"/>
    <w:rsid w:val="004F3C8A"/>
    <w:rsid w:val="004F6E8C"/>
    <w:rsid w:val="004F6F32"/>
    <w:rsid w:val="004F7C91"/>
    <w:rsid w:val="00500302"/>
    <w:rsid w:val="005009AF"/>
    <w:rsid w:val="005034A6"/>
    <w:rsid w:val="005038D5"/>
    <w:rsid w:val="00510C55"/>
    <w:rsid w:val="00511C22"/>
    <w:rsid w:val="00512848"/>
    <w:rsid w:val="0051669D"/>
    <w:rsid w:val="00516D62"/>
    <w:rsid w:val="005202EE"/>
    <w:rsid w:val="005205BE"/>
    <w:rsid w:val="005218A9"/>
    <w:rsid w:val="00522A4A"/>
    <w:rsid w:val="00522BD7"/>
    <w:rsid w:val="00523EF7"/>
    <w:rsid w:val="00525204"/>
    <w:rsid w:val="00530F4B"/>
    <w:rsid w:val="00531468"/>
    <w:rsid w:val="00531CFA"/>
    <w:rsid w:val="00532839"/>
    <w:rsid w:val="00532E17"/>
    <w:rsid w:val="00534707"/>
    <w:rsid w:val="00534776"/>
    <w:rsid w:val="00534A67"/>
    <w:rsid w:val="00535EDE"/>
    <w:rsid w:val="0053679B"/>
    <w:rsid w:val="00541B95"/>
    <w:rsid w:val="00541C72"/>
    <w:rsid w:val="0054434C"/>
    <w:rsid w:val="00546E39"/>
    <w:rsid w:val="005470AD"/>
    <w:rsid w:val="0054779C"/>
    <w:rsid w:val="00550410"/>
    <w:rsid w:val="00554EF9"/>
    <w:rsid w:val="00554FCF"/>
    <w:rsid w:val="00555999"/>
    <w:rsid w:val="00556EA1"/>
    <w:rsid w:val="0055756A"/>
    <w:rsid w:val="005575C4"/>
    <w:rsid w:val="00557DAB"/>
    <w:rsid w:val="00563279"/>
    <w:rsid w:val="0056405B"/>
    <w:rsid w:val="00566CAD"/>
    <w:rsid w:val="00570A61"/>
    <w:rsid w:val="0057189C"/>
    <w:rsid w:val="00571D8C"/>
    <w:rsid w:val="00572887"/>
    <w:rsid w:val="00575578"/>
    <w:rsid w:val="005779D6"/>
    <w:rsid w:val="00580203"/>
    <w:rsid w:val="00580378"/>
    <w:rsid w:val="00580E70"/>
    <w:rsid w:val="00581C88"/>
    <w:rsid w:val="00582BC0"/>
    <w:rsid w:val="00584857"/>
    <w:rsid w:val="0058499E"/>
    <w:rsid w:val="00584B95"/>
    <w:rsid w:val="005856F4"/>
    <w:rsid w:val="00587E66"/>
    <w:rsid w:val="0059066A"/>
    <w:rsid w:val="005916B3"/>
    <w:rsid w:val="0059256A"/>
    <w:rsid w:val="00592575"/>
    <w:rsid w:val="005932BA"/>
    <w:rsid w:val="005939EE"/>
    <w:rsid w:val="0059573B"/>
    <w:rsid w:val="005962F9"/>
    <w:rsid w:val="005A0335"/>
    <w:rsid w:val="005A2DB7"/>
    <w:rsid w:val="005A5BB9"/>
    <w:rsid w:val="005A5BE4"/>
    <w:rsid w:val="005A62AA"/>
    <w:rsid w:val="005A6331"/>
    <w:rsid w:val="005A644C"/>
    <w:rsid w:val="005A6629"/>
    <w:rsid w:val="005A6827"/>
    <w:rsid w:val="005A6F39"/>
    <w:rsid w:val="005B12AA"/>
    <w:rsid w:val="005B186D"/>
    <w:rsid w:val="005B4830"/>
    <w:rsid w:val="005B532F"/>
    <w:rsid w:val="005B6315"/>
    <w:rsid w:val="005B794F"/>
    <w:rsid w:val="005C07D9"/>
    <w:rsid w:val="005C16CA"/>
    <w:rsid w:val="005C1E20"/>
    <w:rsid w:val="005C1EEC"/>
    <w:rsid w:val="005C22F3"/>
    <w:rsid w:val="005C4B9B"/>
    <w:rsid w:val="005C5F47"/>
    <w:rsid w:val="005C6E5B"/>
    <w:rsid w:val="005D1E13"/>
    <w:rsid w:val="005D1F5F"/>
    <w:rsid w:val="005D3105"/>
    <w:rsid w:val="005D7598"/>
    <w:rsid w:val="005E432C"/>
    <w:rsid w:val="005E63B5"/>
    <w:rsid w:val="005E65BC"/>
    <w:rsid w:val="005E7E37"/>
    <w:rsid w:val="005F0470"/>
    <w:rsid w:val="005F2437"/>
    <w:rsid w:val="005F32E3"/>
    <w:rsid w:val="005F4981"/>
    <w:rsid w:val="005F551C"/>
    <w:rsid w:val="005F57F1"/>
    <w:rsid w:val="005F699C"/>
    <w:rsid w:val="005F6E19"/>
    <w:rsid w:val="00601939"/>
    <w:rsid w:val="00605706"/>
    <w:rsid w:val="00605C63"/>
    <w:rsid w:val="00610172"/>
    <w:rsid w:val="006102FB"/>
    <w:rsid w:val="00611A9C"/>
    <w:rsid w:val="00612DE0"/>
    <w:rsid w:val="00615E3E"/>
    <w:rsid w:val="00621DAC"/>
    <w:rsid w:val="006235BF"/>
    <w:rsid w:val="00625BF3"/>
    <w:rsid w:val="0062671F"/>
    <w:rsid w:val="006269AE"/>
    <w:rsid w:val="0062768C"/>
    <w:rsid w:val="006307B0"/>
    <w:rsid w:val="006322E7"/>
    <w:rsid w:val="0063235E"/>
    <w:rsid w:val="0063305F"/>
    <w:rsid w:val="0063402A"/>
    <w:rsid w:val="00636B83"/>
    <w:rsid w:val="0063734B"/>
    <w:rsid w:val="00637EE9"/>
    <w:rsid w:val="00642053"/>
    <w:rsid w:val="00645794"/>
    <w:rsid w:val="00646D75"/>
    <w:rsid w:val="0065022E"/>
    <w:rsid w:val="006518F4"/>
    <w:rsid w:val="00652CE4"/>
    <w:rsid w:val="00652FD8"/>
    <w:rsid w:val="00653587"/>
    <w:rsid w:val="0065452E"/>
    <w:rsid w:val="006546E3"/>
    <w:rsid w:val="00656973"/>
    <w:rsid w:val="00657AD2"/>
    <w:rsid w:val="006602AA"/>
    <w:rsid w:val="006613D6"/>
    <w:rsid w:val="00661744"/>
    <w:rsid w:val="006621BA"/>
    <w:rsid w:val="00663C3D"/>
    <w:rsid w:val="00664498"/>
    <w:rsid w:val="00666865"/>
    <w:rsid w:val="00666C3D"/>
    <w:rsid w:val="00670033"/>
    <w:rsid w:val="00671176"/>
    <w:rsid w:val="00675A7E"/>
    <w:rsid w:val="0068081A"/>
    <w:rsid w:val="00680D49"/>
    <w:rsid w:val="006813C5"/>
    <w:rsid w:val="006840E4"/>
    <w:rsid w:val="00684D1D"/>
    <w:rsid w:val="0068586F"/>
    <w:rsid w:val="0068619B"/>
    <w:rsid w:val="00687CBD"/>
    <w:rsid w:val="00692644"/>
    <w:rsid w:val="006931E0"/>
    <w:rsid w:val="006953BC"/>
    <w:rsid w:val="006956A4"/>
    <w:rsid w:val="00695ABA"/>
    <w:rsid w:val="0069700B"/>
    <w:rsid w:val="00697BC8"/>
    <w:rsid w:val="006A0C5A"/>
    <w:rsid w:val="006A0EA7"/>
    <w:rsid w:val="006A1FFE"/>
    <w:rsid w:val="006A2484"/>
    <w:rsid w:val="006A2FA0"/>
    <w:rsid w:val="006A3501"/>
    <w:rsid w:val="006A3E90"/>
    <w:rsid w:val="006A597F"/>
    <w:rsid w:val="006B02FF"/>
    <w:rsid w:val="006B070F"/>
    <w:rsid w:val="006B3FE9"/>
    <w:rsid w:val="006B713B"/>
    <w:rsid w:val="006B7DD1"/>
    <w:rsid w:val="006C104A"/>
    <w:rsid w:val="006C24D7"/>
    <w:rsid w:val="006C3764"/>
    <w:rsid w:val="006C5810"/>
    <w:rsid w:val="006C78AB"/>
    <w:rsid w:val="006C7E0B"/>
    <w:rsid w:val="006D1F2A"/>
    <w:rsid w:val="006D3505"/>
    <w:rsid w:val="006D3D97"/>
    <w:rsid w:val="006D400F"/>
    <w:rsid w:val="006D6E63"/>
    <w:rsid w:val="006D6EC8"/>
    <w:rsid w:val="006E0086"/>
    <w:rsid w:val="006E1C22"/>
    <w:rsid w:val="006E3076"/>
    <w:rsid w:val="006F3070"/>
    <w:rsid w:val="006F5BC2"/>
    <w:rsid w:val="007001E9"/>
    <w:rsid w:val="007027B0"/>
    <w:rsid w:val="0070311E"/>
    <w:rsid w:val="00703A23"/>
    <w:rsid w:val="007044D9"/>
    <w:rsid w:val="00704941"/>
    <w:rsid w:val="00706755"/>
    <w:rsid w:val="00706BDB"/>
    <w:rsid w:val="00707932"/>
    <w:rsid w:val="00711C35"/>
    <w:rsid w:val="007155D6"/>
    <w:rsid w:val="0072165D"/>
    <w:rsid w:val="0072289C"/>
    <w:rsid w:val="00722A05"/>
    <w:rsid w:val="00722AA8"/>
    <w:rsid w:val="0072328D"/>
    <w:rsid w:val="00723E07"/>
    <w:rsid w:val="00724247"/>
    <w:rsid w:val="007248DE"/>
    <w:rsid w:val="00724AD9"/>
    <w:rsid w:val="00724E2C"/>
    <w:rsid w:val="0072623D"/>
    <w:rsid w:val="00726C94"/>
    <w:rsid w:val="00730B2F"/>
    <w:rsid w:val="007314A0"/>
    <w:rsid w:val="00731DF8"/>
    <w:rsid w:val="00733F6A"/>
    <w:rsid w:val="00734638"/>
    <w:rsid w:val="00735EDA"/>
    <w:rsid w:val="00735FF0"/>
    <w:rsid w:val="007370B1"/>
    <w:rsid w:val="00737E38"/>
    <w:rsid w:val="007438AA"/>
    <w:rsid w:val="00751E8F"/>
    <w:rsid w:val="00752336"/>
    <w:rsid w:val="0075272E"/>
    <w:rsid w:val="00753BDD"/>
    <w:rsid w:val="00753F4B"/>
    <w:rsid w:val="007550ED"/>
    <w:rsid w:val="00756193"/>
    <w:rsid w:val="007604F1"/>
    <w:rsid w:val="00760977"/>
    <w:rsid w:val="00762AD5"/>
    <w:rsid w:val="00764D23"/>
    <w:rsid w:val="007650DE"/>
    <w:rsid w:val="0076551F"/>
    <w:rsid w:val="007667AB"/>
    <w:rsid w:val="007674FF"/>
    <w:rsid w:val="00770C7D"/>
    <w:rsid w:val="007720C7"/>
    <w:rsid w:val="00772649"/>
    <w:rsid w:val="007734DF"/>
    <w:rsid w:val="0077408F"/>
    <w:rsid w:val="0077473F"/>
    <w:rsid w:val="0077708C"/>
    <w:rsid w:val="00777C8A"/>
    <w:rsid w:val="00780734"/>
    <w:rsid w:val="00782DFE"/>
    <w:rsid w:val="00783833"/>
    <w:rsid w:val="00790C36"/>
    <w:rsid w:val="0079194F"/>
    <w:rsid w:val="0079455A"/>
    <w:rsid w:val="00794B6D"/>
    <w:rsid w:val="00796C95"/>
    <w:rsid w:val="00797DCD"/>
    <w:rsid w:val="007A06E9"/>
    <w:rsid w:val="007A0DC9"/>
    <w:rsid w:val="007A2237"/>
    <w:rsid w:val="007A6363"/>
    <w:rsid w:val="007B09C3"/>
    <w:rsid w:val="007B2BEF"/>
    <w:rsid w:val="007B66CE"/>
    <w:rsid w:val="007B75A3"/>
    <w:rsid w:val="007C1B1B"/>
    <w:rsid w:val="007C1E7B"/>
    <w:rsid w:val="007C4F34"/>
    <w:rsid w:val="007C5C82"/>
    <w:rsid w:val="007C7F53"/>
    <w:rsid w:val="007D1DE9"/>
    <w:rsid w:val="007D5003"/>
    <w:rsid w:val="007D5286"/>
    <w:rsid w:val="007D5B36"/>
    <w:rsid w:val="007D7BFD"/>
    <w:rsid w:val="007E1984"/>
    <w:rsid w:val="007E4D6B"/>
    <w:rsid w:val="007E58B3"/>
    <w:rsid w:val="007E5AFF"/>
    <w:rsid w:val="007F0B82"/>
    <w:rsid w:val="007F10AA"/>
    <w:rsid w:val="007F32E9"/>
    <w:rsid w:val="007F353B"/>
    <w:rsid w:val="00801245"/>
    <w:rsid w:val="0080312A"/>
    <w:rsid w:val="008033FC"/>
    <w:rsid w:val="00803E72"/>
    <w:rsid w:val="00804A34"/>
    <w:rsid w:val="00805BE8"/>
    <w:rsid w:val="008065F2"/>
    <w:rsid w:val="00812199"/>
    <w:rsid w:val="00812691"/>
    <w:rsid w:val="00813D3D"/>
    <w:rsid w:val="0081450F"/>
    <w:rsid w:val="008154CC"/>
    <w:rsid w:val="008157F5"/>
    <w:rsid w:val="00815F49"/>
    <w:rsid w:val="00817017"/>
    <w:rsid w:val="0081782A"/>
    <w:rsid w:val="00817ED8"/>
    <w:rsid w:val="00821257"/>
    <w:rsid w:val="008219B5"/>
    <w:rsid w:val="008235DD"/>
    <w:rsid w:val="0083048A"/>
    <w:rsid w:val="00830D21"/>
    <w:rsid w:val="00832025"/>
    <w:rsid w:val="008324F7"/>
    <w:rsid w:val="008333FB"/>
    <w:rsid w:val="008338F0"/>
    <w:rsid w:val="00834382"/>
    <w:rsid w:val="00837C02"/>
    <w:rsid w:val="00840C1C"/>
    <w:rsid w:val="00841FBC"/>
    <w:rsid w:val="00843C22"/>
    <w:rsid w:val="00844870"/>
    <w:rsid w:val="0085238B"/>
    <w:rsid w:val="00853416"/>
    <w:rsid w:val="00856579"/>
    <w:rsid w:val="00856617"/>
    <w:rsid w:val="008615E9"/>
    <w:rsid w:val="008625A5"/>
    <w:rsid w:val="008702D1"/>
    <w:rsid w:val="00876F37"/>
    <w:rsid w:val="00876F3F"/>
    <w:rsid w:val="00877EDC"/>
    <w:rsid w:val="00880674"/>
    <w:rsid w:val="00880BE5"/>
    <w:rsid w:val="00881394"/>
    <w:rsid w:val="00881A9B"/>
    <w:rsid w:val="0088209E"/>
    <w:rsid w:val="008827A7"/>
    <w:rsid w:val="0088478C"/>
    <w:rsid w:val="00886CA5"/>
    <w:rsid w:val="0089048A"/>
    <w:rsid w:val="00891A80"/>
    <w:rsid w:val="008922A0"/>
    <w:rsid w:val="00892DE1"/>
    <w:rsid w:val="008960F5"/>
    <w:rsid w:val="008A081A"/>
    <w:rsid w:val="008A1B2A"/>
    <w:rsid w:val="008A4538"/>
    <w:rsid w:val="008A5973"/>
    <w:rsid w:val="008B15FE"/>
    <w:rsid w:val="008B37A1"/>
    <w:rsid w:val="008B4EE2"/>
    <w:rsid w:val="008B4F44"/>
    <w:rsid w:val="008B55AC"/>
    <w:rsid w:val="008B677B"/>
    <w:rsid w:val="008B7877"/>
    <w:rsid w:val="008C048F"/>
    <w:rsid w:val="008C056D"/>
    <w:rsid w:val="008C08B2"/>
    <w:rsid w:val="008C5F9A"/>
    <w:rsid w:val="008C6928"/>
    <w:rsid w:val="008D0777"/>
    <w:rsid w:val="008D0BBC"/>
    <w:rsid w:val="008D1E59"/>
    <w:rsid w:val="008D3020"/>
    <w:rsid w:val="008D4351"/>
    <w:rsid w:val="008D4B05"/>
    <w:rsid w:val="008D6228"/>
    <w:rsid w:val="008D6A33"/>
    <w:rsid w:val="008E04FD"/>
    <w:rsid w:val="008E21B7"/>
    <w:rsid w:val="008E4132"/>
    <w:rsid w:val="008E749A"/>
    <w:rsid w:val="008E7D27"/>
    <w:rsid w:val="008F2F62"/>
    <w:rsid w:val="008F4A16"/>
    <w:rsid w:val="009005B9"/>
    <w:rsid w:val="00900F58"/>
    <w:rsid w:val="00901E6D"/>
    <w:rsid w:val="009027DD"/>
    <w:rsid w:val="00902B5B"/>
    <w:rsid w:val="00903858"/>
    <w:rsid w:val="009052E8"/>
    <w:rsid w:val="00905ED0"/>
    <w:rsid w:val="00910AE2"/>
    <w:rsid w:val="009116BB"/>
    <w:rsid w:val="009143DD"/>
    <w:rsid w:val="0091598C"/>
    <w:rsid w:val="00915E33"/>
    <w:rsid w:val="00916C57"/>
    <w:rsid w:val="00920334"/>
    <w:rsid w:val="00920842"/>
    <w:rsid w:val="00920CD5"/>
    <w:rsid w:val="009213F1"/>
    <w:rsid w:val="009223B3"/>
    <w:rsid w:val="00924D6F"/>
    <w:rsid w:val="00924FD9"/>
    <w:rsid w:val="0092598B"/>
    <w:rsid w:val="009317EC"/>
    <w:rsid w:val="00932812"/>
    <w:rsid w:val="00933C89"/>
    <w:rsid w:val="00934704"/>
    <w:rsid w:val="00935745"/>
    <w:rsid w:val="009368FB"/>
    <w:rsid w:val="00937C43"/>
    <w:rsid w:val="00940589"/>
    <w:rsid w:val="009416AA"/>
    <w:rsid w:val="00943AB2"/>
    <w:rsid w:val="009458A3"/>
    <w:rsid w:val="00945DBD"/>
    <w:rsid w:val="009463AE"/>
    <w:rsid w:val="00947DE9"/>
    <w:rsid w:val="00950CD1"/>
    <w:rsid w:val="00950D7A"/>
    <w:rsid w:val="00951E3B"/>
    <w:rsid w:val="00951EB2"/>
    <w:rsid w:val="0095241C"/>
    <w:rsid w:val="009525CD"/>
    <w:rsid w:val="009541FC"/>
    <w:rsid w:val="009556A0"/>
    <w:rsid w:val="00956DF3"/>
    <w:rsid w:val="00957494"/>
    <w:rsid w:val="009577FE"/>
    <w:rsid w:val="00960DA0"/>
    <w:rsid w:val="00961E97"/>
    <w:rsid w:val="00962489"/>
    <w:rsid w:val="00962804"/>
    <w:rsid w:val="0096533B"/>
    <w:rsid w:val="00965B7A"/>
    <w:rsid w:val="0096738C"/>
    <w:rsid w:val="00970D6E"/>
    <w:rsid w:val="00970E8F"/>
    <w:rsid w:val="00975B67"/>
    <w:rsid w:val="00977D7F"/>
    <w:rsid w:val="009818E6"/>
    <w:rsid w:val="00982F09"/>
    <w:rsid w:val="00983B64"/>
    <w:rsid w:val="00984171"/>
    <w:rsid w:val="0098543A"/>
    <w:rsid w:val="00986411"/>
    <w:rsid w:val="00990826"/>
    <w:rsid w:val="00991668"/>
    <w:rsid w:val="00992017"/>
    <w:rsid w:val="009930B9"/>
    <w:rsid w:val="0099655C"/>
    <w:rsid w:val="00996B5A"/>
    <w:rsid w:val="00997E63"/>
    <w:rsid w:val="009A0392"/>
    <w:rsid w:val="009A0C4B"/>
    <w:rsid w:val="009A1476"/>
    <w:rsid w:val="009A20F2"/>
    <w:rsid w:val="009A3D86"/>
    <w:rsid w:val="009A641D"/>
    <w:rsid w:val="009B073A"/>
    <w:rsid w:val="009B2987"/>
    <w:rsid w:val="009B2DB0"/>
    <w:rsid w:val="009B4627"/>
    <w:rsid w:val="009C15F5"/>
    <w:rsid w:val="009C1825"/>
    <w:rsid w:val="009C5124"/>
    <w:rsid w:val="009C721D"/>
    <w:rsid w:val="009D1882"/>
    <w:rsid w:val="009D2400"/>
    <w:rsid w:val="009D2738"/>
    <w:rsid w:val="009D30D3"/>
    <w:rsid w:val="009D4BD0"/>
    <w:rsid w:val="009D4FE5"/>
    <w:rsid w:val="009D5610"/>
    <w:rsid w:val="009D5D37"/>
    <w:rsid w:val="009D5ECB"/>
    <w:rsid w:val="009D6A44"/>
    <w:rsid w:val="009D79AA"/>
    <w:rsid w:val="009E13F1"/>
    <w:rsid w:val="009E1CFB"/>
    <w:rsid w:val="009E437A"/>
    <w:rsid w:val="009E5418"/>
    <w:rsid w:val="009E77D6"/>
    <w:rsid w:val="009E7BD7"/>
    <w:rsid w:val="009E7C0B"/>
    <w:rsid w:val="009F1577"/>
    <w:rsid w:val="009F3639"/>
    <w:rsid w:val="009F4959"/>
    <w:rsid w:val="009F6469"/>
    <w:rsid w:val="00A00CE2"/>
    <w:rsid w:val="00A02232"/>
    <w:rsid w:val="00A02255"/>
    <w:rsid w:val="00A024AA"/>
    <w:rsid w:val="00A027C5"/>
    <w:rsid w:val="00A04469"/>
    <w:rsid w:val="00A04ED4"/>
    <w:rsid w:val="00A10023"/>
    <w:rsid w:val="00A10B21"/>
    <w:rsid w:val="00A12E95"/>
    <w:rsid w:val="00A13E16"/>
    <w:rsid w:val="00A14BFE"/>
    <w:rsid w:val="00A153E3"/>
    <w:rsid w:val="00A15A99"/>
    <w:rsid w:val="00A15DD8"/>
    <w:rsid w:val="00A17399"/>
    <w:rsid w:val="00A20842"/>
    <w:rsid w:val="00A20A38"/>
    <w:rsid w:val="00A20CC3"/>
    <w:rsid w:val="00A23942"/>
    <w:rsid w:val="00A23A65"/>
    <w:rsid w:val="00A2495D"/>
    <w:rsid w:val="00A269FF"/>
    <w:rsid w:val="00A26BF9"/>
    <w:rsid w:val="00A32EEB"/>
    <w:rsid w:val="00A331CC"/>
    <w:rsid w:val="00A3464F"/>
    <w:rsid w:val="00A368F7"/>
    <w:rsid w:val="00A379A0"/>
    <w:rsid w:val="00A4085B"/>
    <w:rsid w:val="00A41B8D"/>
    <w:rsid w:val="00A423B9"/>
    <w:rsid w:val="00A44D0E"/>
    <w:rsid w:val="00A45EB8"/>
    <w:rsid w:val="00A46002"/>
    <w:rsid w:val="00A47178"/>
    <w:rsid w:val="00A50434"/>
    <w:rsid w:val="00A50655"/>
    <w:rsid w:val="00A517DA"/>
    <w:rsid w:val="00A51F60"/>
    <w:rsid w:val="00A52404"/>
    <w:rsid w:val="00A53A82"/>
    <w:rsid w:val="00A54839"/>
    <w:rsid w:val="00A55F18"/>
    <w:rsid w:val="00A56430"/>
    <w:rsid w:val="00A56FB7"/>
    <w:rsid w:val="00A60425"/>
    <w:rsid w:val="00A60DBC"/>
    <w:rsid w:val="00A611C8"/>
    <w:rsid w:val="00A61A0F"/>
    <w:rsid w:val="00A61BAF"/>
    <w:rsid w:val="00A63954"/>
    <w:rsid w:val="00A63D1D"/>
    <w:rsid w:val="00A66648"/>
    <w:rsid w:val="00A673F4"/>
    <w:rsid w:val="00A67F6B"/>
    <w:rsid w:val="00A71224"/>
    <w:rsid w:val="00A72479"/>
    <w:rsid w:val="00A73111"/>
    <w:rsid w:val="00A74564"/>
    <w:rsid w:val="00A761C5"/>
    <w:rsid w:val="00A81D03"/>
    <w:rsid w:val="00A83373"/>
    <w:rsid w:val="00A84D44"/>
    <w:rsid w:val="00A853AC"/>
    <w:rsid w:val="00A909F4"/>
    <w:rsid w:val="00A90CBD"/>
    <w:rsid w:val="00A9497F"/>
    <w:rsid w:val="00A95342"/>
    <w:rsid w:val="00A9585D"/>
    <w:rsid w:val="00A95CF8"/>
    <w:rsid w:val="00A97C33"/>
    <w:rsid w:val="00AA0918"/>
    <w:rsid w:val="00AA09DD"/>
    <w:rsid w:val="00AA0F73"/>
    <w:rsid w:val="00AA2458"/>
    <w:rsid w:val="00AB1F4C"/>
    <w:rsid w:val="00AB57A0"/>
    <w:rsid w:val="00AB73FB"/>
    <w:rsid w:val="00AC0BA4"/>
    <w:rsid w:val="00AC10F9"/>
    <w:rsid w:val="00AC2A67"/>
    <w:rsid w:val="00AC7A7A"/>
    <w:rsid w:val="00AD0618"/>
    <w:rsid w:val="00AD373F"/>
    <w:rsid w:val="00AD3CF4"/>
    <w:rsid w:val="00AD41A0"/>
    <w:rsid w:val="00AD7BF5"/>
    <w:rsid w:val="00AD7EC0"/>
    <w:rsid w:val="00AE0D8E"/>
    <w:rsid w:val="00AE26B4"/>
    <w:rsid w:val="00AE31A4"/>
    <w:rsid w:val="00AE34F0"/>
    <w:rsid w:val="00AE660D"/>
    <w:rsid w:val="00AF53F7"/>
    <w:rsid w:val="00AF73B5"/>
    <w:rsid w:val="00AF7F3E"/>
    <w:rsid w:val="00B008CC"/>
    <w:rsid w:val="00B01F80"/>
    <w:rsid w:val="00B0331F"/>
    <w:rsid w:val="00B049A3"/>
    <w:rsid w:val="00B05DB9"/>
    <w:rsid w:val="00B07208"/>
    <w:rsid w:val="00B104DD"/>
    <w:rsid w:val="00B10E75"/>
    <w:rsid w:val="00B11315"/>
    <w:rsid w:val="00B11CF9"/>
    <w:rsid w:val="00B138E6"/>
    <w:rsid w:val="00B14948"/>
    <w:rsid w:val="00B14B75"/>
    <w:rsid w:val="00B1586D"/>
    <w:rsid w:val="00B159F2"/>
    <w:rsid w:val="00B16898"/>
    <w:rsid w:val="00B170A9"/>
    <w:rsid w:val="00B21389"/>
    <w:rsid w:val="00B22B7F"/>
    <w:rsid w:val="00B26FA8"/>
    <w:rsid w:val="00B274E4"/>
    <w:rsid w:val="00B27CF7"/>
    <w:rsid w:val="00B307A2"/>
    <w:rsid w:val="00B308F5"/>
    <w:rsid w:val="00B32148"/>
    <w:rsid w:val="00B3374F"/>
    <w:rsid w:val="00B37027"/>
    <w:rsid w:val="00B40D61"/>
    <w:rsid w:val="00B410D4"/>
    <w:rsid w:val="00B44541"/>
    <w:rsid w:val="00B45037"/>
    <w:rsid w:val="00B4553C"/>
    <w:rsid w:val="00B45976"/>
    <w:rsid w:val="00B503AF"/>
    <w:rsid w:val="00B50A28"/>
    <w:rsid w:val="00B5141D"/>
    <w:rsid w:val="00B527DC"/>
    <w:rsid w:val="00B54D1F"/>
    <w:rsid w:val="00B55F2D"/>
    <w:rsid w:val="00B560CB"/>
    <w:rsid w:val="00B615B9"/>
    <w:rsid w:val="00B62FD7"/>
    <w:rsid w:val="00B64269"/>
    <w:rsid w:val="00B648DB"/>
    <w:rsid w:val="00B6549D"/>
    <w:rsid w:val="00B6616A"/>
    <w:rsid w:val="00B6677C"/>
    <w:rsid w:val="00B66FFF"/>
    <w:rsid w:val="00B715F3"/>
    <w:rsid w:val="00B7226C"/>
    <w:rsid w:val="00B733D6"/>
    <w:rsid w:val="00B77C22"/>
    <w:rsid w:val="00B80F8D"/>
    <w:rsid w:val="00B829E2"/>
    <w:rsid w:val="00B841A3"/>
    <w:rsid w:val="00B84826"/>
    <w:rsid w:val="00B863F7"/>
    <w:rsid w:val="00B87891"/>
    <w:rsid w:val="00B90B19"/>
    <w:rsid w:val="00B915F3"/>
    <w:rsid w:val="00B929D1"/>
    <w:rsid w:val="00B949DA"/>
    <w:rsid w:val="00B9567B"/>
    <w:rsid w:val="00B96877"/>
    <w:rsid w:val="00BA44C1"/>
    <w:rsid w:val="00BA51F7"/>
    <w:rsid w:val="00BA5653"/>
    <w:rsid w:val="00BA6555"/>
    <w:rsid w:val="00BA6DA2"/>
    <w:rsid w:val="00BA7EA4"/>
    <w:rsid w:val="00BB16E1"/>
    <w:rsid w:val="00BB3DB7"/>
    <w:rsid w:val="00BB4E1F"/>
    <w:rsid w:val="00BB74C1"/>
    <w:rsid w:val="00BB79EC"/>
    <w:rsid w:val="00BC06BE"/>
    <w:rsid w:val="00BC0BDE"/>
    <w:rsid w:val="00BC140A"/>
    <w:rsid w:val="00BC3D4A"/>
    <w:rsid w:val="00BC4B16"/>
    <w:rsid w:val="00BC7425"/>
    <w:rsid w:val="00BC74A2"/>
    <w:rsid w:val="00BD1463"/>
    <w:rsid w:val="00BD3851"/>
    <w:rsid w:val="00BD51DF"/>
    <w:rsid w:val="00BD75D1"/>
    <w:rsid w:val="00BE171C"/>
    <w:rsid w:val="00BE34F3"/>
    <w:rsid w:val="00BE478F"/>
    <w:rsid w:val="00BE5B01"/>
    <w:rsid w:val="00BE601C"/>
    <w:rsid w:val="00BF207B"/>
    <w:rsid w:val="00BF273D"/>
    <w:rsid w:val="00BF2F1A"/>
    <w:rsid w:val="00BF6533"/>
    <w:rsid w:val="00C01784"/>
    <w:rsid w:val="00C05011"/>
    <w:rsid w:val="00C05C11"/>
    <w:rsid w:val="00C0717A"/>
    <w:rsid w:val="00C07D1D"/>
    <w:rsid w:val="00C131D1"/>
    <w:rsid w:val="00C1333C"/>
    <w:rsid w:val="00C176AB"/>
    <w:rsid w:val="00C208FA"/>
    <w:rsid w:val="00C23085"/>
    <w:rsid w:val="00C2418E"/>
    <w:rsid w:val="00C306EE"/>
    <w:rsid w:val="00C31078"/>
    <w:rsid w:val="00C345D5"/>
    <w:rsid w:val="00C3540B"/>
    <w:rsid w:val="00C359E4"/>
    <w:rsid w:val="00C369AE"/>
    <w:rsid w:val="00C36D93"/>
    <w:rsid w:val="00C37AD3"/>
    <w:rsid w:val="00C40117"/>
    <w:rsid w:val="00C41EB4"/>
    <w:rsid w:val="00C424C7"/>
    <w:rsid w:val="00C44E23"/>
    <w:rsid w:val="00C45530"/>
    <w:rsid w:val="00C530CD"/>
    <w:rsid w:val="00C530D1"/>
    <w:rsid w:val="00C53E64"/>
    <w:rsid w:val="00C550CD"/>
    <w:rsid w:val="00C560D4"/>
    <w:rsid w:val="00C57574"/>
    <w:rsid w:val="00C6051F"/>
    <w:rsid w:val="00C6072F"/>
    <w:rsid w:val="00C60B40"/>
    <w:rsid w:val="00C60FF8"/>
    <w:rsid w:val="00C62B37"/>
    <w:rsid w:val="00C63295"/>
    <w:rsid w:val="00C65044"/>
    <w:rsid w:val="00C6537E"/>
    <w:rsid w:val="00C66667"/>
    <w:rsid w:val="00C67489"/>
    <w:rsid w:val="00C67D95"/>
    <w:rsid w:val="00C724BA"/>
    <w:rsid w:val="00C73978"/>
    <w:rsid w:val="00C73DDD"/>
    <w:rsid w:val="00C754B7"/>
    <w:rsid w:val="00C765EA"/>
    <w:rsid w:val="00C77D53"/>
    <w:rsid w:val="00C832AE"/>
    <w:rsid w:val="00C845CE"/>
    <w:rsid w:val="00C85092"/>
    <w:rsid w:val="00C8567D"/>
    <w:rsid w:val="00C87D27"/>
    <w:rsid w:val="00C901F3"/>
    <w:rsid w:val="00C90E89"/>
    <w:rsid w:val="00C91888"/>
    <w:rsid w:val="00C91E58"/>
    <w:rsid w:val="00C92D75"/>
    <w:rsid w:val="00C9325E"/>
    <w:rsid w:val="00C93382"/>
    <w:rsid w:val="00C94CB5"/>
    <w:rsid w:val="00C961D4"/>
    <w:rsid w:val="00C96A69"/>
    <w:rsid w:val="00C97646"/>
    <w:rsid w:val="00C9766A"/>
    <w:rsid w:val="00CA0147"/>
    <w:rsid w:val="00CA0770"/>
    <w:rsid w:val="00CA0940"/>
    <w:rsid w:val="00CA4231"/>
    <w:rsid w:val="00CA443C"/>
    <w:rsid w:val="00CA449D"/>
    <w:rsid w:val="00CA5E25"/>
    <w:rsid w:val="00CA63EA"/>
    <w:rsid w:val="00CA6EAD"/>
    <w:rsid w:val="00CB2566"/>
    <w:rsid w:val="00CB3A6A"/>
    <w:rsid w:val="00CB3F56"/>
    <w:rsid w:val="00CB4688"/>
    <w:rsid w:val="00CB6C5E"/>
    <w:rsid w:val="00CB6C6E"/>
    <w:rsid w:val="00CB7AE9"/>
    <w:rsid w:val="00CC3260"/>
    <w:rsid w:val="00CC3CD1"/>
    <w:rsid w:val="00CC3F16"/>
    <w:rsid w:val="00CC50DE"/>
    <w:rsid w:val="00CD2069"/>
    <w:rsid w:val="00CD27A4"/>
    <w:rsid w:val="00CE2C7E"/>
    <w:rsid w:val="00CE2EFD"/>
    <w:rsid w:val="00CE4BE6"/>
    <w:rsid w:val="00CE4D59"/>
    <w:rsid w:val="00CF049B"/>
    <w:rsid w:val="00CF44F8"/>
    <w:rsid w:val="00CF4549"/>
    <w:rsid w:val="00CF6E26"/>
    <w:rsid w:val="00CF6F2E"/>
    <w:rsid w:val="00D0163C"/>
    <w:rsid w:val="00D05330"/>
    <w:rsid w:val="00D057A9"/>
    <w:rsid w:val="00D05946"/>
    <w:rsid w:val="00D11EE2"/>
    <w:rsid w:val="00D12075"/>
    <w:rsid w:val="00D20089"/>
    <w:rsid w:val="00D23603"/>
    <w:rsid w:val="00D242ED"/>
    <w:rsid w:val="00D2542D"/>
    <w:rsid w:val="00D3051A"/>
    <w:rsid w:val="00D309E8"/>
    <w:rsid w:val="00D31F60"/>
    <w:rsid w:val="00D3213D"/>
    <w:rsid w:val="00D3265B"/>
    <w:rsid w:val="00D334A2"/>
    <w:rsid w:val="00D33692"/>
    <w:rsid w:val="00D347F3"/>
    <w:rsid w:val="00D34C12"/>
    <w:rsid w:val="00D36457"/>
    <w:rsid w:val="00D3700A"/>
    <w:rsid w:val="00D3767E"/>
    <w:rsid w:val="00D405F2"/>
    <w:rsid w:val="00D413EB"/>
    <w:rsid w:val="00D41C52"/>
    <w:rsid w:val="00D449DC"/>
    <w:rsid w:val="00D45E2E"/>
    <w:rsid w:val="00D47447"/>
    <w:rsid w:val="00D47F36"/>
    <w:rsid w:val="00D516CC"/>
    <w:rsid w:val="00D675D0"/>
    <w:rsid w:val="00D700E2"/>
    <w:rsid w:val="00D70867"/>
    <w:rsid w:val="00D7172B"/>
    <w:rsid w:val="00D72716"/>
    <w:rsid w:val="00D73E16"/>
    <w:rsid w:val="00D744D4"/>
    <w:rsid w:val="00D74843"/>
    <w:rsid w:val="00D75F2B"/>
    <w:rsid w:val="00D769F1"/>
    <w:rsid w:val="00D81E4D"/>
    <w:rsid w:val="00D83E98"/>
    <w:rsid w:val="00D86615"/>
    <w:rsid w:val="00D86959"/>
    <w:rsid w:val="00D87795"/>
    <w:rsid w:val="00D908C5"/>
    <w:rsid w:val="00D931DD"/>
    <w:rsid w:val="00D93EDE"/>
    <w:rsid w:val="00DA1071"/>
    <w:rsid w:val="00DA1734"/>
    <w:rsid w:val="00DA225D"/>
    <w:rsid w:val="00DA3B98"/>
    <w:rsid w:val="00DA42A6"/>
    <w:rsid w:val="00DB0E4E"/>
    <w:rsid w:val="00DB1D78"/>
    <w:rsid w:val="00DB2055"/>
    <w:rsid w:val="00DB23E4"/>
    <w:rsid w:val="00DB376F"/>
    <w:rsid w:val="00DB40B4"/>
    <w:rsid w:val="00DB50B2"/>
    <w:rsid w:val="00DB5A0C"/>
    <w:rsid w:val="00DB5F49"/>
    <w:rsid w:val="00DB62AF"/>
    <w:rsid w:val="00DB6F42"/>
    <w:rsid w:val="00DB76E9"/>
    <w:rsid w:val="00DC22E3"/>
    <w:rsid w:val="00DC5A38"/>
    <w:rsid w:val="00DC6E93"/>
    <w:rsid w:val="00DD0E10"/>
    <w:rsid w:val="00DE1C52"/>
    <w:rsid w:val="00DE377E"/>
    <w:rsid w:val="00DE6BA2"/>
    <w:rsid w:val="00DE6F72"/>
    <w:rsid w:val="00DE73E8"/>
    <w:rsid w:val="00DF127E"/>
    <w:rsid w:val="00DF16F3"/>
    <w:rsid w:val="00DF260E"/>
    <w:rsid w:val="00DF320B"/>
    <w:rsid w:val="00DF6759"/>
    <w:rsid w:val="00E019BD"/>
    <w:rsid w:val="00E02B62"/>
    <w:rsid w:val="00E04E93"/>
    <w:rsid w:val="00E05523"/>
    <w:rsid w:val="00E072C4"/>
    <w:rsid w:val="00E07961"/>
    <w:rsid w:val="00E0798D"/>
    <w:rsid w:val="00E104DA"/>
    <w:rsid w:val="00E13AE0"/>
    <w:rsid w:val="00E14F27"/>
    <w:rsid w:val="00E159E1"/>
    <w:rsid w:val="00E16350"/>
    <w:rsid w:val="00E16562"/>
    <w:rsid w:val="00E1744D"/>
    <w:rsid w:val="00E24745"/>
    <w:rsid w:val="00E260F2"/>
    <w:rsid w:val="00E26A3C"/>
    <w:rsid w:val="00E27221"/>
    <w:rsid w:val="00E31568"/>
    <w:rsid w:val="00E33400"/>
    <w:rsid w:val="00E33574"/>
    <w:rsid w:val="00E3525C"/>
    <w:rsid w:val="00E444F1"/>
    <w:rsid w:val="00E44DB8"/>
    <w:rsid w:val="00E4575F"/>
    <w:rsid w:val="00E4701B"/>
    <w:rsid w:val="00E50209"/>
    <w:rsid w:val="00E50843"/>
    <w:rsid w:val="00E50DD4"/>
    <w:rsid w:val="00E50DD9"/>
    <w:rsid w:val="00E51186"/>
    <w:rsid w:val="00E54424"/>
    <w:rsid w:val="00E54777"/>
    <w:rsid w:val="00E55FE8"/>
    <w:rsid w:val="00E56899"/>
    <w:rsid w:val="00E606DA"/>
    <w:rsid w:val="00E60754"/>
    <w:rsid w:val="00E6334C"/>
    <w:rsid w:val="00E648CD"/>
    <w:rsid w:val="00E653BE"/>
    <w:rsid w:val="00E654DC"/>
    <w:rsid w:val="00E658EC"/>
    <w:rsid w:val="00E663D6"/>
    <w:rsid w:val="00E67C89"/>
    <w:rsid w:val="00E71BBE"/>
    <w:rsid w:val="00E74D62"/>
    <w:rsid w:val="00E75395"/>
    <w:rsid w:val="00E75DC2"/>
    <w:rsid w:val="00E76F07"/>
    <w:rsid w:val="00E77C8E"/>
    <w:rsid w:val="00E80839"/>
    <w:rsid w:val="00E82482"/>
    <w:rsid w:val="00E83FC4"/>
    <w:rsid w:val="00E85598"/>
    <w:rsid w:val="00E85D3A"/>
    <w:rsid w:val="00E9004B"/>
    <w:rsid w:val="00E91054"/>
    <w:rsid w:val="00E91830"/>
    <w:rsid w:val="00E964EF"/>
    <w:rsid w:val="00E96983"/>
    <w:rsid w:val="00E971AE"/>
    <w:rsid w:val="00E97398"/>
    <w:rsid w:val="00EA0DE8"/>
    <w:rsid w:val="00EA12DD"/>
    <w:rsid w:val="00EA13A7"/>
    <w:rsid w:val="00EA1502"/>
    <w:rsid w:val="00EA5350"/>
    <w:rsid w:val="00EA5BD3"/>
    <w:rsid w:val="00EA7D84"/>
    <w:rsid w:val="00EB2212"/>
    <w:rsid w:val="00EB509D"/>
    <w:rsid w:val="00EC0F17"/>
    <w:rsid w:val="00EC376A"/>
    <w:rsid w:val="00EC61F8"/>
    <w:rsid w:val="00ED0C66"/>
    <w:rsid w:val="00ED1B32"/>
    <w:rsid w:val="00ED356E"/>
    <w:rsid w:val="00ED4806"/>
    <w:rsid w:val="00ED51C6"/>
    <w:rsid w:val="00ED7B16"/>
    <w:rsid w:val="00EE0282"/>
    <w:rsid w:val="00EE0A5E"/>
    <w:rsid w:val="00EE0B3F"/>
    <w:rsid w:val="00EE1BE9"/>
    <w:rsid w:val="00EE2C23"/>
    <w:rsid w:val="00EE2E38"/>
    <w:rsid w:val="00EF0090"/>
    <w:rsid w:val="00EF2CAA"/>
    <w:rsid w:val="00EF5839"/>
    <w:rsid w:val="00EF64C0"/>
    <w:rsid w:val="00EF72DF"/>
    <w:rsid w:val="00F00C14"/>
    <w:rsid w:val="00F032F4"/>
    <w:rsid w:val="00F07200"/>
    <w:rsid w:val="00F07875"/>
    <w:rsid w:val="00F106D9"/>
    <w:rsid w:val="00F1222E"/>
    <w:rsid w:val="00F124C9"/>
    <w:rsid w:val="00F14196"/>
    <w:rsid w:val="00F14B18"/>
    <w:rsid w:val="00F15996"/>
    <w:rsid w:val="00F167A3"/>
    <w:rsid w:val="00F221B1"/>
    <w:rsid w:val="00F26F0A"/>
    <w:rsid w:val="00F31B27"/>
    <w:rsid w:val="00F31B5C"/>
    <w:rsid w:val="00F31C38"/>
    <w:rsid w:val="00F32A9C"/>
    <w:rsid w:val="00F35485"/>
    <w:rsid w:val="00F35BA2"/>
    <w:rsid w:val="00F37532"/>
    <w:rsid w:val="00F37977"/>
    <w:rsid w:val="00F40B20"/>
    <w:rsid w:val="00F40F00"/>
    <w:rsid w:val="00F42CBE"/>
    <w:rsid w:val="00F433EC"/>
    <w:rsid w:val="00F45C25"/>
    <w:rsid w:val="00F50D06"/>
    <w:rsid w:val="00F51B91"/>
    <w:rsid w:val="00F51BBD"/>
    <w:rsid w:val="00F51C33"/>
    <w:rsid w:val="00F5496E"/>
    <w:rsid w:val="00F5697A"/>
    <w:rsid w:val="00F56B70"/>
    <w:rsid w:val="00F60C99"/>
    <w:rsid w:val="00F60CE2"/>
    <w:rsid w:val="00F62F2E"/>
    <w:rsid w:val="00F63775"/>
    <w:rsid w:val="00F638B6"/>
    <w:rsid w:val="00F64130"/>
    <w:rsid w:val="00F6479F"/>
    <w:rsid w:val="00F71223"/>
    <w:rsid w:val="00F716F0"/>
    <w:rsid w:val="00F72CCD"/>
    <w:rsid w:val="00F73785"/>
    <w:rsid w:val="00F73E98"/>
    <w:rsid w:val="00F7414B"/>
    <w:rsid w:val="00F748A9"/>
    <w:rsid w:val="00F75035"/>
    <w:rsid w:val="00F8126E"/>
    <w:rsid w:val="00F81941"/>
    <w:rsid w:val="00F82B90"/>
    <w:rsid w:val="00F8500A"/>
    <w:rsid w:val="00F8568B"/>
    <w:rsid w:val="00F86744"/>
    <w:rsid w:val="00F86DFF"/>
    <w:rsid w:val="00F9201F"/>
    <w:rsid w:val="00F93FFB"/>
    <w:rsid w:val="00F95918"/>
    <w:rsid w:val="00F95F7C"/>
    <w:rsid w:val="00F97A24"/>
    <w:rsid w:val="00FA14B7"/>
    <w:rsid w:val="00FA244F"/>
    <w:rsid w:val="00FA2BF0"/>
    <w:rsid w:val="00FA4FB1"/>
    <w:rsid w:val="00FA5831"/>
    <w:rsid w:val="00FB1907"/>
    <w:rsid w:val="00FB2214"/>
    <w:rsid w:val="00FB2331"/>
    <w:rsid w:val="00FB3A44"/>
    <w:rsid w:val="00FB5176"/>
    <w:rsid w:val="00FB6120"/>
    <w:rsid w:val="00FB7503"/>
    <w:rsid w:val="00FB7B4F"/>
    <w:rsid w:val="00FC186F"/>
    <w:rsid w:val="00FC2AE1"/>
    <w:rsid w:val="00FC2CE7"/>
    <w:rsid w:val="00FC39B1"/>
    <w:rsid w:val="00FC4213"/>
    <w:rsid w:val="00FC5251"/>
    <w:rsid w:val="00FD05B5"/>
    <w:rsid w:val="00FD42DC"/>
    <w:rsid w:val="00FD53DF"/>
    <w:rsid w:val="00FD55AF"/>
    <w:rsid w:val="00FD5616"/>
    <w:rsid w:val="00FE35E2"/>
    <w:rsid w:val="00FE5887"/>
    <w:rsid w:val="00FE75D8"/>
    <w:rsid w:val="00FF1449"/>
    <w:rsid w:val="00FF25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2A4DB"/>
  <w15:chartTrackingRefBased/>
  <w15:docId w15:val="{4718744A-1478-4554-9725-7F766266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75"/>
    <w:pPr>
      <w:spacing w:after="0" w:line="240" w:lineRule="auto"/>
    </w:pPr>
    <w:rPr>
      <w:sz w:val="24"/>
      <w:szCs w:val="24"/>
    </w:rPr>
  </w:style>
  <w:style w:type="paragraph" w:styleId="Heading1">
    <w:name w:val="heading 1"/>
    <w:basedOn w:val="Normal"/>
    <w:next w:val="Normal"/>
    <w:link w:val="Heading1Char"/>
    <w:uiPriority w:val="9"/>
    <w:qFormat/>
    <w:rsid w:val="00B14B7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14B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5F7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B75"/>
    <w:rPr>
      <w:rFonts w:asciiTheme="majorHAnsi" w:eastAsiaTheme="majorEastAsia" w:hAnsiTheme="majorHAnsi" w:cstheme="majorBidi"/>
      <w:b/>
      <w:bCs/>
      <w:color w:val="2E74B5" w:themeColor="accent1" w:themeShade="BF"/>
      <w:sz w:val="28"/>
      <w:szCs w:val="28"/>
      <w:lang w:val="fr-FR"/>
    </w:rPr>
  </w:style>
  <w:style w:type="character" w:customStyle="1" w:styleId="Heading2Char">
    <w:name w:val="Heading 2 Char"/>
    <w:basedOn w:val="DefaultParagraphFont"/>
    <w:link w:val="Heading2"/>
    <w:uiPriority w:val="9"/>
    <w:rsid w:val="00B14B75"/>
    <w:rPr>
      <w:rFonts w:asciiTheme="majorHAnsi" w:eastAsiaTheme="majorEastAsia" w:hAnsiTheme="majorHAnsi" w:cstheme="majorBidi"/>
      <w:color w:val="2E74B5" w:themeColor="accent1" w:themeShade="BF"/>
      <w:sz w:val="26"/>
      <w:szCs w:val="26"/>
    </w:rPr>
  </w:style>
  <w:style w:type="paragraph" w:styleId="ListParagraph">
    <w:name w:val="List Paragraph"/>
    <w:aliases w:val="Párrafo de lista1,Colorful List - Accent 11"/>
    <w:basedOn w:val="Normal"/>
    <w:link w:val="ListParagraphChar"/>
    <w:uiPriority w:val="34"/>
    <w:qFormat/>
    <w:rsid w:val="00B14B75"/>
    <w:pPr>
      <w:ind w:left="720"/>
      <w:contextualSpacing/>
    </w:pPr>
  </w:style>
  <w:style w:type="paragraph" w:styleId="HTMLPreformatted">
    <w:name w:val="HTML Preformatted"/>
    <w:basedOn w:val="Normal"/>
    <w:link w:val="HTMLPreformattedChar"/>
    <w:uiPriority w:val="99"/>
    <w:unhideWhenUsed/>
    <w:rsid w:val="00B1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4B75"/>
    <w:rPr>
      <w:rFonts w:ascii="Courier New" w:eastAsia="Times New Roman" w:hAnsi="Courier New" w:cs="Courier New"/>
      <w:sz w:val="20"/>
      <w:szCs w:val="20"/>
      <w:lang w:val="fr-FR"/>
    </w:rPr>
  </w:style>
  <w:style w:type="character" w:customStyle="1" w:styleId="ListParagraphChar">
    <w:name w:val="List Paragraph Char"/>
    <w:aliases w:val="Párrafo de lista1 Char,Colorful List - Accent 11 Char"/>
    <w:link w:val="ListParagraph"/>
    <w:uiPriority w:val="34"/>
    <w:qFormat/>
    <w:locked/>
    <w:rsid w:val="00B14B75"/>
    <w:rPr>
      <w:sz w:val="24"/>
      <w:szCs w:val="24"/>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FA Fu?notentext"/>
    <w:basedOn w:val="Normal"/>
    <w:link w:val="FootnoteTextChar"/>
    <w:uiPriority w:val="99"/>
    <w:unhideWhenUsed/>
    <w:qFormat/>
    <w:rsid w:val="00B14B75"/>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uiPriority w:val="99"/>
    <w:rsid w:val="00B14B75"/>
    <w:rPr>
      <w:sz w:val="20"/>
      <w:szCs w:val="20"/>
      <w:lang w:val="fr-FR"/>
    </w:rPr>
  </w:style>
  <w:style w:type="character" w:styleId="FootnoteReference">
    <w:name w:val="footnote reference"/>
    <w:aliases w:val="4_G,Appel note de bas de page,Appel note de bas de page Char Char Char Char Char Char Char Char,Appel note de bas de page Char2 Char Char Char Char Char Char Char Char Char Char,Appel note de bas de page Char1"/>
    <w:basedOn w:val="DefaultParagraphFont"/>
    <w:link w:val="AppelnotedebasdepageCharCharCharCharCharCharChar"/>
    <w:uiPriority w:val="99"/>
    <w:unhideWhenUsed/>
    <w:qFormat/>
    <w:rsid w:val="00B14B75"/>
    <w:rPr>
      <w:vertAlign w:val="superscript"/>
    </w:rPr>
  </w:style>
  <w:style w:type="paragraph" w:customStyle="1" w:styleId="AppelnotedebasdepageCharCharCharCharCharCharChar">
    <w:name w:val="Appel note de bas de page Char Char Char Char Char Char Char"/>
    <w:aliases w:val="Appel note de bas de page Char2 Char Char Char Char Char Char Char Char Char,Footnote Reference Char,Appel note de ba...,Appel note de bas de page Char Char Char"/>
    <w:basedOn w:val="Normal"/>
    <w:link w:val="FootnoteReference"/>
    <w:uiPriority w:val="99"/>
    <w:rsid w:val="00B14B75"/>
    <w:pPr>
      <w:jc w:val="both"/>
    </w:pPr>
    <w:rPr>
      <w:sz w:val="22"/>
      <w:szCs w:val="22"/>
      <w:vertAlign w:val="superscript"/>
    </w:rPr>
  </w:style>
  <w:style w:type="paragraph" w:styleId="NoSpacing">
    <w:name w:val="No Spacing"/>
    <w:link w:val="NoSpacingChar"/>
    <w:uiPriority w:val="1"/>
    <w:qFormat/>
    <w:rsid w:val="00B14B75"/>
    <w:pPr>
      <w:spacing w:after="0" w:line="240" w:lineRule="auto"/>
    </w:pPr>
  </w:style>
  <w:style w:type="character" w:customStyle="1" w:styleId="NoSpacingChar">
    <w:name w:val="No Spacing Char"/>
    <w:basedOn w:val="DefaultParagraphFont"/>
    <w:link w:val="NoSpacing"/>
    <w:uiPriority w:val="1"/>
    <w:rsid w:val="00B14B75"/>
  </w:style>
  <w:style w:type="character" w:customStyle="1" w:styleId="tlid-translation">
    <w:name w:val="tlid-translation"/>
    <w:basedOn w:val="DefaultParagraphFont"/>
    <w:rsid w:val="00B14B75"/>
  </w:style>
  <w:style w:type="paragraph" w:styleId="Footer">
    <w:name w:val="footer"/>
    <w:basedOn w:val="Normal"/>
    <w:link w:val="FooterChar"/>
    <w:uiPriority w:val="99"/>
    <w:unhideWhenUsed/>
    <w:rsid w:val="00B14B75"/>
    <w:pPr>
      <w:tabs>
        <w:tab w:val="center" w:pos="4513"/>
        <w:tab w:val="right" w:pos="9026"/>
      </w:tabs>
    </w:pPr>
  </w:style>
  <w:style w:type="character" w:customStyle="1" w:styleId="FooterChar">
    <w:name w:val="Footer Char"/>
    <w:basedOn w:val="DefaultParagraphFont"/>
    <w:link w:val="Footer"/>
    <w:uiPriority w:val="99"/>
    <w:rsid w:val="00B14B75"/>
    <w:rPr>
      <w:sz w:val="24"/>
      <w:szCs w:val="24"/>
    </w:rPr>
  </w:style>
  <w:style w:type="paragraph" w:styleId="TOC1">
    <w:name w:val="toc 1"/>
    <w:basedOn w:val="Normal"/>
    <w:next w:val="Normal"/>
    <w:autoRedefine/>
    <w:uiPriority w:val="39"/>
    <w:unhideWhenUsed/>
    <w:qFormat/>
    <w:rsid w:val="005C1EEC"/>
    <w:pPr>
      <w:tabs>
        <w:tab w:val="right" w:leader="dot" w:pos="9070"/>
      </w:tabs>
      <w:spacing w:line="360" w:lineRule="auto"/>
      <w:ind w:left="567" w:hanging="567"/>
      <w:contextualSpacing/>
    </w:pPr>
    <w:rPr>
      <w:rFonts w:ascii="Arial" w:hAnsi="Arial"/>
      <w:b/>
      <w:bCs/>
      <w:iCs/>
    </w:rPr>
  </w:style>
  <w:style w:type="paragraph" w:styleId="Header">
    <w:name w:val="header"/>
    <w:basedOn w:val="Normal"/>
    <w:link w:val="HeaderChar"/>
    <w:uiPriority w:val="99"/>
    <w:unhideWhenUsed/>
    <w:rsid w:val="00582BC0"/>
    <w:pPr>
      <w:tabs>
        <w:tab w:val="center" w:pos="4513"/>
        <w:tab w:val="right" w:pos="9026"/>
      </w:tabs>
    </w:pPr>
  </w:style>
  <w:style w:type="character" w:customStyle="1" w:styleId="HeaderChar">
    <w:name w:val="Header Char"/>
    <w:basedOn w:val="DefaultParagraphFont"/>
    <w:link w:val="Header"/>
    <w:uiPriority w:val="99"/>
    <w:rsid w:val="00582BC0"/>
    <w:rPr>
      <w:sz w:val="24"/>
      <w:szCs w:val="24"/>
    </w:rPr>
  </w:style>
  <w:style w:type="character" w:customStyle="1" w:styleId="Heading3Char">
    <w:name w:val="Heading 3 Char"/>
    <w:basedOn w:val="DefaultParagraphFont"/>
    <w:link w:val="Heading3"/>
    <w:uiPriority w:val="9"/>
    <w:rsid w:val="00F95F7C"/>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44DB8"/>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5C1EEC"/>
    <w:pPr>
      <w:tabs>
        <w:tab w:val="left" w:pos="1418"/>
        <w:tab w:val="right" w:leader="dot" w:pos="9060"/>
      </w:tabs>
      <w:spacing w:line="360" w:lineRule="auto"/>
      <w:ind w:left="993" w:hanging="426"/>
      <w:contextualSpacing/>
      <w:jc w:val="both"/>
    </w:pPr>
  </w:style>
  <w:style w:type="paragraph" w:styleId="TOC3">
    <w:name w:val="toc 3"/>
    <w:basedOn w:val="Normal"/>
    <w:next w:val="Normal"/>
    <w:autoRedefine/>
    <w:uiPriority w:val="39"/>
    <w:unhideWhenUsed/>
    <w:rsid w:val="005C1EEC"/>
    <w:pPr>
      <w:tabs>
        <w:tab w:val="left" w:pos="1418"/>
        <w:tab w:val="right" w:leader="dot" w:pos="9060"/>
      </w:tabs>
      <w:spacing w:line="360" w:lineRule="auto"/>
      <w:ind w:left="1418" w:hanging="426"/>
      <w:contextualSpacing/>
    </w:pPr>
  </w:style>
  <w:style w:type="character" w:styleId="Hyperlink">
    <w:name w:val="Hyperlink"/>
    <w:basedOn w:val="DefaultParagraphFont"/>
    <w:uiPriority w:val="99"/>
    <w:unhideWhenUsed/>
    <w:rsid w:val="00E44DB8"/>
    <w:rPr>
      <w:color w:val="0563C1" w:themeColor="hyperlink"/>
      <w:u w:val="single"/>
    </w:rPr>
  </w:style>
  <w:style w:type="paragraph" w:styleId="BalloonText">
    <w:name w:val="Balloon Text"/>
    <w:basedOn w:val="Normal"/>
    <w:link w:val="BalloonTextChar"/>
    <w:uiPriority w:val="99"/>
    <w:semiHidden/>
    <w:unhideWhenUsed/>
    <w:rsid w:val="007B7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5A3"/>
    <w:rPr>
      <w:rFonts w:ascii="Segoe UI" w:hAnsi="Segoe UI" w:cs="Segoe UI"/>
      <w:sz w:val="18"/>
      <w:szCs w:val="18"/>
    </w:rPr>
  </w:style>
  <w:style w:type="paragraph" w:styleId="Revision">
    <w:name w:val="Revision"/>
    <w:hidden/>
    <w:uiPriority w:val="99"/>
    <w:semiHidden/>
    <w:rsid w:val="004507DF"/>
    <w:pPr>
      <w:spacing w:after="0" w:line="240" w:lineRule="auto"/>
    </w:pPr>
    <w:rPr>
      <w:sz w:val="24"/>
      <w:szCs w:val="24"/>
    </w:rPr>
  </w:style>
  <w:style w:type="character" w:styleId="CommentReference">
    <w:name w:val="annotation reference"/>
    <w:basedOn w:val="DefaultParagraphFont"/>
    <w:uiPriority w:val="99"/>
    <w:semiHidden/>
    <w:unhideWhenUsed/>
    <w:rsid w:val="005205BE"/>
    <w:rPr>
      <w:sz w:val="16"/>
      <w:szCs w:val="16"/>
    </w:rPr>
  </w:style>
  <w:style w:type="paragraph" w:styleId="CommentText">
    <w:name w:val="annotation text"/>
    <w:basedOn w:val="Normal"/>
    <w:link w:val="CommentTextChar"/>
    <w:uiPriority w:val="99"/>
    <w:unhideWhenUsed/>
    <w:rsid w:val="005205BE"/>
    <w:rPr>
      <w:sz w:val="20"/>
      <w:szCs w:val="20"/>
    </w:rPr>
  </w:style>
  <w:style w:type="character" w:customStyle="1" w:styleId="CommentTextChar">
    <w:name w:val="Comment Text Char"/>
    <w:basedOn w:val="DefaultParagraphFont"/>
    <w:link w:val="CommentText"/>
    <w:uiPriority w:val="99"/>
    <w:rsid w:val="005205BE"/>
    <w:rPr>
      <w:sz w:val="20"/>
      <w:szCs w:val="20"/>
    </w:rPr>
  </w:style>
  <w:style w:type="paragraph" w:styleId="CommentSubject">
    <w:name w:val="annotation subject"/>
    <w:basedOn w:val="CommentText"/>
    <w:next w:val="CommentText"/>
    <w:link w:val="CommentSubjectChar"/>
    <w:uiPriority w:val="99"/>
    <w:semiHidden/>
    <w:unhideWhenUsed/>
    <w:rsid w:val="005205BE"/>
    <w:rPr>
      <w:b/>
      <w:bCs/>
    </w:rPr>
  </w:style>
  <w:style w:type="character" w:customStyle="1" w:styleId="CommentSubjectChar">
    <w:name w:val="Comment Subject Char"/>
    <w:basedOn w:val="CommentTextChar"/>
    <w:link w:val="CommentSubject"/>
    <w:uiPriority w:val="99"/>
    <w:semiHidden/>
    <w:rsid w:val="005205BE"/>
    <w:rPr>
      <w:b/>
      <w:bCs/>
      <w:sz w:val="20"/>
      <w:szCs w:val="20"/>
    </w:rPr>
  </w:style>
  <w:style w:type="paragraph" w:styleId="BodyText">
    <w:name w:val="Body Text"/>
    <w:basedOn w:val="Normal"/>
    <w:link w:val="BodyTextChar"/>
    <w:uiPriority w:val="1"/>
    <w:qFormat/>
    <w:rsid w:val="00853416"/>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853416"/>
    <w:rPr>
      <w:rFonts w:ascii="Arial" w:eastAsia="Arial" w:hAnsi="Arial" w:cs="Arial"/>
      <w:sz w:val="24"/>
      <w:szCs w:val="24"/>
    </w:rPr>
  </w:style>
  <w:style w:type="character" w:styleId="Strong">
    <w:name w:val="Strong"/>
    <w:basedOn w:val="DefaultParagraphFont"/>
    <w:uiPriority w:val="22"/>
    <w:qFormat/>
    <w:rsid w:val="00A73111"/>
    <w:rPr>
      <w:b/>
      <w:bCs/>
    </w:rPr>
  </w:style>
  <w:style w:type="paragraph" w:customStyle="1" w:styleId="Default">
    <w:name w:val="Default"/>
    <w:rsid w:val="0039282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F436F"/>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qFormat/>
    <w:rsid w:val="00C208FA"/>
    <w:pPr>
      <w:spacing w:after="0" w:line="240" w:lineRule="auto"/>
    </w:pPr>
    <w:rPr>
      <w:rFonts w:ascii="Arial" w:hAnsi="Arial" w:cs="Leelawadee UI Semiligh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54F16"/>
    <w:rPr>
      <w:sz w:val="20"/>
      <w:szCs w:val="20"/>
    </w:rPr>
  </w:style>
  <w:style w:type="character" w:customStyle="1" w:styleId="EndnoteTextChar">
    <w:name w:val="Endnote Text Char"/>
    <w:basedOn w:val="DefaultParagraphFont"/>
    <w:link w:val="EndnoteText"/>
    <w:uiPriority w:val="99"/>
    <w:semiHidden/>
    <w:rsid w:val="00154F16"/>
    <w:rPr>
      <w:sz w:val="20"/>
      <w:szCs w:val="20"/>
    </w:rPr>
  </w:style>
  <w:style w:type="character" w:styleId="EndnoteReference">
    <w:name w:val="endnote reference"/>
    <w:basedOn w:val="DefaultParagraphFont"/>
    <w:uiPriority w:val="99"/>
    <w:semiHidden/>
    <w:unhideWhenUsed/>
    <w:rsid w:val="00154F16"/>
    <w:rPr>
      <w:vertAlign w:val="superscript"/>
    </w:rPr>
  </w:style>
  <w:style w:type="character" w:styleId="LineNumber">
    <w:name w:val="line number"/>
    <w:basedOn w:val="DefaultParagraphFont"/>
    <w:uiPriority w:val="99"/>
    <w:semiHidden/>
    <w:unhideWhenUsed/>
    <w:rsid w:val="00EF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768D2-C8FB-4EF9-A690-6441EED2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7794</Words>
  <Characters>44426</Characters>
  <Application>Microsoft Office Word</Application>
  <DocSecurity>0</DocSecurity>
  <Lines>370</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African Union</Company>
  <LinksUpToDate>false</LinksUpToDate>
  <CharactersWithSpaces>52116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Kathleen</dc:creator>
  <cp:keywords/>
  <dc:description/>
  <cp:lastModifiedBy>sathish mohan</cp:lastModifiedBy>
  <cp:revision>6</cp:revision>
  <cp:lastPrinted>2023-02-09T11:42:00Z</cp:lastPrinted>
  <dcterms:created xsi:type="dcterms:W3CDTF">2023-06-09T08:28:00Z</dcterms:created>
  <dcterms:modified xsi:type="dcterms:W3CDTF">2025-06-28T21:38:00Z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f0d4103cfac3ea558917f4c1afad150f0d467cc18b8c9db76eb2ce5968fb5d9f</vt:lpwstr>
  </property>
</Properties>
</file>