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114"/>
        <w:gridCol w:w="2835"/>
        <w:gridCol w:w="2977"/>
      </w:tblGrid>
      <w:tr w:rsidR="007C215C" w:rsidRPr="009528A8" w14:paraId="314CA938" w14:textId="77777777" w:rsidTr="00C16AE8">
        <w:trPr>
          <w:trHeight w:val="283"/>
          <w:jc w:val="center"/>
        </w:trPr>
        <w:tc>
          <w:tcPr>
            <w:tcW w:w="3114" w:type="dxa"/>
            <w:tcBorders>
              <w:top w:val="single" w:sz="4" w:space="0" w:color="auto"/>
              <w:right w:val="single" w:sz="4" w:space="0" w:color="auto"/>
            </w:tcBorders>
            <w:vAlign w:val="center"/>
          </w:tcPr>
          <w:p w14:paraId="7648A63B" w14:textId="5E902CC9" w:rsidR="007C215C" w:rsidRPr="00F02123" w:rsidRDefault="007C215C" w:rsidP="002634E9">
            <w:pPr>
              <w:rPr>
                <w:lang w:val="en-US"/>
              </w:rPr>
            </w:pP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5C1E14DA" w14:textId="77777777" w:rsidR="007C215C" w:rsidRPr="009528A8" w:rsidRDefault="00E919FC" w:rsidP="002634E9">
            <w:r w:rsidRPr="009528A8">
              <w:rPr>
                <w:rFonts w:asciiTheme="minorHAnsi" w:hAnsiTheme="minorHAnsi" w:cstheme="minorBidi"/>
                <w:noProof/>
                <w:sz w:val="22"/>
                <w14:ligatures w14:val="standardContextual"/>
              </w:rPr>
              <w:object w:dxaOrig="8282" w:dyaOrig="8282" w14:anchorId="1E09A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8.4pt;height:93pt;mso-width-percent:0;mso-height-percent:0;mso-width-percent:0;mso-height-percent:0" o:ole="">
                  <v:imagedata r:id="rId8" o:title=""/>
                </v:shape>
                <o:OLEObject Type="Embed" ProgID="CorelDRAW.Graphic.11" ShapeID="_x0000_i1025" DrawAspect="Content" ObjectID="_1812643445" r:id="rId9"/>
              </w:object>
            </w:r>
          </w:p>
        </w:tc>
        <w:tc>
          <w:tcPr>
            <w:tcW w:w="2977" w:type="dxa"/>
            <w:tcBorders>
              <w:top w:val="single" w:sz="4" w:space="0" w:color="auto"/>
              <w:left w:val="single" w:sz="4" w:space="0" w:color="auto"/>
            </w:tcBorders>
            <w:vAlign w:val="center"/>
          </w:tcPr>
          <w:p w14:paraId="0912CCEF" w14:textId="77777777" w:rsidR="007C215C" w:rsidRPr="009528A8" w:rsidRDefault="007C215C" w:rsidP="002634E9"/>
        </w:tc>
      </w:tr>
      <w:tr w:rsidR="007C215C" w:rsidRPr="009528A8" w14:paraId="3146458C" w14:textId="77777777" w:rsidTr="00C16AE8">
        <w:trPr>
          <w:trHeight w:val="283"/>
          <w:jc w:val="center"/>
        </w:trPr>
        <w:tc>
          <w:tcPr>
            <w:tcW w:w="3114" w:type="dxa"/>
            <w:tcBorders>
              <w:bottom w:val="nil"/>
              <w:right w:val="single" w:sz="4" w:space="0" w:color="auto"/>
            </w:tcBorders>
            <w:vAlign w:val="center"/>
          </w:tcPr>
          <w:p w14:paraId="65048C41" w14:textId="77777777" w:rsidR="007C215C" w:rsidRPr="009528A8" w:rsidRDefault="007C215C" w:rsidP="002634E9">
            <w:r w:rsidRPr="009528A8">
              <w:t>AFRICAN UNION</w:t>
            </w:r>
          </w:p>
        </w:tc>
        <w:tc>
          <w:tcPr>
            <w:tcW w:w="2835" w:type="dxa"/>
            <w:vMerge/>
            <w:tcBorders>
              <w:left w:val="single" w:sz="4" w:space="0" w:color="auto"/>
              <w:bottom w:val="single" w:sz="4" w:space="0" w:color="auto"/>
              <w:right w:val="single" w:sz="4" w:space="0" w:color="auto"/>
            </w:tcBorders>
            <w:vAlign w:val="center"/>
          </w:tcPr>
          <w:p w14:paraId="7A857B51" w14:textId="77777777" w:rsidR="007C215C" w:rsidRPr="009528A8" w:rsidRDefault="007C215C" w:rsidP="002634E9"/>
        </w:tc>
        <w:tc>
          <w:tcPr>
            <w:tcW w:w="2977" w:type="dxa"/>
            <w:tcBorders>
              <w:left w:val="single" w:sz="4" w:space="0" w:color="auto"/>
              <w:bottom w:val="nil"/>
            </w:tcBorders>
            <w:vAlign w:val="center"/>
          </w:tcPr>
          <w:p w14:paraId="6DD8CD3B" w14:textId="77777777" w:rsidR="007C215C" w:rsidRPr="009528A8" w:rsidRDefault="007C215C" w:rsidP="002634E9">
            <w:r w:rsidRPr="009528A8">
              <w:t>UNION AFRICAINE</w:t>
            </w:r>
          </w:p>
        </w:tc>
      </w:tr>
      <w:tr w:rsidR="007C215C" w:rsidRPr="009528A8" w14:paraId="0163461C" w14:textId="77777777" w:rsidTr="00C16AE8">
        <w:trPr>
          <w:trHeight w:val="283"/>
          <w:jc w:val="center"/>
        </w:trPr>
        <w:tc>
          <w:tcPr>
            <w:tcW w:w="3114" w:type="dxa"/>
            <w:tcBorders>
              <w:top w:val="nil"/>
              <w:bottom w:val="single" w:sz="4" w:space="0" w:color="auto"/>
              <w:right w:val="single" w:sz="4" w:space="0" w:color="auto"/>
            </w:tcBorders>
            <w:vAlign w:val="center"/>
          </w:tcPr>
          <w:p w14:paraId="6FE6E219" w14:textId="77777777" w:rsidR="007C215C" w:rsidRPr="009528A8" w:rsidRDefault="007C215C" w:rsidP="002634E9"/>
        </w:tc>
        <w:tc>
          <w:tcPr>
            <w:tcW w:w="2835" w:type="dxa"/>
            <w:vMerge/>
            <w:tcBorders>
              <w:top w:val="nil"/>
              <w:left w:val="single" w:sz="4" w:space="0" w:color="auto"/>
              <w:bottom w:val="single" w:sz="4" w:space="0" w:color="auto"/>
              <w:right w:val="single" w:sz="4" w:space="0" w:color="auto"/>
            </w:tcBorders>
            <w:vAlign w:val="center"/>
          </w:tcPr>
          <w:p w14:paraId="077CDBE9" w14:textId="77777777" w:rsidR="007C215C" w:rsidRPr="009528A8" w:rsidRDefault="007C215C" w:rsidP="002634E9"/>
        </w:tc>
        <w:tc>
          <w:tcPr>
            <w:tcW w:w="2977" w:type="dxa"/>
            <w:tcBorders>
              <w:top w:val="nil"/>
              <w:left w:val="single" w:sz="4" w:space="0" w:color="auto"/>
              <w:bottom w:val="single" w:sz="4" w:space="0" w:color="auto"/>
            </w:tcBorders>
            <w:vAlign w:val="center"/>
          </w:tcPr>
          <w:p w14:paraId="5C0D32D0" w14:textId="77777777" w:rsidR="007C215C" w:rsidRPr="009528A8" w:rsidRDefault="007C215C" w:rsidP="002634E9"/>
        </w:tc>
      </w:tr>
      <w:tr w:rsidR="007C215C" w:rsidRPr="009528A8" w14:paraId="4CD727CE" w14:textId="77777777" w:rsidTr="00C16AE8">
        <w:trPr>
          <w:trHeight w:val="283"/>
          <w:jc w:val="center"/>
        </w:trPr>
        <w:tc>
          <w:tcPr>
            <w:tcW w:w="3114" w:type="dxa"/>
            <w:tcBorders>
              <w:top w:val="single" w:sz="4" w:space="0" w:color="auto"/>
              <w:right w:val="single" w:sz="4" w:space="0" w:color="auto"/>
            </w:tcBorders>
            <w:vAlign w:val="center"/>
          </w:tcPr>
          <w:p w14:paraId="58854CE7" w14:textId="77777777" w:rsidR="007C215C" w:rsidRPr="009528A8" w:rsidRDefault="007C215C" w:rsidP="002634E9"/>
        </w:tc>
        <w:tc>
          <w:tcPr>
            <w:tcW w:w="2835" w:type="dxa"/>
            <w:vMerge/>
            <w:tcBorders>
              <w:top w:val="single" w:sz="4" w:space="0" w:color="auto"/>
              <w:left w:val="single" w:sz="4" w:space="0" w:color="auto"/>
              <w:bottom w:val="single" w:sz="4" w:space="0" w:color="auto"/>
              <w:right w:val="single" w:sz="4" w:space="0" w:color="auto"/>
            </w:tcBorders>
            <w:vAlign w:val="center"/>
          </w:tcPr>
          <w:p w14:paraId="0CE4249F" w14:textId="77777777" w:rsidR="007C215C" w:rsidRPr="009528A8" w:rsidRDefault="007C215C" w:rsidP="002634E9"/>
        </w:tc>
        <w:tc>
          <w:tcPr>
            <w:tcW w:w="2977" w:type="dxa"/>
            <w:tcBorders>
              <w:top w:val="single" w:sz="4" w:space="0" w:color="auto"/>
              <w:left w:val="single" w:sz="4" w:space="0" w:color="auto"/>
            </w:tcBorders>
            <w:vAlign w:val="center"/>
          </w:tcPr>
          <w:p w14:paraId="275D9984" w14:textId="77777777" w:rsidR="007C215C" w:rsidRPr="009528A8" w:rsidRDefault="007C215C" w:rsidP="002634E9"/>
        </w:tc>
      </w:tr>
      <w:tr w:rsidR="007C215C" w:rsidRPr="009528A8" w14:paraId="0C4E5581" w14:textId="77777777" w:rsidTr="00C16AE8">
        <w:trPr>
          <w:trHeight w:val="283"/>
          <w:jc w:val="center"/>
        </w:trPr>
        <w:tc>
          <w:tcPr>
            <w:tcW w:w="3114" w:type="dxa"/>
            <w:tcBorders>
              <w:bottom w:val="nil"/>
              <w:right w:val="single" w:sz="4" w:space="0" w:color="auto"/>
            </w:tcBorders>
            <w:vAlign w:val="center"/>
          </w:tcPr>
          <w:p w14:paraId="751EF548" w14:textId="77777777" w:rsidR="007C215C" w:rsidRPr="009528A8" w:rsidRDefault="007C215C" w:rsidP="002634E9">
            <w:pPr>
              <w:rPr>
                <w:rFonts w:ascii="Simplified Arabic" w:hAnsi="Simplified Arabic" w:cs="Simplified Arabic"/>
                <w:bCs/>
              </w:rPr>
            </w:pPr>
            <w:r w:rsidRPr="009528A8">
              <w:rPr>
                <w:noProof/>
                <w:lang w:val="fr-FR" w:eastAsia="fr-FR"/>
              </w:rPr>
              <w:drawing>
                <wp:inline distT="0" distB="0" distL="0" distR="0" wp14:anchorId="5D365F78" wp14:editId="09F96792">
                  <wp:extent cx="1169155" cy="23446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6492" t="31433" r="27407" b="44489"/>
                          <a:stretch/>
                        </pic:blipFill>
                        <pic:spPr bwMode="auto">
                          <a:xfrm>
                            <a:off x="0" y="0"/>
                            <a:ext cx="1191424" cy="238932"/>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vMerge/>
            <w:tcBorders>
              <w:left w:val="single" w:sz="4" w:space="0" w:color="auto"/>
              <w:bottom w:val="single" w:sz="4" w:space="0" w:color="auto"/>
              <w:right w:val="single" w:sz="4" w:space="0" w:color="auto"/>
            </w:tcBorders>
            <w:vAlign w:val="center"/>
          </w:tcPr>
          <w:p w14:paraId="3FB4B721" w14:textId="77777777" w:rsidR="007C215C" w:rsidRPr="009528A8" w:rsidRDefault="007C215C" w:rsidP="002634E9"/>
        </w:tc>
        <w:tc>
          <w:tcPr>
            <w:tcW w:w="2977" w:type="dxa"/>
            <w:tcBorders>
              <w:left w:val="single" w:sz="4" w:space="0" w:color="auto"/>
              <w:bottom w:val="nil"/>
            </w:tcBorders>
            <w:vAlign w:val="center"/>
          </w:tcPr>
          <w:p w14:paraId="12E23D17" w14:textId="77777777" w:rsidR="007C215C" w:rsidRPr="009528A8" w:rsidRDefault="007C215C" w:rsidP="002634E9">
            <w:r w:rsidRPr="009528A8">
              <w:t>UNIÃO AFRICANA</w:t>
            </w:r>
          </w:p>
        </w:tc>
      </w:tr>
      <w:tr w:rsidR="007C215C" w:rsidRPr="009528A8" w14:paraId="39053D6F" w14:textId="77777777" w:rsidTr="00C16AE8">
        <w:trPr>
          <w:trHeight w:val="283"/>
          <w:jc w:val="center"/>
        </w:trPr>
        <w:tc>
          <w:tcPr>
            <w:tcW w:w="3114" w:type="dxa"/>
            <w:tcBorders>
              <w:top w:val="nil"/>
              <w:bottom w:val="single" w:sz="4" w:space="0" w:color="auto"/>
              <w:right w:val="single" w:sz="4" w:space="0" w:color="auto"/>
            </w:tcBorders>
            <w:vAlign w:val="center"/>
          </w:tcPr>
          <w:p w14:paraId="3432E78B" w14:textId="77777777" w:rsidR="007C215C" w:rsidRPr="009528A8" w:rsidRDefault="007C215C" w:rsidP="002634E9"/>
        </w:tc>
        <w:tc>
          <w:tcPr>
            <w:tcW w:w="2835" w:type="dxa"/>
            <w:vMerge/>
            <w:tcBorders>
              <w:left w:val="single" w:sz="4" w:space="0" w:color="auto"/>
              <w:bottom w:val="single" w:sz="4" w:space="0" w:color="auto"/>
              <w:right w:val="single" w:sz="4" w:space="0" w:color="auto"/>
            </w:tcBorders>
            <w:vAlign w:val="center"/>
          </w:tcPr>
          <w:p w14:paraId="1FE98362" w14:textId="77777777" w:rsidR="007C215C" w:rsidRPr="009528A8" w:rsidRDefault="007C215C" w:rsidP="002634E9"/>
        </w:tc>
        <w:tc>
          <w:tcPr>
            <w:tcW w:w="2977" w:type="dxa"/>
            <w:tcBorders>
              <w:top w:val="nil"/>
              <w:left w:val="single" w:sz="4" w:space="0" w:color="auto"/>
              <w:bottom w:val="single" w:sz="4" w:space="0" w:color="auto"/>
            </w:tcBorders>
            <w:vAlign w:val="center"/>
          </w:tcPr>
          <w:p w14:paraId="5C620FCE" w14:textId="77777777" w:rsidR="007C215C" w:rsidRPr="009528A8" w:rsidRDefault="007C215C" w:rsidP="002634E9"/>
        </w:tc>
      </w:tr>
      <w:tr w:rsidR="007C215C" w:rsidRPr="009528A8" w14:paraId="6926F476" w14:textId="77777777" w:rsidTr="00C16AE8">
        <w:trPr>
          <w:trHeight w:val="283"/>
          <w:jc w:val="center"/>
        </w:trPr>
        <w:tc>
          <w:tcPr>
            <w:tcW w:w="3114" w:type="dxa"/>
            <w:tcBorders>
              <w:top w:val="single" w:sz="4" w:space="0" w:color="auto"/>
            </w:tcBorders>
            <w:vAlign w:val="center"/>
          </w:tcPr>
          <w:p w14:paraId="19129EDF" w14:textId="77777777" w:rsidR="007C215C" w:rsidRPr="009528A8" w:rsidRDefault="007C215C" w:rsidP="002634E9"/>
        </w:tc>
        <w:tc>
          <w:tcPr>
            <w:tcW w:w="2835" w:type="dxa"/>
            <w:tcBorders>
              <w:top w:val="single" w:sz="4" w:space="0" w:color="auto"/>
            </w:tcBorders>
            <w:vAlign w:val="center"/>
          </w:tcPr>
          <w:p w14:paraId="7A6598CA" w14:textId="77777777" w:rsidR="007C215C" w:rsidRPr="009528A8" w:rsidRDefault="007C215C" w:rsidP="002634E9"/>
        </w:tc>
        <w:tc>
          <w:tcPr>
            <w:tcW w:w="2977" w:type="dxa"/>
            <w:tcBorders>
              <w:top w:val="single" w:sz="4" w:space="0" w:color="auto"/>
            </w:tcBorders>
            <w:vAlign w:val="center"/>
          </w:tcPr>
          <w:p w14:paraId="26A37E09" w14:textId="77777777" w:rsidR="007C215C" w:rsidRPr="009528A8" w:rsidRDefault="007C215C" w:rsidP="002634E9"/>
        </w:tc>
      </w:tr>
      <w:tr w:rsidR="007C215C" w:rsidRPr="009528A8" w14:paraId="5E2E2AA3" w14:textId="77777777" w:rsidTr="00C16AE8">
        <w:trPr>
          <w:trHeight w:val="283"/>
          <w:jc w:val="center"/>
        </w:trPr>
        <w:tc>
          <w:tcPr>
            <w:tcW w:w="8926" w:type="dxa"/>
            <w:gridSpan w:val="3"/>
            <w:vAlign w:val="center"/>
          </w:tcPr>
          <w:p w14:paraId="167D40DD" w14:textId="00E3D07D" w:rsidR="007C215C" w:rsidRPr="009528A8" w:rsidRDefault="007C215C" w:rsidP="002634E9">
            <w:pPr>
              <w:rPr>
                <w:bCs/>
              </w:rPr>
            </w:pPr>
            <w:r w:rsidRPr="009528A8">
              <w:t>AFRICAN COURT ON HUMAN AND PEOPLES</w:t>
            </w:r>
            <w:r w:rsidR="00E857F7" w:rsidRPr="009528A8">
              <w:t>’</w:t>
            </w:r>
            <w:r w:rsidRPr="009528A8">
              <w:t xml:space="preserve"> RIGHTS</w:t>
            </w:r>
          </w:p>
        </w:tc>
      </w:tr>
      <w:tr w:rsidR="007C215C" w:rsidRPr="009528A8" w14:paraId="5DEBC9AE" w14:textId="77777777" w:rsidTr="00C16AE8">
        <w:trPr>
          <w:trHeight w:val="283"/>
          <w:jc w:val="center"/>
        </w:trPr>
        <w:tc>
          <w:tcPr>
            <w:tcW w:w="8926" w:type="dxa"/>
            <w:gridSpan w:val="3"/>
            <w:vAlign w:val="center"/>
          </w:tcPr>
          <w:p w14:paraId="2C268C94" w14:textId="33451D2C" w:rsidR="007C215C" w:rsidRPr="009528A8" w:rsidRDefault="007C215C" w:rsidP="002634E9">
            <w:pPr>
              <w:rPr>
                <w:bCs/>
                <w:lang w:val="fr-FR"/>
              </w:rPr>
            </w:pPr>
            <w:r w:rsidRPr="009528A8">
              <w:rPr>
                <w:lang w:val="fr-FR"/>
              </w:rPr>
              <w:t>COUR AFRICAINE DES DROITS DE L</w:t>
            </w:r>
            <w:r w:rsidR="00E857F7" w:rsidRPr="009528A8">
              <w:rPr>
                <w:lang w:val="fr-FR"/>
              </w:rPr>
              <w:t>’</w:t>
            </w:r>
            <w:r w:rsidRPr="009528A8">
              <w:rPr>
                <w:lang w:val="fr-FR"/>
              </w:rPr>
              <w:t>HOMME ET DES PEUPLES</w:t>
            </w:r>
          </w:p>
        </w:tc>
      </w:tr>
      <w:tr w:rsidR="007C215C" w:rsidRPr="009528A8" w14:paraId="078D9268" w14:textId="77777777" w:rsidTr="00C16AE8">
        <w:trPr>
          <w:trHeight w:val="283"/>
          <w:jc w:val="center"/>
        </w:trPr>
        <w:tc>
          <w:tcPr>
            <w:tcW w:w="8926" w:type="dxa"/>
            <w:gridSpan w:val="3"/>
            <w:vAlign w:val="center"/>
          </w:tcPr>
          <w:p w14:paraId="39A4EFBA" w14:textId="77777777" w:rsidR="007C215C" w:rsidRPr="009528A8" w:rsidRDefault="007C215C" w:rsidP="002634E9">
            <w:pPr>
              <w:rPr>
                <w:bCs/>
                <w:lang w:val="fr-FR"/>
              </w:rPr>
            </w:pPr>
          </w:p>
        </w:tc>
      </w:tr>
    </w:tbl>
    <w:p w14:paraId="5D22487B" w14:textId="77777777" w:rsidR="006064D9" w:rsidRPr="009528A8" w:rsidRDefault="006064D9" w:rsidP="002634E9">
      <w:pPr>
        <w:rPr>
          <w:bCs/>
          <w:lang w:val="fr-FR"/>
        </w:rPr>
      </w:pPr>
    </w:p>
    <w:p w14:paraId="12742B6B" w14:textId="77777777" w:rsidR="00541DAD" w:rsidRPr="009528A8" w:rsidRDefault="00541DAD" w:rsidP="002634E9">
      <w:pPr>
        <w:rPr>
          <w:bCs/>
          <w:lang w:val="fr-FR"/>
        </w:rPr>
      </w:pPr>
    </w:p>
    <w:p w14:paraId="07436CB4" w14:textId="77777777" w:rsidR="006064D9" w:rsidRPr="009528A8" w:rsidRDefault="006064D9" w:rsidP="002634E9">
      <w:pPr>
        <w:rPr>
          <w:bCs/>
          <w:szCs w:val="24"/>
        </w:rPr>
      </w:pPr>
      <w:r w:rsidRPr="009528A8">
        <w:rPr>
          <w:bCs/>
          <w:szCs w:val="24"/>
        </w:rPr>
        <w:t xml:space="preserve">THE MATTER OF </w:t>
      </w:r>
    </w:p>
    <w:p w14:paraId="3F164E60" w14:textId="77777777" w:rsidR="00541DAD" w:rsidRPr="009528A8" w:rsidRDefault="00541DAD" w:rsidP="002634E9">
      <w:pPr>
        <w:rPr>
          <w:bCs/>
          <w:szCs w:val="24"/>
        </w:rPr>
      </w:pPr>
    </w:p>
    <w:p w14:paraId="6DCDBBA9" w14:textId="77777777" w:rsidR="006064D9" w:rsidRPr="009528A8" w:rsidRDefault="006064D9" w:rsidP="002634E9">
      <w:pPr>
        <w:rPr>
          <w:bCs/>
          <w:szCs w:val="24"/>
        </w:rPr>
      </w:pPr>
      <w:r w:rsidRPr="009528A8">
        <w:rPr>
          <w:bCs/>
          <w:szCs w:val="24"/>
        </w:rPr>
        <w:t>JACKSON GODWIN</w:t>
      </w:r>
    </w:p>
    <w:p w14:paraId="08A523E1" w14:textId="77777777" w:rsidR="006064D9" w:rsidRPr="009528A8" w:rsidRDefault="006064D9" w:rsidP="002634E9">
      <w:pPr>
        <w:rPr>
          <w:bCs/>
          <w:szCs w:val="24"/>
        </w:rPr>
      </w:pPr>
    </w:p>
    <w:p w14:paraId="425E2E5A" w14:textId="77777777" w:rsidR="006064D9" w:rsidRPr="009528A8" w:rsidRDefault="006064D9" w:rsidP="002634E9">
      <w:pPr>
        <w:rPr>
          <w:bCs/>
          <w:szCs w:val="24"/>
        </w:rPr>
      </w:pPr>
      <w:r w:rsidRPr="009528A8">
        <w:rPr>
          <w:bCs/>
          <w:szCs w:val="24"/>
        </w:rPr>
        <w:t>V.</w:t>
      </w:r>
    </w:p>
    <w:p w14:paraId="322514B4" w14:textId="77777777" w:rsidR="006064D9" w:rsidRPr="009528A8" w:rsidRDefault="006064D9" w:rsidP="002634E9">
      <w:pPr>
        <w:rPr>
          <w:bCs/>
          <w:szCs w:val="24"/>
        </w:rPr>
      </w:pPr>
    </w:p>
    <w:p w14:paraId="53980758" w14:textId="77777777" w:rsidR="006064D9" w:rsidRPr="009528A8" w:rsidRDefault="006064D9" w:rsidP="002634E9">
      <w:pPr>
        <w:rPr>
          <w:bCs/>
          <w:szCs w:val="24"/>
        </w:rPr>
      </w:pPr>
      <w:r w:rsidRPr="009528A8">
        <w:rPr>
          <w:bCs/>
          <w:szCs w:val="24"/>
        </w:rPr>
        <w:t>THE UNITED REPUBLIC OF TANZANIA</w:t>
      </w:r>
    </w:p>
    <w:p w14:paraId="0A5E9F87" w14:textId="77777777" w:rsidR="006064D9" w:rsidRPr="009528A8" w:rsidRDefault="006064D9" w:rsidP="002634E9">
      <w:pPr>
        <w:rPr>
          <w:bCs/>
          <w:szCs w:val="24"/>
        </w:rPr>
      </w:pPr>
    </w:p>
    <w:p w14:paraId="6B1AA860" w14:textId="77777777" w:rsidR="006064D9" w:rsidRPr="009528A8" w:rsidRDefault="006064D9" w:rsidP="002634E9">
      <w:pPr>
        <w:rPr>
          <w:bCs/>
          <w:szCs w:val="24"/>
        </w:rPr>
      </w:pPr>
    </w:p>
    <w:p w14:paraId="2C30C8E5" w14:textId="77777777" w:rsidR="00541DAD" w:rsidRPr="009528A8" w:rsidRDefault="00541DAD" w:rsidP="002634E9">
      <w:pPr>
        <w:rPr>
          <w:bCs/>
          <w:szCs w:val="24"/>
        </w:rPr>
      </w:pPr>
    </w:p>
    <w:p w14:paraId="78BA5CC3" w14:textId="77777777" w:rsidR="006064D9" w:rsidRPr="009528A8" w:rsidRDefault="006064D9" w:rsidP="002634E9">
      <w:pPr>
        <w:rPr>
          <w:bCs/>
          <w:szCs w:val="24"/>
        </w:rPr>
      </w:pPr>
      <w:r w:rsidRPr="009528A8">
        <w:rPr>
          <w:bCs/>
          <w:szCs w:val="24"/>
        </w:rPr>
        <w:t>APPLICATION NO. 037/2016</w:t>
      </w:r>
    </w:p>
    <w:p w14:paraId="2085A8A4" w14:textId="77777777" w:rsidR="006064D9" w:rsidRPr="009528A8" w:rsidRDefault="006064D9" w:rsidP="002634E9">
      <w:pPr>
        <w:rPr>
          <w:bCs/>
          <w:szCs w:val="24"/>
        </w:rPr>
      </w:pPr>
    </w:p>
    <w:p w14:paraId="3062162A" w14:textId="77777777" w:rsidR="00541DAD" w:rsidRPr="009528A8" w:rsidRDefault="00541DAD" w:rsidP="002634E9">
      <w:pPr>
        <w:rPr>
          <w:bCs/>
          <w:szCs w:val="24"/>
        </w:rPr>
      </w:pPr>
    </w:p>
    <w:p w14:paraId="42A36289" w14:textId="77777777" w:rsidR="006064D9" w:rsidRPr="009528A8" w:rsidRDefault="006064D9" w:rsidP="002634E9">
      <w:pPr>
        <w:rPr>
          <w:bCs/>
          <w:szCs w:val="24"/>
        </w:rPr>
      </w:pPr>
      <w:r w:rsidRPr="009528A8">
        <w:rPr>
          <w:bCs/>
          <w:szCs w:val="24"/>
        </w:rPr>
        <w:t>JUDGMENT</w:t>
      </w:r>
    </w:p>
    <w:p w14:paraId="1107FC23" w14:textId="77777777" w:rsidR="006064D9" w:rsidRPr="009528A8" w:rsidRDefault="006064D9" w:rsidP="002634E9">
      <w:pPr>
        <w:rPr>
          <w:bCs/>
          <w:sz w:val="28"/>
          <w:szCs w:val="28"/>
        </w:rPr>
      </w:pPr>
    </w:p>
    <w:p w14:paraId="7A60806F" w14:textId="48E71FAC" w:rsidR="006064D9" w:rsidRPr="009528A8" w:rsidRDefault="0055278F" w:rsidP="002634E9">
      <w:pPr>
        <w:rPr>
          <w:bCs/>
          <w:szCs w:val="24"/>
        </w:rPr>
      </w:pPr>
      <w:r w:rsidRPr="009528A8">
        <w:rPr>
          <w:bCs/>
          <w:szCs w:val="24"/>
        </w:rPr>
        <w:t>5 SEPTEMBER</w:t>
      </w:r>
      <w:r w:rsidR="000D5C38" w:rsidRPr="009528A8">
        <w:rPr>
          <w:bCs/>
          <w:szCs w:val="24"/>
        </w:rPr>
        <w:t xml:space="preserve"> 2023</w:t>
      </w:r>
    </w:p>
    <w:p w14:paraId="632C2B97" w14:textId="77777777" w:rsidR="006064D9" w:rsidRPr="009528A8" w:rsidRDefault="006064D9" w:rsidP="002634E9">
      <w:pPr>
        <w:rPr>
          <w:bCs/>
          <w:sz w:val="28"/>
          <w:szCs w:val="28"/>
        </w:rPr>
      </w:pPr>
    </w:p>
    <w:p w14:paraId="30913711" w14:textId="77777777" w:rsidR="006064D9" w:rsidRPr="009528A8" w:rsidRDefault="006064D9" w:rsidP="002634E9">
      <w:pPr>
        <w:rPr>
          <w:bCs/>
          <w:sz w:val="28"/>
          <w:szCs w:val="28"/>
        </w:rPr>
      </w:pPr>
    </w:p>
    <w:p w14:paraId="4DFA60A4" w14:textId="77777777" w:rsidR="006064D9" w:rsidRPr="009528A8" w:rsidRDefault="006064D9" w:rsidP="002634E9">
      <w:pPr>
        <w:rPr>
          <w:bCs/>
          <w:sz w:val="28"/>
          <w:szCs w:val="28"/>
        </w:rPr>
      </w:pPr>
    </w:p>
    <w:p w14:paraId="07DD7A0C" w14:textId="77777777" w:rsidR="00820207" w:rsidRPr="009528A8" w:rsidRDefault="00820207" w:rsidP="002634E9">
      <w:pPr>
        <w:rPr>
          <w:bCs/>
          <w:sz w:val="28"/>
          <w:szCs w:val="28"/>
        </w:rPr>
        <w:sectPr w:rsidR="00820207" w:rsidRPr="009528A8" w:rsidSect="00F02123">
          <w:footerReference w:type="default" r:id="rId11"/>
          <w:pgSz w:w="11906" w:h="16838" w:code="9"/>
          <w:pgMar w:top="1418" w:right="1418" w:bottom="1418" w:left="1418" w:header="709" w:footer="709" w:gutter="0"/>
          <w:pgNumType w:start="0"/>
          <w:cols w:space="708"/>
          <w:titlePg/>
          <w:docGrid w:linePitch="360"/>
        </w:sectPr>
      </w:pPr>
    </w:p>
    <w:p w14:paraId="0C2EA0AF" w14:textId="77777777" w:rsidR="00255AC9" w:rsidRPr="009528A8" w:rsidRDefault="00255AC9" w:rsidP="002634E9">
      <w:pPr>
        <w:rPr>
          <w:szCs w:val="24"/>
        </w:rPr>
      </w:pPr>
      <w:bookmarkStart w:id="0" w:name="_Toc143594927"/>
      <w:r w:rsidRPr="009528A8">
        <w:rPr>
          <w:szCs w:val="24"/>
        </w:rPr>
        <w:lastRenderedPageBreak/>
        <w:t>TABLE OF CONTENTS</w:t>
      </w:r>
      <w:bookmarkEnd w:id="0"/>
    </w:p>
    <w:p w14:paraId="37A69B90" w14:textId="77777777" w:rsidR="006064D9" w:rsidRPr="009528A8" w:rsidRDefault="006064D9" w:rsidP="002634E9">
      <w:pPr>
        <w:rPr>
          <w:bCs/>
          <w:szCs w:val="24"/>
        </w:rPr>
      </w:pPr>
    </w:p>
    <w:sdt>
      <w:sdtPr>
        <w:rPr>
          <w:szCs w:val="24"/>
        </w:rPr>
        <w:id w:val="1015803055"/>
        <w:docPartObj>
          <w:docPartGallery w:val="Table of Contents"/>
          <w:docPartUnique/>
        </w:docPartObj>
      </w:sdtPr>
      <w:sdtEndPr>
        <w:rPr>
          <w:noProof/>
        </w:rPr>
      </w:sdtEndPr>
      <w:sdtContent>
        <w:p w14:paraId="57C30E5E" w14:textId="64235FC8" w:rsidR="00295BE4" w:rsidRPr="009528A8" w:rsidRDefault="00295BE4" w:rsidP="002634E9">
          <w:pPr>
            <w:rPr>
              <w:szCs w:val="24"/>
              <w:lang w:val="en-US"/>
            </w:rPr>
          </w:pPr>
        </w:p>
        <w:p w14:paraId="6FB50731" w14:textId="77777777" w:rsidR="00A3644D" w:rsidRPr="009528A8" w:rsidRDefault="006064D9" w:rsidP="002634E9">
          <w:pPr>
            <w:rPr>
              <w:rFonts w:eastAsiaTheme="minorEastAsia"/>
              <w:noProof/>
              <w:szCs w:val="24"/>
              <w:lang w:val="fr-FR" w:eastAsia="fr-FR"/>
            </w:rPr>
          </w:pPr>
          <w:r w:rsidRPr="009528A8">
            <w:rPr>
              <w:szCs w:val="24"/>
            </w:rPr>
            <w:fldChar w:fldCharType="begin"/>
          </w:r>
          <w:r w:rsidRPr="009528A8">
            <w:rPr>
              <w:szCs w:val="24"/>
            </w:rPr>
            <w:instrText xml:space="preserve"> TOC \o "1-3" \h \z \u </w:instrText>
          </w:r>
          <w:r w:rsidRPr="009528A8">
            <w:rPr>
              <w:szCs w:val="24"/>
            </w:rPr>
            <w:fldChar w:fldCharType="separate"/>
          </w:r>
          <w:hyperlink w:anchor="_Toc143594927" w:history="1">
            <w:r w:rsidR="00A3644D" w:rsidRPr="009528A8">
              <w:rPr>
                <w:rStyle w:val="Hyperlink"/>
                <w:rFonts w:ascii="Arial" w:hAnsi="Arial" w:cs="Arial"/>
                <w:noProof/>
                <w:sz w:val="24"/>
                <w:szCs w:val="24"/>
              </w:rPr>
              <w:t>TABLE OF CONTENTS</w:t>
            </w:r>
            <w:r w:rsidR="00A3644D" w:rsidRPr="009528A8">
              <w:rPr>
                <w:noProof/>
                <w:webHidden/>
                <w:szCs w:val="24"/>
              </w:rPr>
              <w:tab/>
            </w:r>
            <w:r w:rsidR="00A3644D" w:rsidRPr="009528A8">
              <w:rPr>
                <w:noProof/>
                <w:webHidden/>
                <w:szCs w:val="24"/>
              </w:rPr>
              <w:fldChar w:fldCharType="begin"/>
            </w:r>
            <w:r w:rsidR="00A3644D" w:rsidRPr="009528A8">
              <w:rPr>
                <w:noProof/>
                <w:webHidden/>
                <w:szCs w:val="24"/>
              </w:rPr>
              <w:instrText xml:space="preserve"> PAGEREF _Toc143594927 \h </w:instrText>
            </w:r>
            <w:r w:rsidR="00A3644D" w:rsidRPr="009528A8">
              <w:rPr>
                <w:noProof/>
                <w:webHidden/>
                <w:szCs w:val="24"/>
              </w:rPr>
            </w:r>
            <w:r w:rsidR="00A3644D" w:rsidRPr="009528A8">
              <w:rPr>
                <w:noProof/>
                <w:webHidden/>
                <w:szCs w:val="24"/>
              </w:rPr>
              <w:fldChar w:fldCharType="separate"/>
            </w:r>
            <w:r w:rsidR="00A3644D" w:rsidRPr="009528A8">
              <w:rPr>
                <w:noProof/>
                <w:webHidden/>
                <w:szCs w:val="24"/>
              </w:rPr>
              <w:t>i</w:t>
            </w:r>
            <w:r w:rsidR="00A3644D" w:rsidRPr="009528A8">
              <w:rPr>
                <w:noProof/>
                <w:webHidden/>
                <w:szCs w:val="24"/>
              </w:rPr>
              <w:fldChar w:fldCharType="end"/>
            </w:r>
          </w:hyperlink>
        </w:p>
        <w:p w14:paraId="0EE1DD9D" w14:textId="77777777" w:rsidR="00A3644D" w:rsidRPr="009528A8" w:rsidRDefault="00A3644D" w:rsidP="002634E9">
          <w:pPr>
            <w:rPr>
              <w:rFonts w:eastAsiaTheme="minorEastAsia"/>
              <w:noProof/>
              <w:szCs w:val="24"/>
              <w:lang w:val="fr-FR" w:eastAsia="fr-FR"/>
            </w:rPr>
          </w:pPr>
          <w:hyperlink w:anchor="_Toc143594928" w:history="1">
            <w:r w:rsidRPr="009528A8">
              <w:rPr>
                <w:rStyle w:val="Hyperlink"/>
                <w:rFonts w:ascii="Arial" w:hAnsi="Arial" w:cs="Arial"/>
                <w:noProof/>
                <w:sz w:val="24"/>
                <w:szCs w:val="24"/>
              </w:rPr>
              <w:t>I.</w:t>
            </w:r>
            <w:r w:rsidRPr="009528A8">
              <w:rPr>
                <w:rFonts w:eastAsiaTheme="minorEastAsia"/>
                <w:noProof/>
                <w:szCs w:val="24"/>
                <w:lang w:val="fr-FR" w:eastAsia="fr-FR"/>
              </w:rPr>
              <w:tab/>
            </w:r>
            <w:r w:rsidRPr="009528A8">
              <w:rPr>
                <w:rStyle w:val="Hyperlink"/>
                <w:rFonts w:ascii="Arial" w:hAnsi="Arial" w:cs="Arial"/>
                <w:noProof/>
                <w:sz w:val="24"/>
                <w:szCs w:val="24"/>
              </w:rPr>
              <w:t>THE PARTIES</w:t>
            </w:r>
            <w:r w:rsidRPr="009528A8">
              <w:rPr>
                <w:noProof/>
                <w:webHidden/>
                <w:szCs w:val="24"/>
              </w:rPr>
              <w:tab/>
            </w:r>
            <w:r w:rsidRPr="009528A8">
              <w:rPr>
                <w:noProof/>
                <w:webHidden/>
                <w:szCs w:val="24"/>
              </w:rPr>
              <w:fldChar w:fldCharType="begin"/>
            </w:r>
            <w:r w:rsidRPr="009528A8">
              <w:rPr>
                <w:noProof/>
                <w:webHidden/>
                <w:szCs w:val="24"/>
              </w:rPr>
              <w:instrText xml:space="preserve"> PAGEREF _Toc143594928 \h </w:instrText>
            </w:r>
            <w:r w:rsidRPr="009528A8">
              <w:rPr>
                <w:noProof/>
                <w:webHidden/>
                <w:szCs w:val="24"/>
              </w:rPr>
            </w:r>
            <w:r w:rsidRPr="009528A8">
              <w:rPr>
                <w:noProof/>
                <w:webHidden/>
                <w:szCs w:val="24"/>
              </w:rPr>
              <w:fldChar w:fldCharType="separate"/>
            </w:r>
            <w:r w:rsidRPr="009528A8">
              <w:rPr>
                <w:noProof/>
                <w:webHidden/>
                <w:szCs w:val="24"/>
              </w:rPr>
              <w:t>2</w:t>
            </w:r>
            <w:r w:rsidRPr="009528A8">
              <w:rPr>
                <w:noProof/>
                <w:webHidden/>
                <w:szCs w:val="24"/>
              </w:rPr>
              <w:fldChar w:fldCharType="end"/>
            </w:r>
          </w:hyperlink>
        </w:p>
        <w:p w14:paraId="09FF786D" w14:textId="77777777" w:rsidR="00A3644D" w:rsidRPr="009528A8" w:rsidRDefault="00A3644D" w:rsidP="002634E9">
          <w:pPr>
            <w:rPr>
              <w:rFonts w:eastAsiaTheme="minorEastAsia"/>
              <w:noProof/>
              <w:szCs w:val="24"/>
              <w:lang w:val="fr-FR" w:eastAsia="fr-FR"/>
            </w:rPr>
          </w:pPr>
          <w:hyperlink w:anchor="_Toc143594929" w:history="1">
            <w:r w:rsidRPr="009528A8">
              <w:rPr>
                <w:rStyle w:val="Hyperlink"/>
                <w:rFonts w:ascii="Arial" w:hAnsi="Arial" w:cs="Arial"/>
                <w:noProof/>
                <w:sz w:val="24"/>
                <w:szCs w:val="24"/>
                <w:lang w:val="en-ZA"/>
              </w:rPr>
              <w:t>II.</w:t>
            </w:r>
            <w:r w:rsidRPr="009528A8">
              <w:rPr>
                <w:rFonts w:eastAsiaTheme="minorEastAsia"/>
                <w:noProof/>
                <w:szCs w:val="24"/>
                <w:lang w:val="fr-FR" w:eastAsia="fr-FR"/>
              </w:rPr>
              <w:tab/>
            </w:r>
            <w:r w:rsidRPr="009528A8">
              <w:rPr>
                <w:rStyle w:val="Hyperlink"/>
                <w:rFonts w:ascii="Arial" w:hAnsi="Arial" w:cs="Arial"/>
                <w:noProof/>
                <w:sz w:val="24"/>
                <w:szCs w:val="24"/>
                <w:lang w:val="en-ZA"/>
              </w:rPr>
              <w:t>SUBJECT OF THE APPLICATION</w:t>
            </w:r>
            <w:r w:rsidRPr="009528A8">
              <w:rPr>
                <w:noProof/>
                <w:webHidden/>
                <w:szCs w:val="24"/>
              </w:rPr>
              <w:tab/>
            </w:r>
            <w:r w:rsidRPr="009528A8">
              <w:rPr>
                <w:noProof/>
                <w:webHidden/>
                <w:szCs w:val="24"/>
              </w:rPr>
              <w:fldChar w:fldCharType="begin"/>
            </w:r>
            <w:r w:rsidRPr="009528A8">
              <w:rPr>
                <w:noProof/>
                <w:webHidden/>
                <w:szCs w:val="24"/>
              </w:rPr>
              <w:instrText xml:space="preserve"> PAGEREF _Toc143594929 \h </w:instrText>
            </w:r>
            <w:r w:rsidRPr="009528A8">
              <w:rPr>
                <w:noProof/>
                <w:webHidden/>
                <w:szCs w:val="24"/>
              </w:rPr>
            </w:r>
            <w:r w:rsidRPr="009528A8">
              <w:rPr>
                <w:noProof/>
                <w:webHidden/>
                <w:szCs w:val="24"/>
              </w:rPr>
              <w:fldChar w:fldCharType="separate"/>
            </w:r>
            <w:r w:rsidRPr="009528A8">
              <w:rPr>
                <w:noProof/>
                <w:webHidden/>
                <w:szCs w:val="24"/>
              </w:rPr>
              <w:t>3</w:t>
            </w:r>
            <w:r w:rsidRPr="009528A8">
              <w:rPr>
                <w:noProof/>
                <w:webHidden/>
                <w:szCs w:val="24"/>
              </w:rPr>
              <w:fldChar w:fldCharType="end"/>
            </w:r>
          </w:hyperlink>
        </w:p>
        <w:p w14:paraId="28BB9D67" w14:textId="77777777" w:rsidR="00A3644D" w:rsidRPr="009528A8" w:rsidRDefault="00A3644D" w:rsidP="002634E9">
          <w:pPr>
            <w:rPr>
              <w:rFonts w:eastAsiaTheme="minorEastAsia"/>
              <w:noProof/>
              <w:szCs w:val="24"/>
              <w:lang w:val="fr-FR" w:eastAsia="fr-FR"/>
            </w:rPr>
          </w:pPr>
          <w:hyperlink w:anchor="_Toc143594930" w:history="1">
            <w:r w:rsidRPr="009528A8">
              <w:rPr>
                <w:rStyle w:val="Hyperlink"/>
                <w:rFonts w:ascii="Arial" w:hAnsi="Arial" w:cs="Arial"/>
                <w:noProof/>
                <w:sz w:val="24"/>
                <w:szCs w:val="24"/>
              </w:rPr>
              <w:t>A.</w:t>
            </w:r>
            <w:r w:rsidRPr="009528A8">
              <w:rPr>
                <w:rFonts w:eastAsiaTheme="minorEastAsia"/>
                <w:noProof/>
                <w:szCs w:val="24"/>
                <w:lang w:val="fr-FR" w:eastAsia="fr-FR"/>
              </w:rPr>
              <w:tab/>
            </w:r>
            <w:r w:rsidRPr="009528A8">
              <w:rPr>
                <w:rStyle w:val="Hyperlink"/>
                <w:rFonts w:ascii="Arial" w:hAnsi="Arial" w:cs="Arial"/>
                <w:noProof/>
                <w:sz w:val="24"/>
                <w:szCs w:val="24"/>
              </w:rPr>
              <w:t>Facts of the matter</w:t>
            </w:r>
            <w:r w:rsidRPr="009528A8">
              <w:rPr>
                <w:noProof/>
                <w:webHidden/>
                <w:szCs w:val="24"/>
              </w:rPr>
              <w:tab/>
            </w:r>
            <w:r w:rsidRPr="009528A8">
              <w:rPr>
                <w:noProof/>
                <w:webHidden/>
                <w:szCs w:val="24"/>
              </w:rPr>
              <w:fldChar w:fldCharType="begin"/>
            </w:r>
            <w:r w:rsidRPr="009528A8">
              <w:rPr>
                <w:noProof/>
                <w:webHidden/>
                <w:szCs w:val="24"/>
              </w:rPr>
              <w:instrText xml:space="preserve"> PAGEREF _Toc143594930 \h </w:instrText>
            </w:r>
            <w:r w:rsidRPr="009528A8">
              <w:rPr>
                <w:noProof/>
                <w:webHidden/>
                <w:szCs w:val="24"/>
              </w:rPr>
            </w:r>
            <w:r w:rsidRPr="009528A8">
              <w:rPr>
                <w:noProof/>
                <w:webHidden/>
                <w:szCs w:val="24"/>
              </w:rPr>
              <w:fldChar w:fldCharType="separate"/>
            </w:r>
            <w:r w:rsidRPr="009528A8">
              <w:rPr>
                <w:noProof/>
                <w:webHidden/>
                <w:szCs w:val="24"/>
              </w:rPr>
              <w:t>3</w:t>
            </w:r>
            <w:r w:rsidRPr="009528A8">
              <w:rPr>
                <w:noProof/>
                <w:webHidden/>
                <w:szCs w:val="24"/>
              </w:rPr>
              <w:fldChar w:fldCharType="end"/>
            </w:r>
          </w:hyperlink>
        </w:p>
        <w:p w14:paraId="40924DE9" w14:textId="77777777" w:rsidR="00A3644D" w:rsidRPr="009528A8" w:rsidRDefault="00A3644D" w:rsidP="002634E9">
          <w:pPr>
            <w:rPr>
              <w:rFonts w:eastAsiaTheme="minorEastAsia"/>
              <w:noProof/>
              <w:szCs w:val="24"/>
              <w:lang w:val="fr-FR" w:eastAsia="fr-FR"/>
            </w:rPr>
          </w:pPr>
          <w:hyperlink w:anchor="_Toc143594931" w:history="1">
            <w:r w:rsidRPr="009528A8">
              <w:rPr>
                <w:rStyle w:val="Hyperlink"/>
                <w:rFonts w:ascii="Arial" w:hAnsi="Arial" w:cs="Arial"/>
                <w:noProof/>
                <w:sz w:val="24"/>
                <w:szCs w:val="24"/>
              </w:rPr>
              <w:t>B.</w:t>
            </w:r>
            <w:r w:rsidRPr="009528A8">
              <w:rPr>
                <w:rFonts w:eastAsiaTheme="minorEastAsia"/>
                <w:noProof/>
                <w:szCs w:val="24"/>
                <w:lang w:val="fr-FR" w:eastAsia="fr-FR"/>
              </w:rPr>
              <w:tab/>
            </w:r>
            <w:r w:rsidRPr="009528A8">
              <w:rPr>
                <w:rStyle w:val="Hyperlink"/>
                <w:rFonts w:ascii="Arial" w:hAnsi="Arial" w:cs="Arial"/>
                <w:noProof/>
                <w:sz w:val="24"/>
                <w:szCs w:val="24"/>
              </w:rPr>
              <w:t>Alleged violations</w:t>
            </w:r>
            <w:r w:rsidRPr="009528A8">
              <w:rPr>
                <w:noProof/>
                <w:webHidden/>
                <w:szCs w:val="24"/>
              </w:rPr>
              <w:tab/>
            </w:r>
            <w:r w:rsidRPr="009528A8">
              <w:rPr>
                <w:noProof/>
                <w:webHidden/>
                <w:szCs w:val="24"/>
              </w:rPr>
              <w:fldChar w:fldCharType="begin"/>
            </w:r>
            <w:r w:rsidRPr="009528A8">
              <w:rPr>
                <w:noProof/>
                <w:webHidden/>
                <w:szCs w:val="24"/>
              </w:rPr>
              <w:instrText xml:space="preserve"> PAGEREF _Toc143594931 \h </w:instrText>
            </w:r>
            <w:r w:rsidRPr="009528A8">
              <w:rPr>
                <w:noProof/>
                <w:webHidden/>
                <w:szCs w:val="24"/>
              </w:rPr>
            </w:r>
            <w:r w:rsidRPr="009528A8">
              <w:rPr>
                <w:noProof/>
                <w:webHidden/>
                <w:szCs w:val="24"/>
              </w:rPr>
              <w:fldChar w:fldCharType="separate"/>
            </w:r>
            <w:r w:rsidRPr="009528A8">
              <w:rPr>
                <w:noProof/>
                <w:webHidden/>
                <w:szCs w:val="24"/>
              </w:rPr>
              <w:t>3</w:t>
            </w:r>
            <w:r w:rsidRPr="009528A8">
              <w:rPr>
                <w:noProof/>
                <w:webHidden/>
                <w:szCs w:val="24"/>
              </w:rPr>
              <w:fldChar w:fldCharType="end"/>
            </w:r>
          </w:hyperlink>
        </w:p>
        <w:p w14:paraId="47C3C726" w14:textId="77777777" w:rsidR="00A3644D" w:rsidRPr="009528A8" w:rsidRDefault="00A3644D" w:rsidP="002634E9">
          <w:pPr>
            <w:rPr>
              <w:rFonts w:eastAsiaTheme="minorEastAsia"/>
              <w:noProof/>
              <w:szCs w:val="24"/>
              <w:lang w:val="fr-FR" w:eastAsia="fr-FR"/>
            </w:rPr>
          </w:pPr>
          <w:hyperlink w:anchor="_Toc143594932" w:history="1">
            <w:r w:rsidRPr="009528A8">
              <w:rPr>
                <w:rStyle w:val="Hyperlink"/>
                <w:rFonts w:ascii="Arial" w:hAnsi="Arial" w:cs="Arial"/>
                <w:noProof/>
                <w:sz w:val="24"/>
                <w:szCs w:val="24"/>
                <w:lang w:val="en-ZA"/>
              </w:rPr>
              <w:t>III.</w:t>
            </w:r>
            <w:r w:rsidRPr="009528A8">
              <w:rPr>
                <w:rFonts w:eastAsiaTheme="minorEastAsia"/>
                <w:noProof/>
                <w:szCs w:val="24"/>
                <w:lang w:val="fr-FR" w:eastAsia="fr-FR"/>
              </w:rPr>
              <w:tab/>
            </w:r>
            <w:r w:rsidRPr="009528A8">
              <w:rPr>
                <w:rStyle w:val="Hyperlink"/>
                <w:rFonts w:ascii="Arial" w:hAnsi="Arial" w:cs="Arial"/>
                <w:noProof/>
                <w:sz w:val="24"/>
                <w:szCs w:val="24"/>
                <w:lang w:val="en-ZA"/>
              </w:rPr>
              <w:t>SUMMARY OF THE PROCEDURE BEFORE THE COURT</w:t>
            </w:r>
            <w:r w:rsidRPr="009528A8">
              <w:rPr>
                <w:noProof/>
                <w:webHidden/>
                <w:szCs w:val="24"/>
              </w:rPr>
              <w:tab/>
            </w:r>
            <w:r w:rsidRPr="009528A8">
              <w:rPr>
                <w:noProof/>
                <w:webHidden/>
                <w:szCs w:val="24"/>
              </w:rPr>
              <w:fldChar w:fldCharType="begin"/>
            </w:r>
            <w:r w:rsidRPr="009528A8">
              <w:rPr>
                <w:noProof/>
                <w:webHidden/>
                <w:szCs w:val="24"/>
              </w:rPr>
              <w:instrText xml:space="preserve"> PAGEREF _Toc143594932 \h </w:instrText>
            </w:r>
            <w:r w:rsidRPr="009528A8">
              <w:rPr>
                <w:noProof/>
                <w:webHidden/>
                <w:szCs w:val="24"/>
              </w:rPr>
            </w:r>
            <w:r w:rsidRPr="009528A8">
              <w:rPr>
                <w:noProof/>
                <w:webHidden/>
                <w:szCs w:val="24"/>
              </w:rPr>
              <w:fldChar w:fldCharType="separate"/>
            </w:r>
            <w:r w:rsidRPr="009528A8">
              <w:rPr>
                <w:noProof/>
                <w:webHidden/>
                <w:szCs w:val="24"/>
              </w:rPr>
              <w:t>4</w:t>
            </w:r>
            <w:r w:rsidRPr="009528A8">
              <w:rPr>
                <w:noProof/>
                <w:webHidden/>
                <w:szCs w:val="24"/>
              </w:rPr>
              <w:fldChar w:fldCharType="end"/>
            </w:r>
          </w:hyperlink>
        </w:p>
        <w:p w14:paraId="3CBBDF09" w14:textId="77777777" w:rsidR="00A3644D" w:rsidRPr="009528A8" w:rsidRDefault="00A3644D" w:rsidP="002634E9">
          <w:pPr>
            <w:rPr>
              <w:rFonts w:eastAsiaTheme="minorEastAsia"/>
              <w:noProof/>
              <w:szCs w:val="24"/>
              <w:lang w:val="fr-FR" w:eastAsia="fr-FR"/>
            </w:rPr>
          </w:pPr>
          <w:hyperlink w:anchor="_Toc143594933" w:history="1">
            <w:r w:rsidRPr="009528A8">
              <w:rPr>
                <w:rStyle w:val="Hyperlink"/>
                <w:rFonts w:ascii="Arial" w:hAnsi="Arial" w:cs="Arial"/>
                <w:noProof/>
                <w:sz w:val="24"/>
                <w:szCs w:val="24"/>
                <w:lang w:val="en-ZA"/>
              </w:rPr>
              <w:t>IV.</w:t>
            </w:r>
            <w:r w:rsidRPr="009528A8">
              <w:rPr>
                <w:rFonts w:eastAsiaTheme="minorEastAsia"/>
                <w:noProof/>
                <w:szCs w:val="24"/>
                <w:lang w:val="fr-FR" w:eastAsia="fr-FR"/>
              </w:rPr>
              <w:tab/>
            </w:r>
            <w:r w:rsidRPr="009528A8">
              <w:rPr>
                <w:rStyle w:val="Hyperlink"/>
                <w:rFonts w:ascii="Arial" w:hAnsi="Arial" w:cs="Arial"/>
                <w:noProof/>
                <w:sz w:val="24"/>
                <w:szCs w:val="24"/>
                <w:lang w:val="en-ZA"/>
              </w:rPr>
              <w:t>PRAYERS OF THE PARTIES</w:t>
            </w:r>
            <w:r w:rsidRPr="009528A8">
              <w:rPr>
                <w:noProof/>
                <w:webHidden/>
                <w:szCs w:val="24"/>
              </w:rPr>
              <w:tab/>
            </w:r>
            <w:r w:rsidRPr="009528A8">
              <w:rPr>
                <w:noProof/>
                <w:webHidden/>
                <w:szCs w:val="24"/>
              </w:rPr>
              <w:fldChar w:fldCharType="begin"/>
            </w:r>
            <w:r w:rsidRPr="009528A8">
              <w:rPr>
                <w:noProof/>
                <w:webHidden/>
                <w:szCs w:val="24"/>
              </w:rPr>
              <w:instrText xml:space="preserve"> PAGEREF _Toc143594933 \h </w:instrText>
            </w:r>
            <w:r w:rsidRPr="009528A8">
              <w:rPr>
                <w:noProof/>
                <w:webHidden/>
                <w:szCs w:val="24"/>
              </w:rPr>
            </w:r>
            <w:r w:rsidRPr="009528A8">
              <w:rPr>
                <w:noProof/>
                <w:webHidden/>
                <w:szCs w:val="24"/>
              </w:rPr>
              <w:fldChar w:fldCharType="separate"/>
            </w:r>
            <w:r w:rsidRPr="009528A8">
              <w:rPr>
                <w:noProof/>
                <w:webHidden/>
                <w:szCs w:val="24"/>
              </w:rPr>
              <w:t>4</w:t>
            </w:r>
            <w:r w:rsidRPr="009528A8">
              <w:rPr>
                <w:noProof/>
                <w:webHidden/>
                <w:szCs w:val="24"/>
              </w:rPr>
              <w:fldChar w:fldCharType="end"/>
            </w:r>
          </w:hyperlink>
        </w:p>
        <w:p w14:paraId="0E683B22" w14:textId="77777777" w:rsidR="00A3644D" w:rsidRPr="009528A8" w:rsidRDefault="00A3644D" w:rsidP="002634E9">
          <w:pPr>
            <w:rPr>
              <w:rFonts w:eastAsiaTheme="minorEastAsia"/>
              <w:noProof/>
              <w:szCs w:val="24"/>
              <w:lang w:val="fr-FR" w:eastAsia="fr-FR"/>
            </w:rPr>
          </w:pPr>
          <w:hyperlink w:anchor="_Toc143594934" w:history="1">
            <w:r w:rsidRPr="009528A8">
              <w:rPr>
                <w:rStyle w:val="Hyperlink"/>
                <w:rFonts w:ascii="Arial" w:hAnsi="Arial" w:cs="Arial"/>
                <w:noProof/>
                <w:sz w:val="24"/>
                <w:szCs w:val="24"/>
                <w:lang w:val="en-ZA"/>
              </w:rPr>
              <w:t>V.</w:t>
            </w:r>
            <w:r w:rsidRPr="009528A8">
              <w:rPr>
                <w:rFonts w:eastAsiaTheme="minorEastAsia"/>
                <w:noProof/>
                <w:szCs w:val="24"/>
                <w:lang w:val="fr-FR" w:eastAsia="fr-FR"/>
              </w:rPr>
              <w:tab/>
            </w:r>
            <w:r w:rsidRPr="009528A8">
              <w:rPr>
                <w:rStyle w:val="Hyperlink"/>
                <w:rFonts w:ascii="Arial" w:hAnsi="Arial" w:cs="Arial"/>
                <w:noProof/>
                <w:sz w:val="24"/>
                <w:szCs w:val="24"/>
                <w:lang w:val="en-ZA"/>
              </w:rPr>
              <w:t>JURISDICTION</w:t>
            </w:r>
            <w:r w:rsidRPr="009528A8">
              <w:rPr>
                <w:noProof/>
                <w:webHidden/>
                <w:szCs w:val="24"/>
              </w:rPr>
              <w:tab/>
            </w:r>
            <w:r w:rsidRPr="009528A8">
              <w:rPr>
                <w:noProof/>
                <w:webHidden/>
                <w:szCs w:val="24"/>
              </w:rPr>
              <w:fldChar w:fldCharType="begin"/>
            </w:r>
            <w:r w:rsidRPr="009528A8">
              <w:rPr>
                <w:noProof/>
                <w:webHidden/>
                <w:szCs w:val="24"/>
              </w:rPr>
              <w:instrText xml:space="preserve"> PAGEREF _Toc143594934 \h </w:instrText>
            </w:r>
            <w:r w:rsidRPr="009528A8">
              <w:rPr>
                <w:noProof/>
                <w:webHidden/>
                <w:szCs w:val="24"/>
              </w:rPr>
            </w:r>
            <w:r w:rsidRPr="009528A8">
              <w:rPr>
                <w:noProof/>
                <w:webHidden/>
                <w:szCs w:val="24"/>
              </w:rPr>
              <w:fldChar w:fldCharType="separate"/>
            </w:r>
            <w:r w:rsidRPr="009528A8">
              <w:rPr>
                <w:noProof/>
                <w:webHidden/>
                <w:szCs w:val="24"/>
              </w:rPr>
              <w:t>5</w:t>
            </w:r>
            <w:r w:rsidRPr="009528A8">
              <w:rPr>
                <w:noProof/>
                <w:webHidden/>
                <w:szCs w:val="24"/>
              </w:rPr>
              <w:fldChar w:fldCharType="end"/>
            </w:r>
          </w:hyperlink>
        </w:p>
        <w:p w14:paraId="4FB1392E" w14:textId="77777777" w:rsidR="00A3644D" w:rsidRPr="009528A8" w:rsidRDefault="00A3644D" w:rsidP="002634E9">
          <w:pPr>
            <w:rPr>
              <w:rFonts w:eastAsiaTheme="minorEastAsia"/>
              <w:noProof/>
              <w:szCs w:val="24"/>
              <w:lang w:val="fr-FR" w:eastAsia="fr-FR"/>
            </w:rPr>
          </w:pPr>
          <w:hyperlink w:anchor="_Toc143594935" w:history="1">
            <w:r w:rsidRPr="009528A8">
              <w:rPr>
                <w:rStyle w:val="Hyperlink"/>
                <w:rFonts w:ascii="Arial" w:hAnsi="Arial" w:cs="Arial"/>
                <w:noProof/>
                <w:sz w:val="24"/>
                <w:szCs w:val="24"/>
              </w:rPr>
              <w:t>A.</w:t>
            </w:r>
            <w:r w:rsidRPr="009528A8">
              <w:rPr>
                <w:rFonts w:eastAsiaTheme="minorEastAsia"/>
                <w:noProof/>
                <w:szCs w:val="24"/>
                <w:lang w:val="fr-FR" w:eastAsia="fr-FR"/>
              </w:rPr>
              <w:tab/>
            </w:r>
            <w:r w:rsidRPr="009528A8">
              <w:rPr>
                <w:rStyle w:val="Hyperlink"/>
                <w:rFonts w:ascii="Arial" w:hAnsi="Arial" w:cs="Arial"/>
                <w:noProof/>
                <w:sz w:val="24"/>
                <w:szCs w:val="24"/>
              </w:rPr>
              <w:t>Objection to material jurisdiction</w:t>
            </w:r>
            <w:r w:rsidRPr="009528A8">
              <w:rPr>
                <w:noProof/>
                <w:webHidden/>
                <w:szCs w:val="24"/>
              </w:rPr>
              <w:tab/>
            </w:r>
            <w:r w:rsidRPr="009528A8">
              <w:rPr>
                <w:noProof/>
                <w:webHidden/>
                <w:szCs w:val="24"/>
              </w:rPr>
              <w:fldChar w:fldCharType="begin"/>
            </w:r>
            <w:r w:rsidRPr="009528A8">
              <w:rPr>
                <w:noProof/>
                <w:webHidden/>
                <w:szCs w:val="24"/>
              </w:rPr>
              <w:instrText xml:space="preserve"> PAGEREF _Toc143594935 \h </w:instrText>
            </w:r>
            <w:r w:rsidRPr="009528A8">
              <w:rPr>
                <w:noProof/>
                <w:webHidden/>
                <w:szCs w:val="24"/>
              </w:rPr>
            </w:r>
            <w:r w:rsidRPr="009528A8">
              <w:rPr>
                <w:noProof/>
                <w:webHidden/>
                <w:szCs w:val="24"/>
              </w:rPr>
              <w:fldChar w:fldCharType="separate"/>
            </w:r>
            <w:r w:rsidRPr="009528A8">
              <w:rPr>
                <w:noProof/>
                <w:webHidden/>
                <w:szCs w:val="24"/>
              </w:rPr>
              <w:t>6</w:t>
            </w:r>
            <w:r w:rsidRPr="009528A8">
              <w:rPr>
                <w:noProof/>
                <w:webHidden/>
                <w:szCs w:val="24"/>
              </w:rPr>
              <w:fldChar w:fldCharType="end"/>
            </w:r>
          </w:hyperlink>
        </w:p>
        <w:p w14:paraId="5CEB6B88" w14:textId="77777777" w:rsidR="00A3644D" w:rsidRPr="009528A8" w:rsidRDefault="00A3644D" w:rsidP="002634E9">
          <w:pPr>
            <w:rPr>
              <w:rFonts w:eastAsiaTheme="minorEastAsia"/>
              <w:noProof/>
              <w:szCs w:val="24"/>
              <w:lang w:val="fr-FR" w:eastAsia="fr-FR"/>
            </w:rPr>
          </w:pPr>
          <w:hyperlink w:anchor="_Toc143594936" w:history="1">
            <w:r w:rsidRPr="009528A8">
              <w:rPr>
                <w:rStyle w:val="Hyperlink"/>
                <w:rFonts w:ascii="Arial" w:hAnsi="Arial" w:cs="Arial"/>
                <w:noProof/>
                <w:sz w:val="24"/>
                <w:szCs w:val="24"/>
              </w:rPr>
              <w:t>B.</w:t>
            </w:r>
            <w:r w:rsidRPr="009528A8">
              <w:rPr>
                <w:rFonts w:eastAsiaTheme="minorEastAsia"/>
                <w:noProof/>
                <w:szCs w:val="24"/>
                <w:lang w:val="fr-FR" w:eastAsia="fr-FR"/>
              </w:rPr>
              <w:tab/>
            </w:r>
            <w:r w:rsidRPr="009528A8">
              <w:rPr>
                <w:rStyle w:val="Hyperlink"/>
                <w:rFonts w:ascii="Arial" w:hAnsi="Arial" w:cs="Arial"/>
                <w:noProof/>
                <w:sz w:val="24"/>
                <w:szCs w:val="24"/>
              </w:rPr>
              <w:t>Other aspects of jurisdiction</w:t>
            </w:r>
            <w:r w:rsidRPr="009528A8">
              <w:rPr>
                <w:noProof/>
                <w:webHidden/>
                <w:szCs w:val="24"/>
              </w:rPr>
              <w:tab/>
            </w:r>
            <w:r w:rsidRPr="009528A8">
              <w:rPr>
                <w:noProof/>
                <w:webHidden/>
                <w:szCs w:val="24"/>
              </w:rPr>
              <w:fldChar w:fldCharType="begin"/>
            </w:r>
            <w:r w:rsidRPr="009528A8">
              <w:rPr>
                <w:noProof/>
                <w:webHidden/>
                <w:szCs w:val="24"/>
              </w:rPr>
              <w:instrText xml:space="preserve"> PAGEREF _Toc143594936 \h </w:instrText>
            </w:r>
            <w:r w:rsidRPr="009528A8">
              <w:rPr>
                <w:noProof/>
                <w:webHidden/>
                <w:szCs w:val="24"/>
              </w:rPr>
            </w:r>
            <w:r w:rsidRPr="009528A8">
              <w:rPr>
                <w:noProof/>
                <w:webHidden/>
                <w:szCs w:val="24"/>
              </w:rPr>
              <w:fldChar w:fldCharType="separate"/>
            </w:r>
            <w:r w:rsidRPr="009528A8">
              <w:rPr>
                <w:noProof/>
                <w:webHidden/>
                <w:szCs w:val="24"/>
              </w:rPr>
              <w:t>7</w:t>
            </w:r>
            <w:r w:rsidRPr="009528A8">
              <w:rPr>
                <w:noProof/>
                <w:webHidden/>
                <w:szCs w:val="24"/>
              </w:rPr>
              <w:fldChar w:fldCharType="end"/>
            </w:r>
          </w:hyperlink>
        </w:p>
        <w:p w14:paraId="4E8927BB" w14:textId="77777777" w:rsidR="00A3644D" w:rsidRPr="009528A8" w:rsidRDefault="00A3644D" w:rsidP="002634E9">
          <w:pPr>
            <w:rPr>
              <w:rFonts w:eastAsiaTheme="minorEastAsia"/>
              <w:noProof/>
              <w:szCs w:val="24"/>
              <w:lang w:val="fr-FR" w:eastAsia="fr-FR"/>
            </w:rPr>
          </w:pPr>
          <w:hyperlink w:anchor="_Toc143594937" w:history="1">
            <w:r w:rsidRPr="009528A8">
              <w:rPr>
                <w:rStyle w:val="Hyperlink"/>
                <w:rFonts w:ascii="Arial" w:hAnsi="Arial" w:cs="Arial"/>
                <w:noProof/>
                <w:sz w:val="24"/>
                <w:szCs w:val="24"/>
                <w:lang w:val="en-ZA"/>
              </w:rPr>
              <w:t>VI.</w:t>
            </w:r>
            <w:r w:rsidRPr="009528A8">
              <w:rPr>
                <w:rFonts w:eastAsiaTheme="minorEastAsia"/>
                <w:noProof/>
                <w:szCs w:val="24"/>
                <w:lang w:val="fr-FR" w:eastAsia="fr-FR"/>
              </w:rPr>
              <w:tab/>
            </w:r>
            <w:r w:rsidRPr="009528A8">
              <w:rPr>
                <w:rStyle w:val="Hyperlink"/>
                <w:rFonts w:ascii="Arial" w:hAnsi="Arial" w:cs="Arial"/>
                <w:noProof/>
                <w:sz w:val="24"/>
                <w:szCs w:val="24"/>
                <w:lang w:val="en-ZA"/>
              </w:rPr>
              <w:t>ADMISSIBILITY</w:t>
            </w:r>
            <w:r w:rsidRPr="009528A8">
              <w:rPr>
                <w:noProof/>
                <w:webHidden/>
                <w:szCs w:val="24"/>
              </w:rPr>
              <w:tab/>
            </w:r>
            <w:r w:rsidRPr="009528A8">
              <w:rPr>
                <w:noProof/>
                <w:webHidden/>
                <w:szCs w:val="24"/>
              </w:rPr>
              <w:fldChar w:fldCharType="begin"/>
            </w:r>
            <w:r w:rsidRPr="009528A8">
              <w:rPr>
                <w:noProof/>
                <w:webHidden/>
                <w:szCs w:val="24"/>
              </w:rPr>
              <w:instrText xml:space="preserve"> PAGEREF _Toc143594937 \h </w:instrText>
            </w:r>
            <w:r w:rsidRPr="009528A8">
              <w:rPr>
                <w:noProof/>
                <w:webHidden/>
                <w:szCs w:val="24"/>
              </w:rPr>
            </w:r>
            <w:r w:rsidRPr="009528A8">
              <w:rPr>
                <w:noProof/>
                <w:webHidden/>
                <w:szCs w:val="24"/>
              </w:rPr>
              <w:fldChar w:fldCharType="separate"/>
            </w:r>
            <w:r w:rsidRPr="009528A8">
              <w:rPr>
                <w:noProof/>
                <w:webHidden/>
                <w:szCs w:val="24"/>
              </w:rPr>
              <w:t>8</w:t>
            </w:r>
            <w:r w:rsidRPr="009528A8">
              <w:rPr>
                <w:noProof/>
                <w:webHidden/>
                <w:szCs w:val="24"/>
              </w:rPr>
              <w:fldChar w:fldCharType="end"/>
            </w:r>
          </w:hyperlink>
        </w:p>
        <w:p w14:paraId="7EC61D47" w14:textId="77777777" w:rsidR="00A3644D" w:rsidRPr="009528A8" w:rsidRDefault="00A3644D" w:rsidP="002634E9">
          <w:pPr>
            <w:rPr>
              <w:rFonts w:eastAsiaTheme="minorEastAsia"/>
              <w:noProof/>
              <w:szCs w:val="24"/>
              <w:lang w:val="fr-FR" w:eastAsia="fr-FR"/>
            </w:rPr>
          </w:pPr>
          <w:hyperlink w:anchor="_Toc143594938" w:history="1">
            <w:r w:rsidRPr="009528A8">
              <w:rPr>
                <w:rStyle w:val="Hyperlink"/>
                <w:rFonts w:ascii="Arial" w:hAnsi="Arial" w:cs="Arial"/>
                <w:noProof/>
                <w:sz w:val="24"/>
                <w:szCs w:val="24"/>
              </w:rPr>
              <w:t>A.</w:t>
            </w:r>
            <w:r w:rsidRPr="009528A8">
              <w:rPr>
                <w:rFonts w:eastAsiaTheme="minorEastAsia"/>
                <w:noProof/>
                <w:szCs w:val="24"/>
                <w:lang w:val="fr-FR" w:eastAsia="fr-FR"/>
              </w:rPr>
              <w:tab/>
            </w:r>
            <w:r w:rsidRPr="009528A8">
              <w:rPr>
                <w:rStyle w:val="Hyperlink"/>
                <w:rFonts w:ascii="Arial" w:hAnsi="Arial" w:cs="Arial"/>
                <w:noProof/>
                <w:sz w:val="24"/>
                <w:szCs w:val="24"/>
              </w:rPr>
              <w:t>Objection based on non-exhaustion of local remedies</w:t>
            </w:r>
            <w:r w:rsidRPr="009528A8">
              <w:rPr>
                <w:noProof/>
                <w:webHidden/>
                <w:szCs w:val="24"/>
              </w:rPr>
              <w:tab/>
            </w:r>
            <w:r w:rsidRPr="009528A8">
              <w:rPr>
                <w:noProof/>
                <w:webHidden/>
                <w:szCs w:val="24"/>
              </w:rPr>
              <w:fldChar w:fldCharType="begin"/>
            </w:r>
            <w:r w:rsidRPr="009528A8">
              <w:rPr>
                <w:noProof/>
                <w:webHidden/>
                <w:szCs w:val="24"/>
              </w:rPr>
              <w:instrText xml:space="preserve"> PAGEREF _Toc143594938 \h </w:instrText>
            </w:r>
            <w:r w:rsidRPr="009528A8">
              <w:rPr>
                <w:noProof/>
                <w:webHidden/>
                <w:szCs w:val="24"/>
              </w:rPr>
            </w:r>
            <w:r w:rsidRPr="009528A8">
              <w:rPr>
                <w:noProof/>
                <w:webHidden/>
                <w:szCs w:val="24"/>
              </w:rPr>
              <w:fldChar w:fldCharType="separate"/>
            </w:r>
            <w:r w:rsidRPr="009528A8">
              <w:rPr>
                <w:noProof/>
                <w:webHidden/>
                <w:szCs w:val="24"/>
              </w:rPr>
              <w:t>9</w:t>
            </w:r>
            <w:r w:rsidRPr="009528A8">
              <w:rPr>
                <w:noProof/>
                <w:webHidden/>
                <w:szCs w:val="24"/>
              </w:rPr>
              <w:fldChar w:fldCharType="end"/>
            </w:r>
          </w:hyperlink>
        </w:p>
        <w:p w14:paraId="115E1FA9" w14:textId="77777777" w:rsidR="00A3644D" w:rsidRPr="009528A8" w:rsidRDefault="00A3644D" w:rsidP="002634E9">
          <w:pPr>
            <w:rPr>
              <w:rFonts w:eastAsiaTheme="minorEastAsia"/>
              <w:noProof/>
              <w:szCs w:val="24"/>
              <w:lang w:val="fr-FR" w:eastAsia="fr-FR"/>
            </w:rPr>
          </w:pPr>
          <w:hyperlink w:anchor="_Toc143594939" w:history="1">
            <w:r w:rsidRPr="009528A8">
              <w:rPr>
                <w:rStyle w:val="Hyperlink"/>
                <w:rFonts w:ascii="Arial" w:hAnsi="Arial" w:cs="Arial"/>
                <w:noProof/>
                <w:sz w:val="24"/>
                <w:szCs w:val="24"/>
              </w:rPr>
              <w:t>B.</w:t>
            </w:r>
            <w:r w:rsidRPr="009528A8">
              <w:rPr>
                <w:rFonts w:eastAsiaTheme="minorEastAsia"/>
                <w:noProof/>
                <w:szCs w:val="24"/>
                <w:lang w:val="fr-FR" w:eastAsia="fr-FR"/>
              </w:rPr>
              <w:tab/>
            </w:r>
            <w:r w:rsidRPr="009528A8">
              <w:rPr>
                <w:rStyle w:val="Hyperlink"/>
                <w:rFonts w:ascii="Arial" w:hAnsi="Arial" w:cs="Arial"/>
                <w:noProof/>
                <w:sz w:val="24"/>
                <w:szCs w:val="24"/>
              </w:rPr>
              <w:t>Other conditions of admissibility</w:t>
            </w:r>
            <w:r w:rsidRPr="009528A8">
              <w:rPr>
                <w:noProof/>
                <w:webHidden/>
                <w:szCs w:val="24"/>
              </w:rPr>
              <w:tab/>
            </w:r>
            <w:r w:rsidRPr="009528A8">
              <w:rPr>
                <w:noProof/>
                <w:webHidden/>
                <w:szCs w:val="24"/>
              </w:rPr>
              <w:fldChar w:fldCharType="begin"/>
            </w:r>
            <w:r w:rsidRPr="009528A8">
              <w:rPr>
                <w:noProof/>
                <w:webHidden/>
                <w:szCs w:val="24"/>
              </w:rPr>
              <w:instrText xml:space="preserve"> PAGEREF _Toc143594939 \h </w:instrText>
            </w:r>
            <w:r w:rsidRPr="009528A8">
              <w:rPr>
                <w:noProof/>
                <w:webHidden/>
                <w:szCs w:val="24"/>
              </w:rPr>
            </w:r>
            <w:r w:rsidRPr="009528A8">
              <w:rPr>
                <w:noProof/>
                <w:webHidden/>
                <w:szCs w:val="24"/>
              </w:rPr>
              <w:fldChar w:fldCharType="separate"/>
            </w:r>
            <w:r w:rsidRPr="009528A8">
              <w:rPr>
                <w:noProof/>
                <w:webHidden/>
                <w:szCs w:val="24"/>
              </w:rPr>
              <w:t>11</w:t>
            </w:r>
            <w:r w:rsidRPr="009528A8">
              <w:rPr>
                <w:noProof/>
                <w:webHidden/>
                <w:szCs w:val="24"/>
              </w:rPr>
              <w:fldChar w:fldCharType="end"/>
            </w:r>
          </w:hyperlink>
        </w:p>
        <w:p w14:paraId="62F15B67" w14:textId="77777777" w:rsidR="00A3644D" w:rsidRPr="009528A8" w:rsidRDefault="00A3644D" w:rsidP="002634E9">
          <w:pPr>
            <w:rPr>
              <w:rFonts w:eastAsiaTheme="minorEastAsia"/>
              <w:noProof/>
              <w:szCs w:val="24"/>
              <w:lang w:val="fr-FR" w:eastAsia="fr-FR"/>
            </w:rPr>
          </w:pPr>
          <w:hyperlink w:anchor="_Toc143594940" w:history="1">
            <w:r w:rsidRPr="009528A8">
              <w:rPr>
                <w:rStyle w:val="Hyperlink"/>
                <w:rFonts w:ascii="Arial" w:hAnsi="Arial" w:cs="Arial"/>
                <w:noProof/>
                <w:sz w:val="24"/>
                <w:szCs w:val="24"/>
                <w:lang w:val="en-ZA"/>
              </w:rPr>
              <w:t>VII.</w:t>
            </w:r>
            <w:r w:rsidRPr="009528A8">
              <w:rPr>
                <w:rFonts w:eastAsiaTheme="minorEastAsia"/>
                <w:noProof/>
                <w:szCs w:val="24"/>
                <w:lang w:val="fr-FR" w:eastAsia="fr-FR"/>
              </w:rPr>
              <w:tab/>
            </w:r>
            <w:r w:rsidRPr="009528A8">
              <w:rPr>
                <w:rStyle w:val="Hyperlink"/>
                <w:rFonts w:ascii="Arial" w:hAnsi="Arial" w:cs="Arial"/>
                <w:noProof/>
                <w:sz w:val="24"/>
                <w:szCs w:val="24"/>
                <w:lang w:val="en-ZA"/>
              </w:rPr>
              <w:t>MERITS</w:t>
            </w:r>
            <w:r w:rsidRPr="009528A8">
              <w:rPr>
                <w:noProof/>
                <w:webHidden/>
                <w:szCs w:val="24"/>
              </w:rPr>
              <w:tab/>
            </w:r>
            <w:r w:rsidRPr="009528A8">
              <w:rPr>
                <w:noProof/>
                <w:webHidden/>
                <w:szCs w:val="24"/>
              </w:rPr>
              <w:fldChar w:fldCharType="begin"/>
            </w:r>
            <w:r w:rsidRPr="009528A8">
              <w:rPr>
                <w:noProof/>
                <w:webHidden/>
                <w:szCs w:val="24"/>
              </w:rPr>
              <w:instrText xml:space="preserve"> PAGEREF _Toc143594940 \h </w:instrText>
            </w:r>
            <w:r w:rsidRPr="009528A8">
              <w:rPr>
                <w:noProof/>
                <w:webHidden/>
                <w:szCs w:val="24"/>
              </w:rPr>
            </w:r>
            <w:r w:rsidRPr="009528A8">
              <w:rPr>
                <w:noProof/>
                <w:webHidden/>
                <w:szCs w:val="24"/>
              </w:rPr>
              <w:fldChar w:fldCharType="separate"/>
            </w:r>
            <w:r w:rsidRPr="009528A8">
              <w:rPr>
                <w:noProof/>
                <w:webHidden/>
                <w:szCs w:val="24"/>
              </w:rPr>
              <w:t>13</w:t>
            </w:r>
            <w:r w:rsidRPr="009528A8">
              <w:rPr>
                <w:noProof/>
                <w:webHidden/>
                <w:szCs w:val="24"/>
              </w:rPr>
              <w:fldChar w:fldCharType="end"/>
            </w:r>
          </w:hyperlink>
        </w:p>
        <w:p w14:paraId="604C636B" w14:textId="77777777" w:rsidR="00A3644D" w:rsidRPr="009528A8" w:rsidRDefault="00A3644D" w:rsidP="002634E9">
          <w:pPr>
            <w:rPr>
              <w:rFonts w:eastAsiaTheme="minorEastAsia"/>
              <w:noProof/>
              <w:szCs w:val="24"/>
              <w:lang w:val="fr-FR" w:eastAsia="fr-FR"/>
            </w:rPr>
          </w:pPr>
          <w:hyperlink w:anchor="_Toc143594941" w:history="1">
            <w:r w:rsidRPr="009528A8">
              <w:rPr>
                <w:rStyle w:val="Hyperlink"/>
                <w:rFonts w:ascii="Arial" w:eastAsia="Arial" w:hAnsi="Arial" w:cs="Arial"/>
                <w:noProof/>
                <w:sz w:val="24"/>
                <w:szCs w:val="24"/>
              </w:rPr>
              <w:t>A.</w:t>
            </w:r>
            <w:r w:rsidRPr="009528A8">
              <w:rPr>
                <w:rFonts w:eastAsiaTheme="minorEastAsia"/>
                <w:noProof/>
                <w:szCs w:val="24"/>
                <w:lang w:val="fr-FR" w:eastAsia="fr-FR"/>
              </w:rPr>
              <w:tab/>
            </w:r>
            <w:r w:rsidRPr="009528A8">
              <w:rPr>
                <w:rStyle w:val="Hyperlink"/>
                <w:rFonts w:ascii="Arial" w:eastAsia="Arial" w:hAnsi="Arial" w:cs="Arial"/>
                <w:noProof/>
                <w:sz w:val="24"/>
                <w:szCs w:val="24"/>
              </w:rPr>
              <w:t>Alleged violation of the right to be notified of the charges</w:t>
            </w:r>
            <w:r w:rsidRPr="009528A8">
              <w:rPr>
                <w:noProof/>
                <w:webHidden/>
                <w:szCs w:val="24"/>
              </w:rPr>
              <w:tab/>
            </w:r>
            <w:r w:rsidRPr="009528A8">
              <w:rPr>
                <w:noProof/>
                <w:webHidden/>
                <w:szCs w:val="24"/>
              </w:rPr>
              <w:fldChar w:fldCharType="begin"/>
            </w:r>
            <w:r w:rsidRPr="009528A8">
              <w:rPr>
                <w:noProof/>
                <w:webHidden/>
                <w:szCs w:val="24"/>
              </w:rPr>
              <w:instrText xml:space="preserve"> PAGEREF _Toc143594941 \h </w:instrText>
            </w:r>
            <w:r w:rsidRPr="009528A8">
              <w:rPr>
                <w:noProof/>
                <w:webHidden/>
                <w:szCs w:val="24"/>
              </w:rPr>
            </w:r>
            <w:r w:rsidRPr="009528A8">
              <w:rPr>
                <w:noProof/>
                <w:webHidden/>
                <w:szCs w:val="24"/>
              </w:rPr>
              <w:fldChar w:fldCharType="separate"/>
            </w:r>
            <w:r w:rsidRPr="009528A8">
              <w:rPr>
                <w:noProof/>
                <w:webHidden/>
                <w:szCs w:val="24"/>
              </w:rPr>
              <w:t>13</w:t>
            </w:r>
            <w:r w:rsidRPr="009528A8">
              <w:rPr>
                <w:noProof/>
                <w:webHidden/>
                <w:szCs w:val="24"/>
              </w:rPr>
              <w:fldChar w:fldCharType="end"/>
            </w:r>
          </w:hyperlink>
        </w:p>
        <w:p w14:paraId="6D8EFA60" w14:textId="77777777" w:rsidR="00A3644D" w:rsidRPr="009528A8" w:rsidRDefault="00A3644D" w:rsidP="002634E9">
          <w:pPr>
            <w:rPr>
              <w:rFonts w:eastAsiaTheme="minorEastAsia"/>
              <w:noProof/>
              <w:szCs w:val="24"/>
              <w:lang w:val="fr-FR" w:eastAsia="fr-FR"/>
            </w:rPr>
          </w:pPr>
          <w:hyperlink w:anchor="_Toc143594942" w:history="1">
            <w:r w:rsidRPr="009528A8">
              <w:rPr>
                <w:rStyle w:val="Hyperlink"/>
                <w:rFonts w:ascii="Arial" w:eastAsia="Arial" w:hAnsi="Arial" w:cs="Arial"/>
                <w:bCs/>
                <w:noProof/>
                <w:sz w:val="24"/>
                <w:szCs w:val="24"/>
              </w:rPr>
              <w:t>B.</w:t>
            </w:r>
            <w:r w:rsidRPr="009528A8">
              <w:rPr>
                <w:rFonts w:eastAsiaTheme="minorEastAsia"/>
                <w:noProof/>
                <w:szCs w:val="24"/>
                <w:lang w:val="fr-FR" w:eastAsia="fr-FR"/>
              </w:rPr>
              <w:tab/>
            </w:r>
            <w:r w:rsidRPr="009528A8">
              <w:rPr>
                <w:rStyle w:val="Hyperlink"/>
                <w:rFonts w:ascii="Arial" w:eastAsia="Arial" w:hAnsi="Arial" w:cs="Arial"/>
                <w:bCs/>
                <w:noProof/>
                <w:sz w:val="24"/>
                <w:szCs w:val="24"/>
              </w:rPr>
              <w:t>Alleged violation of the right to have one’s cause heard</w:t>
            </w:r>
            <w:r w:rsidRPr="009528A8">
              <w:rPr>
                <w:noProof/>
                <w:webHidden/>
                <w:szCs w:val="24"/>
              </w:rPr>
              <w:tab/>
            </w:r>
            <w:r w:rsidRPr="009528A8">
              <w:rPr>
                <w:noProof/>
                <w:webHidden/>
                <w:szCs w:val="24"/>
              </w:rPr>
              <w:fldChar w:fldCharType="begin"/>
            </w:r>
            <w:r w:rsidRPr="009528A8">
              <w:rPr>
                <w:noProof/>
                <w:webHidden/>
                <w:szCs w:val="24"/>
              </w:rPr>
              <w:instrText xml:space="preserve"> PAGEREF _Toc143594942 \h </w:instrText>
            </w:r>
            <w:r w:rsidRPr="009528A8">
              <w:rPr>
                <w:noProof/>
                <w:webHidden/>
                <w:szCs w:val="24"/>
              </w:rPr>
            </w:r>
            <w:r w:rsidRPr="009528A8">
              <w:rPr>
                <w:noProof/>
                <w:webHidden/>
                <w:szCs w:val="24"/>
              </w:rPr>
              <w:fldChar w:fldCharType="separate"/>
            </w:r>
            <w:r w:rsidRPr="009528A8">
              <w:rPr>
                <w:noProof/>
                <w:webHidden/>
                <w:szCs w:val="24"/>
              </w:rPr>
              <w:t>15</w:t>
            </w:r>
            <w:r w:rsidRPr="009528A8">
              <w:rPr>
                <w:noProof/>
                <w:webHidden/>
                <w:szCs w:val="24"/>
              </w:rPr>
              <w:fldChar w:fldCharType="end"/>
            </w:r>
          </w:hyperlink>
        </w:p>
        <w:p w14:paraId="21283468" w14:textId="77777777" w:rsidR="00A3644D" w:rsidRPr="009528A8" w:rsidRDefault="00A3644D" w:rsidP="002634E9">
          <w:pPr>
            <w:rPr>
              <w:rFonts w:eastAsiaTheme="minorEastAsia"/>
              <w:noProof/>
              <w:szCs w:val="24"/>
              <w:lang w:val="fr-FR" w:eastAsia="fr-FR"/>
            </w:rPr>
          </w:pPr>
          <w:hyperlink w:anchor="_Toc143594943" w:history="1">
            <w:r w:rsidRPr="009528A8">
              <w:rPr>
                <w:rStyle w:val="Hyperlink"/>
                <w:rFonts w:ascii="Arial" w:hAnsi="Arial" w:cs="Arial"/>
                <w:noProof/>
                <w:sz w:val="24"/>
                <w:szCs w:val="24"/>
              </w:rPr>
              <w:t>i.</w:t>
            </w:r>
            <w:r w:rsidRPr="009528A8">
              <w:rPr>
                <w:rFonts w:eastAsiaTheme="minorEastAsia"/>
                <w:noProof/>
                <w:szCs w:val="24"/>
                <w:lang w:val="fr-FR" w:eastAsia="fr-FR"/>
              </w:rPr>
              <w:tab/>
            </w:r>
            <w:r w:rsidRPr="009528A8">
              <w:rPr>
                <w:rStyle w:val="Hyperlink"/>
                <w:rFonts w:ascii="Arial" w:hAnsi="Arial" w:cs="Arial"/>
                <w:bCs/>
                <w:noProof/>
                <w:sz w:val="24"/>
                <w:szCs w:val="24"/>
              </w:rPr>
              <w:t>Allegation that the Applicant was not properly identified</w:t>
            </w:r>
            <w:r w:rsidRPr="009528A8">
              <w:rPr>
                <w:noProof/>
                <w:webHidden/>
                <w:szCs w:val="24"/>
              </w:rPr>
              <w:tab/>
            </w:r>
            <w:r w:rsidRPr="009528A8">
              <w:rPr>
                <w:noProof/>
                <w:webHidden/>
                <w:szCs w:val="24"/>
              </w:rPr>
              <w:fldChar w:fldCharType="begin"/>
            </w:r>
            <w:r w:rsidRPr="009528A8">
              <w:rPr>
                <w:noProof/>
                <w:webHidden/>
                <w:szCs w:val="24"/>
              </w:rPr>
              <w:instrText xml:space="preserve"> PAGEREF _Toc143594943 \h </w:instrText>
            </w:r>
            <w:r w:rsidRPr="009528A8">
              <w:rPr>
                <w:noProof/>
                <w:webHidden/>
                <w:szCs w:val="24"/>
              </w:rPr>
            </w:r>
            <w:r w:rsidRPr="009528A8">
              <w:rPr>
                <w:noProof/>
                <w:webHidden/>
                <w:szCs w:val="24"/>
              </w:rPr>
              <w:fldChar w:fldCharType="separate"/>
            </w:r>
            <w:r w:rsidRPr="009528A8">
              <w:rPr>
                <w:noProof/>
                <w:webHidden/>
                <w:szCs w:val="24"/>
              </w:rPr>
              <w:t>17</w:t>
            </w:r>
            <w:r w:rsidRPr="009528A8">
              <w:rPr>
                <w:noProof/>
                <w:webHidden/>
                <w:szCs w:val="24"/>
              </w:rPr>
              <w:fldChar w:fldCharType="end"/>
            </w:r>
          </w:hyperlink>
        </w:p>
        <w:p w14:paraId="1E6F3341" w14:textId="77777777" w:rsidR="00A3644D" w:rsidRPr="009528A8" w:rsidRDefault="00A3644D" w:rsidP="002634E9">
          <w:pPr>
            <w:rPr>
              <w:rFonts w:eastAsiaTheme="minorEastAsia"/>
              <w:noProof/>
              <w:szCs w:val="24"/>
              <w:lang w:val="fr-FR" w:eastAsia="fr-FR"/>
            </w:rPr>
          </w:pPr>
          <w:hyperlink w:anchor="_Toc143594944" w:history="1">
            <w:r w:rsidRPr="009528A8">
              <w:rPr>
                <w:rStyle w:val="Hyperlink"/>
                <w:rFonts w:ascii="Arial" w:hAnsi="Arial" w:cs="Arial"/>
                <w:noProof/>
                <w:sz w:val="24"/>
                <w:szCs w:val="24"/>
              </w:rPr>
              <w:t>ii.</w:t>
            </w:r>
            <w:r w:rsidRPr="009528A8">
              <w:rPr>
                <w:rFonts w:eastAsiaTheme="minorEastAsia"/>
                <w:noProof/>
                <w:szCs w:val="24"/>
                <w:lang w:val="fr-FR" w:eastAsia="fr-FR"/>
              </w:rPr>
              <w:tab/>
            </w:r>
            <w:r w:rsidRPr="009528A8">
              <w:rPr>
                <w:rStyle w:val="Hyperlink"/>
                <w:rFonts w:ascii="Arial" w:hAnsi="Arial" w:cs="Arial"/>
                <w:bCs/>
                <w:noProof/>
                <w:sz w:val="24"/>
                <w:szCs w:val="24"/>
              </w:rPr>
              <w:t>Allegation that the Applicant’s conviction was against the weight of the evidence on record</w:t>
            </w:r>
            <w:r w:rsidRPr="009528A8">
              <w:rPr>
                <w:noProof/>
                <w:webHidden/>
                <w:szCs w:val="24"/>
              </w:rPr>
              <w:tab/>
            </w:r>
            <w:r w:rsidRPr="009528A8">
              <w:rPr>
                <w:noProof/>
                <w:webHidden/>
                <w:szCs w:val="24"/>
              </w:rPr>
              <w:fldChar w:fldCharType="begin"/>
            </w:r>
            <w:r w:rsidRPr="009528A8">
              <w:rPr>
                <w:noProof/>
                <w:webHidden/>
                <w:szCs w:val="24"/>
              </w:rPr>
              <w:instrText xml:space="preserve"> PAGEREF _Toc143594944 \h </w:instrText>
            </w:r>
            <w:r w:rsidRPr="009528A8">
              <w:rPr>
                <w:noProof/>
                <w:webHidden/>
                <w:szCs w:val="24"/>
              </w:rPr>
            </w:r>
            <w:r w:rsidRPr="009528A8">
              <w:rPr>
                <w:noProof/>
                <w:webHidden/>
                <w:szCs w:val="24"/>
              </w:rPr>
              <w:fldChar w:fldCharType="separate"/>
            </w:r>
            <w:r w:rsidRPr="009528A8">
              <w:rPr>
                <w:noProof/>
                <w:webHidden/>
                <w:szCs w:val="24"/>
              </w:rPr>
              <w:t>20</w:t>
            </w:r>
            <w:r w:rsidRPr="009528A8">
              <w:rPr>
                <w:noProof/>
                <w:webHidden/>
                <w:szCs w:val="24"/>
              </w:rPr>
              <w:fldChar w:fldCharType="end"/>
            </w:r>
          </w:hyperlink>
        </w:p>
        <w:p w14:paraId="2B0E044E" w14:textId="77777777" w:rsidR="00A3644D" w:rsidRPr="009528A8" w:rsidRDefault="00A3644D" w:rsidP="002634E9">
          <w:pPr>
            <w:rPr>
              <w:rFonts w:eastAsiaTheme="minorEastAsia"/>
              <w:noProof/>
              <w:szCs w:val="24"/>
              <w:lang w:val="fr-FR" w:eastAsia="fr-FR"/>
            </w:rPr>
          </w:pPr>
          <w:hyperlink w:anchor="_Toc143594945" w:history="1">
            <w:r w:rsidRPr="009528A8">
              <w:rPr>
                <w:rStyle w:val="Hyperlink"/>
                <w:rFonts w:ascii="Arial" w:eastAsia="Arial" w:hAnsi="Arial" w:cs="Arial"/>
                <w:noProof/>
                <w:sz w:val="24"/>
                <w:szCs w:val="24"/>
              </w:rPr>
              <w:t>C.</w:t>
            </w:r>
            <w:r w:rsidRPr="009528A8">
              <w:rPr>
                <w:rFonts w:eastAsiaTheme="minorEastAsia"/>
                <w:noProof/>
                <w:szCs w:val="24"/>
                <w:lang w:val="fr-FR" w:eastAsia="fr-FR"/>
              </w:rPr>
              <w:tab/>
            </w:r>
            <w:r w:rsidRPr="009528A8">
              <w:rPr>
                <w:rStyle w:val="Hyperlink"/>
                <w:rFonts w:ascii="Arial" w:eastAsia="Arial" w:hAnsi="Arial" w:cs="Arial"/>
                <w:noProof/>
                <w:sz w:val="24"/>
                <w:szCs w:val="24"/>
              </w:rPr>
              <w:t>Alleged violation of the right to defence</w:t>
            </w:r>
            <w:r w:rsidRPr="009528A8">
              <w:rPr>
                <w:noProof/>
                <w:webHidden/>
                <w:szCs w:val="24"/>
              </w:rPr>
              <w:tab/>
            </w:r>
            <w:r w:rsidRPr="009528A8">
              <w:rPr>
                <w:noProof/>
                <w:webHidden/>
                <w:szCs w:val="24"/>
              </w:rPr>
              <w:fldChar w:fldCharType="begin"/>
            </w:r>
            <w:r w:rsidRPr="009528A8">
              <w:rPr>
                <w:noProof/>
                <w:webHidden/>
                <w:szCs w:val="24"/>
              </w:rPr>
              <w:instrText xml:space="preserve"> PAGEREF _Toc143594945 \h </w:instrText>
            </w:r>
            <w:r w:rsidRPr="009528A8">
              <w:rPr>
                <w:noProof/>
                <w:webHidden/>
                <w:szCs w:val="24"/>
              </w:rPr>
            </w:r>
            <w:r w:rsidRPr="009528A8">
              <w:rPr>
                <w:noProof/>
                <w:webHidden/>
                <w:szCs w:val="24"/>
              </w:rPr>
              <w:fldChar w:fldCharType="separate"/>
            </w:r>
            <w:r w:rsidRPr="009528A8">
              <w:rPr>
                <w:noProof/>
                <w:webHidden/>
                <w:szCs w:val="24"/>
              </w:rPr>
              <w:t>22</w:t>
            </w:r>
            <w:r w:rsidRPr="009528A8">
              <w:rPr>
                <w:noProof/>
                <w:webHidden/>
                <w:szCs w:val="24"/>
              </w:rPr>
              <w:fldChar w:fldCharType="end"/>
            </w:r>
          </w:hyperlink>
        </w:p>
        <w:p w14:paraId="53C7E6F2" w14:textId="77777777" w:rsidR="00A3644D" w:rsidRPr="009528A8" w:rsidRDefault="00A3644D" w:rsidP="002634E9">
          <w:pPr>
            <w:rPr>
              <w:rFonts w:eastAsiaTheme="minorEastAsia"/>
              <w:noProof/>
              <w:szCs w:val="24"/>
              <w:lang w:val="fr-FR" w:eastAsia="fr-FR"/>
            </w:rPr>
          </w:pPr>
          <w:hyperlink w:anchor="_Toc143594946" w:history="1">
            <w:r w:rsidRPr="009528A8">
              <w:rPr>
                <w:rStyle w:val="Hyperlink"/>
                <w:rFonts w:ascii="Arial" w:hAnsi="Arial" w:cs="Arial"/>
                <w:noProof/>
                <w:sz w:val="24"/>
                <w:szCs w:val="24"/>
                <w:lang w:val="en-ZA"/>
              </w:rPr>
              <w:t>VIII.</w:t>
            </w:r>
            <w:r w:rsidRPr="009528A8">
              <w:rPr>
                <w:rFonts w:eastAsiaTheme="minorEastAsia"/>
                <w:noProof/>
                <w:szCs w:val="24"/>
                <w:lang w:val="fr-FR" w:eastAsia="fr-FR"/>
              </w:rPr>
              <w:tab/>
            </w:r>
            <w:r w:rsidRPr="009528A8">
              <w:rPr>
                <w:rStyle w:val="Hyperlink"/>
                <w:rFonts w:ascii="Arial" w:hAnsi="Arial" w:cs="Arial"/>
                <w:noProof/>
                <w:sz w:val="24"/>
                <w:szCs w:val="24"/>
                <w:lang w:val="en-ZA"/>
              </w:rPr>
              <w:t>REPARATIONS</w:t>
            </w:r>
            <w:r w:rsidRPr="009528A8">
              <w:rPr>
                <w:noProof/>
                <w:webHidden/>
                <w:szCs w:val="24"/>
              </w:rPr>
              <w:tab/>
            </w:r>
            <w:r w:rsidRPr="009528A8">
              <w:rPr>
                <w:noProof/>
                <w:webHidden/>
                <w:szCs w:val="24"/>
              </w:rPr>
              <w:fldChar w:fldCharType="begin"/>
            </w:r>
            <w:r w:rsidRPr="009528A8">
              <w:rPr>
                <w:noProof/>
                <w:webHidden/>
                <w:szCs w:val="24"/>
              </w:rPr>
              <w:instrText xml:space="preserve"> PAGEREF _Toc143594946 \h </w:instrText>
            </w:r>
            <w:r w:rsidRPr="009528A8">
              <w:rPr>
                <w:noProof/>
                <w:webHidden/>
                <w:szCs w:val="24"/>
              </w:rPr>
            </w:r>
            <w:r w:rsidRPr="009528A8">
              <w:rPr>
                <w:noProof/>
                <w:webHidden/>
                <w:szCs w:val="24"/>
              </w:rPr>
              <w:fldChar w:fldCharType="separate"/>
            </w:r>
            <w:r w:rsidRPr="009528A8">
              <w:rPr>
                <w:noProof/>
                <w:webHidden/>
                <w:szCs w:val="24"/>
              </w:rPr>
              <w:t>24</w:t>
            </w:r>
            <w:r w:rsidRPr="009528A8">
              <w:rPr>
                <w:noProof/>
                <w:webHidden/>
                <w:szCs w:val="24"/>
              </w:rPr>
              <w:fldChar w:fldCharType="end"/>
            </w:r>
          </w:hyperlink>
        </w:p>
        <w:p w14:paraId="36F3BE1D" w14:textId="77777777" w:rsidR="00A3644D" w:rsidRPr="009528A8" w:rsidRDefault="00A3644D" w:rsidP="002634E9">
          <w:pPr>
            <w:rPr>
              <w:rFonts w:eastAsiaTheme="minorEastAsia"/>
              <w:noProof/>
              <w:szCs w:val="24"/>
              <w:lang w:val="fr-FR" w:eastAsia="fr-FR"/>
            </w:rPr>
          </w:pPr>
          <w:hyperlink w:anchor="_Toc143594947" w:history="1">
            <w:r w:rsidRPr="009528A8">
              <w:rPr>
                <w:rStyle w:val="Hyperlink"/>
                <w:rFonts w:ascii="Arial" w:hAnsi="Arial" w:cs="Arial"/>
                <w:noProof/>
                <w:sz w:val="24"/>
                <w:szCs w:val="24"/>
                <w:lang w:val="en-ZA"/>
              </w:rPr>
              <w:t>IX.</w:t>
            </w:r>
            <w:r w:rsidRPr="009528A8">
              <w:rPr>
                <w:rFonts w:eastAsiaTheme="minorEastAsia"/>
                <w:noProof/>
                <w:szCs w:val="24"/>
                <w:lang w:val="fr-FR" w:eastAsia="fr-FR"/>
              </w:rPr>
              <w:tab/>
            </w:r>
            <w:r w:rsidRPr="009528A8">
              <w:rPr>
                <w:rStyle w:val="Hyperlink"/>
                <w:rFonts w:ascii="Arial" w:hAnsi="Arial" w:cs="Arial"/>
                <w:noProof/>
                <w:sz w:val="24"/>
                <w:szCs w:val="24"/>
                <w:lang w:val="en-ZA"/>
              </w:rPr>
              <w:t>COSTS</w:t>
            </w:r>
            <w:r w:rsidRPr="009528A8">
              <w:rPr>
                <w:noProof/>
                <w:webHidden/>
                <w:szCs w:val="24"/>
              </w:rPr>
              <w:tab/>
            </w:r>
            <w:r w:rsidRPr="009528A8">
              <w:rPr>
                <w:noProof/>
                <w:webHidden/>
                <w:szCs w:val="24"/>
              </w:rPr>
              <w:fldChar w:fldCharType="begin"/>
            </w:r>
            <w:r w:rsidRPr="009528A8">
              <w:rPr>
                <w:noProof/>
                <w:webHidden/>
                <w:szCs w:val="24"/>
              </w:rPr>
              <w:instrText xml:space="preserve"> PAGEREF _Toc143594947 \h </w:instrText>
            </w:r>
            <w:r w:rsidRPr="009528A8">
              <w:rPr>
                <w:noProof/>
                <w:webHidden/>
                <w:szCs w:val="24"/>
              </w:rPr>
            </w:r>
            <w:r w:rsidRPr="009528A8">
              <w:rPr>
                <w:noProof/>
                <w:webHidden/>
                <w:szCs w:val="24"/>
              </w:rPr>
              <w:fldChar w:fldCharType="separate"/>
            </w:r>
            <w:r w:rsidRPr="009528A8">
              <w:rPr>
                <w:noProof/>
                <w:webHidden/>
                <w:szCs w:val="24"/>
              </w:rPr>
              <w:t>24</w:t>
            </w:r>
            <w:r w:rsidRPr="009528A8">
              <w:rPr>
                <w:noProof/>
                <w:webHidden/>
                <w:szCs w:val="24"/>
              </w:rPr>
              <w:fldChar w:fldCharType="end"/>
            </w:r>
          </w:hyperlink>
        </w:p>
        <w:p w14:paraId="3FD11D1A" w14:textId="77777777" w:rsidR="00A3644D" w:rsidRPr="009528A8" w:rsidRDefault="00A3644D" w:rsidP="002634E9">
          <w:pPr>
            <w:rPr>
              <w:rFonts w:eastAsiaTheme="minorEastAsia"/>
              <w:noProof/>
              <w:szCs w:val="24"/>
              <w:lang w:val="fr-FR" w:eastAsia="fr-FR"/>
            </w:rPr>
          </w:pPr>
          <w:hyperlink w:anchor="_Toc143594948" w:history="1">
            <w:r w:rsidRPr="009528A8">
              <w:rPr>
                <w:rStyle w:val="Hyperlink"/>
                <w:rFonts w:ascii="Arial" w:hAnsi="Arial" w:cs="Arial"/>
                <w:noProof/>
                <w:sz w:val="24"/>
                <w:szCs w:val="24"/>
                <w:lang w:val="en-ZA"/>
              </w:rPr>
              <w:t>X.</w:t>
            </w:r>
            <w:r w:rsidRPr="009528A8">
              <w:rPr>
                <w:rFonts w:eastAsiaTheme="minorEastAsia"/>
                <w:noProof/>
                <w:szCs w:val="24"/>
                <w:lang w:val="fr-FR" w:eastAsia="fr-FR"/>
              </w:rPr>
              <w:tab/>
            </w:r>
            <w:r w:rsidRPr="009528A8">
              <w:rPr>
                <w:rStyle w:val="Hyperlink"/>
                <w:rFonts w:ascii="Arial" w:hAnsi="Arial" w:cs="Arial"/>
                <w:noProof/>
                <w:sz w:val="24"/>
                <w:szCs w:val="24"/>
                <w:lang w:val="en-ZA"/>
              </w:rPr>
              <w:t>OPERATIVE PART</w:t>
            </w:r>
            <w:r w:rsidRPr="009528A8">
              <w:rPr>
                <w:noProof/>
                <w:webHidden/>
                <w:szCs w:val="24"/>
              </w:rPr>
              <w:tab/>
            </w:r>
            <w:r w:rsidRPr="009528A8">
              <w:rPr>
                <w:noProof/>
                <w:webHidden/>
                <w:szCs w:val="24"/>
              </w:rPr>
              <w:fldChar w:fldCharType="begin"/>
            </w:r>
            <w:r w:rsidRPr="009528A8">
              <w:rPr>
                <w:noProof/>
                <w:webHidden/>
                <w:szCs w:val="24"/>
              </w:rPr>
              <w:instrText xml:space="preserve"> PAGEREF _Toc143594948 \h </w:instrText>
            </w:r>
            <w:r w:rsidRPr="009528A8">
              <w:rPr>
                <w:noProof/>
                <w:webHidden/>
                <w:szCs w:val="24"/>
              </w:rPr>
            </w:r>
            <w:r w:rsidRPr="009528A8">
              <w:rPr>
                <w:noProof/>
                <w:webHidden/>
                <w:szCs w:val="24"/>
              </w:rPr>
              <w:fldChar w:fldCharType="separate"/>
            </w:r>
            <w:r w:rsidRPr="009528A8">
              <w:rPr>
                <w:noProof/>
                <w:webHidden/>
                <w:szCs w:val="24"/>
              </w:rPr>
              <w:t>25</w:t>
            </w:r>
            <w:r w:rsidRPr="009528A8">
              <w:rPr>
                <w:noProof/>
                <w:webHidden/>
                <w:szCs w:val="24"/>
              </w:rPr>
              <w:fldChar w:fldCharType="end"/>
            </w:r>
          </w:hyperlink>
        </w:p>
        <w:p w14:paraId="6821EA1E" w14:textId="56845A89" w:rsidR="006064D9" w:rsidRPr="009528A8" w:rsidRDefault="006064D9" w:rsidP="002634E9">
          <w:pPr>
            <w:rPr>
              <w:szCs w:val="24"/>
            </w:rPr>
          </w:pPr>
          <w:r w:rsidRPr="009528A8">
            <w:rPr>
              <w:noProof/>
              <w:szCs w:val="24"/>
            </w:rPr>
            <w:fldChar w:fldCharType="end"/>
          </w:r>
        </w:p>
      </w:sdtContent>
    </w:sdt>
    <w:p w14:paraId="781F672C" w14:textId="77777777" w:rsidR="006064D9" w:rsidRPr="009528A8" w:rsidRDefault="006064D9" w:rsidP="002634E9">
      <w:pPr>
        <w:rPr>
          <w:szCs w:val="24"/>
        </w:rPr>
      </w:pPr>
    </w:p>
    <w:p w14:paraId="67C600DD" w14:textId="77777777" w:rsidR="006064D9" w:rsidRPr="009528A8" w:rsidRDefault="006064D9" w:rsidP="002634E9">
      <w:pPr>
        <w:rPr>
          <w:szCs w:val="24"/>
        </w:rPr>
      </w:pPr>
    </w:p>
    <w:p w14:paraId="321BFE1F" w14:textId="77777777" w:rsidR="006064D9" w:rsidRPr="009528A8" w:rsidRDefault="006064D9" w:rsidP="002634E9">
      <w:pPr>
        <w:rPr>
          <w:szCs w:val="24"/>
        </w:rPr>
      </w:pPr>
    </w:p>
    <w:p w14:paraId="4C6D2040" w14:textId="77777777" w:rsidR="00820207" w:rsidRPr="009528A8" w:rsidRDefault="00820207" w:rsidP="002634E9">
      <w:pPr>
        <w:rPr>
          <w:szCs w:val="24"/>
        </w:rPr>
        <w:sectPr w:rsidR="00820207" w:rsidRPr="009528A8" w:rsidSect="00F02123">
          <w:footerReference w:type="default" r:id="rId12"/>
          <w:pgSz w:w="11906" w:h="16838" w:code="9"/>
          <w:pgMar w:top="1418" w:right="1418" w:bottom="1418" w:left="1418" w:header="709" w:footer="709" w:gutter="0"/>
          <w:pgNumType w:fmt="lowerRoman" w:start="1"/>
          <w:cols w:space="708"/>
          <w:docGrid w:linePitch="360"/>
        </w:sectPr>
      </w:pPr>
    </w:p>
    <w:p w14:paraId="44E70185" w14:textId="58E78892" w:rsidR="006064D9" w:rsidRPr="009528A8" w:rsidRDefault="0019001D" w:rsidP="002634E9">
      <w:pPr>
        <w:rPr>
          <w:rFonts w:eastAsia="Arial"/>
          <w:szCs w:val="24"/>
        </w:rPr>
      </w:pPr>
      <w:r w:rsidRPr="009528A8">
        <w:rPr>
          <w:rFonts w:eastAsia="Arial"/>
          <w:bCs/>
          <w:szCs w:val="24"/>
        </w:rPr>
        <w:lastRenderedPageBreak/>
        <w:t xml:space="preserve">The Court composed of: </w:t>
      </w:r>
      <w:r w:rsidR="008F5E9D" w:rsidRPr="009528A8">
        <w:rPr>
          <w:rFonts w:eastAsia="Arial"/>
          <w:szCs w:val="24"/>
        </w:rPr>
        <w:t>Modibo SACKO</w:t>
      </w:r>
      <w:r w:rsidR="00CF3F67" w:rsidRPr="009528A8">
        <w:rPr>
          <w:rFonts w:eastAsia="Arial"/>
          <w:bCs/>
          <w:szCs w:val="24"/>
        </w:rPr>
        <w:t>,</w:t>
      </w:r>
      <w:r w:rsidRPr="009528A8">
        <w:rPr>
          <w:rFonts w:eastAsia="Arial"/>
          <w:bCs/>
          <w:szCs w:val="24"/>
        </w:rPr>
        <w:t xml:space="preserve"> Vice President</w:t>
      </w:r>
      <w:r w:rsidR="00CF3F67" w:rsidRPr="009528A8">
        <w:rPr>
          <w:rFonts w:eastAsia="Arial"/>
          <w:bCs/>
          <w:szCs w:val="24"/>
        </w:rPr>
        <w:t>;</w:t>
      </w:r>
      <w:r w:rsidRPr="009528A8">
        <w:rPr>
          <w:rFonts w:eastAsia="Arial"/>
          <w:bCs/>
          <w:szCs w:val="24"/>
        </w:rPr>
        <w:t xml:space="preserve"> </w:t>
      </w:r>
      <w:r w:rsidRPr="009528A8">
        <w:rPr>
          <w:rFonts w:eastAsia="Arial"/>
          <w:szCs w:val="24"/>
        </w:rPr>
        <w:t xml:space="preserve">Ben KIOKO, Rafaâ BEN ACHOUR, </w:t>
      </w:r>
      <w:r w:rsidRPr="009528A8">
        <w:rPr>
          <w:rFonts w:eastAsia="Arial"/>
          <w:bCs/>
          <w:szCs w:val="24"/>
        </w:rPr>
        <w:t>Suzanne MENGUE,</w:t>
      </w:r>
      <w:r w:rsidRPr="009528A8">
        <w:rPr>
          <w:rFonts w:eastAsia="Arial"/>
          <w:szCs w:val="24"/>
        </w:rPr>
        <w:t xml:space="preserve"> Tujilane R. CHIZUMILA, Chafika BENSAOULA, </w:t>
      </w:r>
      <w:r w:rsidR="00D27175" w:rsidRPr="009528A8">
        <w:rPr>
          <w:rFonts w:eastAsia="Arial"/>
          <w:bCs/>
          <w:szCs w:val="24"/>
        </w:rPr>
        <w:t>Blaise TCHIKAYA,</w:t>
      </w:r>
      <w:r w:rsidR="00D27175" w:rsidRPr="009528A8">
        <w:rPr>
          <w:rFonts w:eastAsia="Arial"/>
          <w:szCs w:val="24"/>
        </w:rPr>
        <w:t xml:space="preserve"> </w:t>
      </w:r>
      <w:r w:rsidRPr="009528A8">
        <w:rPr>
          <w:rFonts w:eastAsia="Arial"/>
          <w:szCs w:val="24"/>
        </w:rPr>
        <w:t xml:space="preserve">Stella I. ANUKAM, </w:t>
      </w:r>
      <w:r w:rsidR="008F5E9D" w:rsidRPr="009528A8">
        <w:rPr>
          <w:rFonts w:eastAsia="Arial"/>
          <w:szCs w:val="24"/>
        </w:rPr>
        <w:t xml:space="preserve"> </w:t>
      </w:r>
      <w:r w:rsidRPr="009528A8">
        <w:rPr>
          <w:rFonts w:eastAsia="Arial"/>
          <w:szCs w:val="24"/>
        </w:rPr>
        <w:t xml:space="preserve">Dumisa B. NTSEBEZA, Dennis D. ADJEI </w:t>
      </w:r>
      <w:r w:rsidR="000D5C38" w:rsidRPr="009528A8">
        <w:rPr>
          <w:rFonts w:eastAsia="Arial"/>
          <w:szCs w:val="24"/>
        </w:rPr>
        <w:t>–</w:t>
      </w:r>
      <w:r w:rsidRPr="009528A8">
        <w:rPr>
          <w:rFonts w:eastAsia="Arial"/>
          <w:szCs w:val="24"/>
        </w:rPr>
        <w:t xml:space="preserve"> </w:t>
      </w:r>
      <w:r w:rsidRPr="009528A8">
        <w:rPr>
          <w:rFonts w:eastAsia="Arial"/>
          <w:bCs/>
          <w:szCs w:val="24"/>
        </w:rPr>
        <w:t>Judges</w:t>
      </w:r>
      <w:r w:rsidRPr="009528A8">
        <w:rPr>
          <w:rFonts w:eastAsia="Arial"/>
          <w:szCs w:val="24"/>
        </w:rPr>
        <w:t>; and Robert ENO, Registrar.</w:t>
      </w:r>
    </w:p>
    <w:p w14:paraId="63680945" w14:textId="77777777" w:rsidR="004B6A87" w:rsidRPr="009528A8" w:rsidRDefault="004B6A87" w:rsidP="002634E9">
      <w:pPr>
        <w:rPr>
          <w:rFonts w:eastAsia="Arial"/>
          <w:szCs w:val="24"/>
        </w:rPr>
      </w:pPr>
    </w:p>
    <w:p w14:paraId="2A3CD1A7" w14:textId="6B0B6C60" w:rsidR="00E65145" w:rsidRPr="009528A8" w:rsidRDefault="00E65145" w:rsidP="002634E9">
      <w:pPr>
        <w:rPr>
          <w:szCs w:val="24"/>
        </w:rPr>
      </w:pPr>
      <w:r w:rsidRPr="009528A8">
        <w:rPr>
          <w:rFonts w:eastAsia="Arial"/>
          <w:szCs w:val="24"/>
        </w:rPr>
        <w:t>In accordance with Article 22 of the Protocol to the African Charter on Human and Peoples</w:t>
      </w:r>
      <w:r w:rsidR="00E857F7" w:rsidRPr="009528A8">
        <w:rPr>
          <w:rFonts w:eastAsia="Arial"/>
          <w:szCs w:val="24"/>
        </w:rPr>
        <w:t>’</w:t>
      </w:r>
      <w:r w:rsidRPr="009528A8">
        <w:rPr>
          <w:rFonts w:eastAsia="Arial"/>
          <w:szCs w:val="24"/>
        </w:rPr>
        <w:t xml:space="preserve"> Rights on the Establishment of an African Court on Human and Peoples</w:t>
      </w:r>
      <w:r w:rsidR="00E857F7" w:rsidRPr="009528A8">
        <w:rPr>
          <w:rFonts w:eastAsia="Arial"/>
          <w:szCs w:val="24"/>
        </w:rPr>
        <w:t>’</w:t>
      </w:r>
      <w:r w:rsidRPr="009528A8">
        <w:rPr>
          <w:rFonts w:eastAsia="Arial"/>
          <w:szCs w:val="24"/>
        </w:rPr>
        <w:t xml:space="preserve"> Rights (hereinafter referred to as “the Protocol”) and Rule 9(2) of the Rules of Court (hereinafter referred to as “the Rules”),</w:t>
      </w:r>
      <w:r w:rsidRPr="009528A8">
        <w:rPr>
          <w:rFonts w:eastAsia="Arial"/>
          <w:szCs w:val="24"/>
          <w:vertAlign w:val="superscript"/>
        </w:rPr>
        <w:footnoteReference w:id="1"/>
      </w:r>
      <w:r w:rsidRPr="009528A8">
        <w:rPr>
          <w:rFonts w:eastAsia="Arial"/>
          <w:szCs w:val="24"/>
        </w:rPr>
        <w:t xml:space="preserve"> Justice Imani D. ABOUD, President of the Court and a national of Tanzania, did not hear the </w:t>
      </w:r>
      <w:r w:rsidR="00E17563" w:rsidRPr="009528A8">
        <w:rPr>
          <w:rFonts w:eastAsia="Arial"/>
          <w:szCs w:val="24"/>
        </w:rPr>
        <w:t>a</w:t>
      </w:r>
      <w:r w:rsidRPr="009528A8">
        <w:rPr>
          <w:rFonts w:eastAsia="Arial"/>
          <w:szCs w:val="24"/>
        </w:rPr>
        <w:t>pplication.</w:t>
      </w:r>
    </w:p>
    <w:p w14:paraId="371BC8F7" w14:textId="77777777" w:rsidR="006064D9" w:rsidRPr="009528A8" w:rsidRDefault="006064D9" w:rsidP="002634E9">
      <w:pPr>
        <w:rPr>
          <w:szCs w:val="24"/>
        </w:rPr>
      </w:pPr>
    </w:p>
    <w:p w14:paraId="5F4A28F5" w14:textId="3F678AFC" w:rsidR="006064D9" w:rsidRPr="009528A8" w:rsidRDefault="006064D9" w:rsidP="002634E9">
      <w:pPr>
        <w:rPr>
          <w:szCs w:val="24"/>
        </w:rPr>
      </w:pPr>
      <w:r w:rsidRPr="009528A8">
        <w:rPr>
          <w:szCs w:val="24"/>
        </w:rPr>
        <w:t>In the Matter of:</w:t>
      </w:r>
    </w:p>
    <w:p w14:paraId="03F6512D" w14:textId="77777777" w:rsidR="00E02C42" w:rsidRPr="009528A8" w:rsidRDefault="00E02C42" w:rsidP="002634E9">
      <w:pPr>
        <w:rPr>
          <w:szCs w:val="24"/>
        </w:rPr>
      </w:pPr>
    </w:p>
    <w:p w14:paraId="3FE2AD0E" w14:textId="2D8CAC58" w:rsidR="006064D9" w:rsidRPr="009528A8" w:rsidRDefault="006064D9" w:rsidP="002634E9">
      <w:pPr>
        <w:rPr>
          <w:szCs w:val="24"/>
        </w:rPr>
      </w:pPr>
      <w:r w:rsidRPr="009528A8">
        <w:rPr>
          <w:szCs w:val="24"/>
        </w:rPr>
        <w:t>Jackson GODWIN</w:t>
      </w:r>
    </w:p>
    <w:p w14:paraId="4DCCA56A" w14:textId="77777777" w:rsidR="00DA07FF" w:rsidRPr="009528A8" w:rsidRDefault="00DA07FF" w:rsidP="002634E9">
      <w:pPr>
        <w:rPr>
          <w:i/>
          <w:iCs/>
          <w:szCs w:val="24"/>
        </w:rPr>
      </w:pPr>
    </w:p>
    <w:p w14:paraId="3A0EB678" w14:textId="0DECBAF3" w:rsidR="00E02C42" w:rsidRPr="009528A8" w:rsidRDefault="006064D9" w:rsidP="002634E9">
      <w:pPr>
        <w:rPr>
          <w:i/>
          <w:iCs/>
          <w:szCs w:val="24"/>
        </w:rPr>
      </w:pPr>
      <w:r w:rsidRPr="009528A8">
        <w:rPr>
          <w:i/>
          <w:iCs/>
          <w:szCs w:val="24"/>
        </w:rPr>
        <w:t>Self</w:t>
      </w:r>
      <w:r w:rsidR="00DA07FF" w:rsidRPr="009528A8">
        <w:rPr>
          <w:i/>
          <w:iCs/>
          <w:szCs w:val="24"/>
        </w:rPr>
        <w:t>-</w:t>
      </w:r>
      <w:r w:rsidRPr="009528A8">
        <w:rPr>
          <w:i/>
          <w:iCs/>
          <w:szCs w:val="24"/>
        </w:rPr>
        <w:t>represented</w:t>
      </w:r>
    </w:p>
    <w:p w14:paraId="7D55F37E" w14:textId="77777777" w:rsidR="00DA07FF" w:rsidRPr="009528A8" w:rsidRDefault="00DA07FF" w:rsidP="002634E9">
      <w:pPr>
        <w:rPr>
          <w:szCs w:val="24"/>
        </w:rPr>
      </w:pPr>
    </w:p>
    <w:p w14:paraId="53036645" w14:textId="3EF2A2A2" w:rsidR="006064D9" w:rsidRPr="009528A8" w:rsidRDefault="006064D9" w:rsidP="002634E9">
      <w:pPr>
        <w:rPr>
          <w:szCs w:val="24"/>
        </w:rPr>
      </w:pPr>
      <w:r w:rsidRPr="009528A8">
        <w:rPr>
          <w:szCs w:val="24"/>
        </w:rPr>
        <w:t>Versus</w:t>
      </w:r>
    </w:p>
    <w:p w14:paraId="5D12597E" w14:textId="77777777" w:rsidR="00DA07FF" w:rsidRPr="009528A8" w:rsidRDefault="00DA07FF" w:rsidP="002634E9">
      <w:pPr>
        <w:rPr>
          <w:szCs w:val="24"/>
        </w:rPr>
      </w:pPr>
    </w:p>
    <w:p w14:paraId="44774367" w14:textId="656B3663" w:rsidR="006064D9" w:rsidRPr="009528A8" w:rsidRDefault="006064D9" w:rsidP="002634E9">
      <w:pPr>
        <w:rPr>
          <w:szCs w:val="24"/>
        </w:rPr>
      </w:pPr>
      <w:r w:rsidRPr="009528A8">
        <w:rPr>
          <w:szCs w:val="24"/>
        </w:rPr>
        <w:t>UNITED REPUBLIC OF TANZANIA</w:t>
      </w:r>
    </w:p>
    <w:p w14:paraId="76BB817F" w14:textId="77777777" w:rsidR="007C215C" w:rsidRPr="009528A8" w:rsidRDefault="007C215C" w:rsidP="002634E9">
      <w:pPr>
        <w:rPr>
          <w:i/>
          <w:iCs/>
          <w:szCs w:val="24"/>
        </w:rPr>
      </w:pPr>
    </w:p>
    <w:p w14:paraId="2E619432" w14:textId="772C3A0A" w:rsidR="006064D9" w:rsidRPr="009528A8" w:rsidRDefault="006064D9" w:rsidP="002634E9">
      <w:pPr>
        <w:rPr>
          <w:i/>
          <w:iCs/>
          <w:szCs w:val="24"/>
        </w:rPr>
      </w:pPr>
      <w:r w:rsidRPr="009528A8">
        <w:rPr>
          <w:i/>
          <w:iCs/>
          <w:szCs w:val="24"/>
        </w:rPr>
        <w:t>Represented by:</w:t>
      </w:r>
    </w:p>
    <w:p w14:paraId="30EC6004" w14:textId="77777777" w:rsidR="007C215C" w:rsidRPr="009528A8" w:rsidRDefault="007C215C" w:rsidP="002634E9">
      <w:pPr>
        <w:rPr>
          <w:i/>
          <w:iCs/>
          <w:szCs w:val="24"/>
        </w:rPr>
      </w:pPr>
    </w:p>
    <w:p w14:paraId="18409987" w14:textId="21FB4304" w:rsidR="000D5C38" w:rsidRPr="009528A8" w:rsidRDefault="00781CE7" w:rsidP="002634E9">
      <w:pPr>
        <w:rPr>
          <w:szCs w:val="24"/>
          <w:lang w:val="en-ZA"/>
        </w:rPr>
      </w:pPr>
      <w:r w:rsidRPr="009528A8">
        <w:rPr>
          <w:szCs w:val="24"/>
        </w:rPr>
        <w:t xml:space="preserve">Dr Boniphace </w:t>
      </w:r>
      <w:r w:rsidR="00312D91" w:rsidRPr="009528A8">
        <w:rPr>
          <w:szCs w:val="24"/>
        </w:rPr>
        <w:t xml:space="preserve">NALIJA </w:t>
      </w:r>
      <w:r w:rsidRPr="009528A8">
        <w:rPr>
          <w:szCs w:val="24"/>
        </w:rPr>
        <w:t xml:space="preserve">LUHENDE, </w:t>
      </w:r>
      <w:r w:rsidR="000D5C38" w:rsidRPr="009528A8">
        <w:rPr>
          <w:szCs w:val="24"/>
          <w:lang w:val="en-ZA"/>
        </w:rPr>
        <w:t xml:space="preserve">Solicitor General, Office of the Solicitor General; </w:t>
      </w:r>
    </w:p>
    <w:p w14:paraId="707F0A78" w14:textId="296B664E" w:rsidR="006064D9" w:rsidRPr="009528A8" w:rsidRDefault="006064D9" w:rsidP="002634E9">
      <w:pPr>
        <w:rPr>
          <w:szCs w:val="24"/>
        </w:rPr>
      </w:pPr>
      <w:r w:rsidRPr="009528A8">
        <w:rPr>
          <w:szCs w:val="24"/>
        </w:rPr>
        <w:t xml:space="preserve">Ms Sarah Duncan MWAIPOPO, Deputy Solicitor General, Office of the Solicitor General; </w:t>
      </w:r>
    </w:p>
    <w:p w14:paraId="54C1824C" w14:textId="77777777" w:rsidR="006064D9" w:rsidRPr="009528A8" w:rsidRDefault="006064D9" w:rsidP="002634E9">
      <w:pPr>
        <w:rPr>
          <w:szCs w:val="24"/>
        </w:rPr>
      </w:pPr>
      <w:r w:rsidRPr="009528A8">
        <w:rPr>
          <w:szCs w:val="24"/>
        </w:rPr>
        <w:t xml:space="preserve">Mr. Baraka LUVANDA, Ambassador, Head of Legal Unit, </w:t>
      </w:r>
      <w:bookmarkStart w:id="1" w:name="_Hlk130455279"/>
      <w:r w:rsidRPr="009528A8">
        <w:rPr>
          <w:szCs w:val="24"/>
        </w:rPr>
        <w:t xml:space="preserve">Ministry of Foreign Affairs and East Africa Cooperation; </w:t>
      </w:r>
      <w:bookmarkEnd w:id="1"/>
    </w:p>
    <w:p w14:paraId="1EB07C3F" w14:textId="2E3EAEA5" w:rsidR="006064D9" w:rsidRPr="009528A8" w:rsidRDefault="006064D9" w:rsidP="002634E9">
      <w:pPr>
        <w:rPr>
          <w:szCs w:val="24"/>
        </w:rPr>
      </w:pPr>
      <w:r w:rsidRPr="009528A8">
        <w:rPr>
          <w:szCs w:val="24"/>
        </w:rPr>
        <w:t>Ms. Nkasori SARAKIKYA, Assistant Director, Human Rights, Principal State Attorney, Attorney General</w:t>
      </w:r>
      <w:r w:rsidR="00E857F7" w:rsidRPr="009528A8">
        <w:rPr>
          <w:szCs w:val="24"/>
        </w:rPr>
        <w:t>’</w:t>
      </w:r>
      <w:r w:rsidRPr="009528A8">
        <w:rPr>
          <w:szCs w:val="24"/>
        </w:rPr>
        <w:t xml:space="preserve">s Chambers; </w:t>
      </w:r>
      <w:r w:rsidR="0029376C" w:rsidRPr="009528A8">
        <w:rPr>
          <w:szCs w:val="24"/>
        </w:rPr>
        <w:t>and</w:t>
      </w:r>
    </w:p>
    <w:p w14:paraId="25F9B62C" w14:textId="77777777" w:rsidR="006064D9" w:rsidRPr="009528A8" w:rsidRDefault="006064D9" w:rsidP="002634E9">
      <w:pPr>
        <w:rPr>
          <w:szCs w:val="24"/>
          <w:lang w:val="en-ZA"/>
        </w:rPr>
      </w:pPr>
      <w:r w:rsidRPr="009528A8">
        <w:rPr>
          <w:szCs w:val="24"/>
        </w:rPr>
        <w:t>Ms</w:t>
      </w:r>
      <w:r w:rsidRPr="009528A8">
        <w:rPr>
          <w:szCs w:val="24"/>
          <w:lang w:val="en-ZA"/>
        </w:rPr>
        <w:t>. Blandina KASAGAMA, Legal Officer, Ministry of Foreign Affairs and East Africa Cooperation</w:t>
      </w:r>
    </w:p>
    <w:p w14:paraId="733C082E" w14:textId="77777777" w:rsidR="006B5F9E" w:rsidRPr="009528A8" w:rsidRDefault="006B5F9E" w:rsidP="002634E9">
      <w:pPr>
        <w:rPr>
          <w:szCs w:val="24"/>
        </w:rPr>
      </w:pPr>
    </w:p>
    <w:p w14:paraId="61972CCA" w14:textId="75F28097" w:rsidR="006064D9" w:rsidRPr="009528A8" w:rsidRDefault="006064D9" w:rsidP="002634E9">
      <w:pPr>
        <w:rPr>
          <w:szCs w:val="24"/>
        </w:rPr>
      </w:pPr>
      <w:r w:rsidRPr="009528A8">
        <w:rPr>
          <w:szCs w:val="24"/>
        </w:rPr>
        <w:t>After deliberation,</w:t>
      </w:r>
    </w:p>
    <w:p w14:paraId="5C24F533" w14:textId="77777777" w:rsidR="007C215C" w:rsidRPr="009528A8" w:rsidRDefault="007C215C" w:rsidP="002634E9">
      <w:pPr>
        <w:rPr>
          <w:i/>
          <w:iCs/>
          <w:szCs w:val="24"/>
        </w:rPr>
      </w:pPr>
    </w:p>
    <w:p w14:paraId="7F9E2C74" w14:textId="6A2E7EEC" w:rsidR="006064D9" w:rsidRPr="009528A8" w:rsidRDefault="007C215C" w:rsidP="002634E9">
      <w:pPr>
        <w:rPr>
          <w:i/>
          <w:iCs/>
          <w:szCs w:val="24"/>
        </w:rPr>
      </w:pPr>
      <w:r w:rsidRPr="009528A8">
        <w:rPr>
          <w:i/>
          <w:iCs/>
          <w:szCs w:val="24"/>
        </w:rPr>
        <w:t xml:space="preserve">Renders </w:t>
      </w:r>
      <w:r w:rsidR="006064D9" w:rsidRPr="009528A8">
        <w:rPr>
          <w:i/>
          <w:iCs/>
          <w:szCs w:val="24"/>
        </w:rPr>
        <w:t>th</w:t>
      </w:r>
      <w:r w:rsidR="000D5C38" w:rsidRPr="009528A8">
        <w:rPr>
          <w:i/>
          <w:iCs/>
          <w:szCs w:val="24"/>
        </w:rPr>
        <w:t>is</w:t>
      </w:r>
      <w:r w:rsidR="006064D9" w:rsidRPr="009528A8">
        <w:rPr>
          <w:i/>
          <w:iCs/>
          <w:szCs w:val="24"/>
        </w:rPr>
        <w:t xml:space="preserve"> </w:t>
      </w:r>
      <w:r w:rsidR="000D5C38" w:rsidRPr="009528A8">
        <w:rPr>
          <w:i/>
          <w:iCs/>
          <w:szCs w:val="24"/>
        </w:rPr>
        <w:t>J</w:t>
      </w:r>
      <w:r w:rsidR="006064D9" w:rsidRPr="009528A8">
        <w:rPr>
          <w:i/>
          <w:iCs/>
          <w:szCs w:val="24"/>
        </w:rPr>
        <w:t>udgment:</w:t>
      </w:r>
    </w:p>
    <w:p w14:paraId="721C4DA2" w14:textId="77777777" w:rsidR="006064D9" w:rsidRPr="009528A8" w:rsidRDefault="006064D9" w:rsidP="002634E9">
      <w:pPr>
        <w:rPr>
          <w:i/>
          <w:iCs/>
          <w:szCs w:val="24"/>
        </w:rPr>
      </w:pPr>
    </w:p>
    <w:p w14:paraId="05C71026" w14:textId="77777777" w:rsidR="00C16AE8" w:rsidRPr="009528A8" w:rsidRDefault="00C16AE8" w:rsidP="002634E9">
      <w:pPr>
        <w:rPr>
          <w:i/>
          <w:iCs/>
          <w:szCs w:val="24"/>
        </w:rPr>
      </w:pPr>
    </w:p>
    <w:p w14:paraId="4D47E03E" w14:textId="77777777" w:rsidR="00643F0F" w:rsidRPr="009528A8" w:rsidRDefault="006064D9" w:rsidP="002634E9">
      <w:bookmarkStart w:id="2" w:name="_Toc143594928"/>
      <w:r w:rsidRPr="009528A8">
        <w:t>THE PARTIES</w:t>
      </w:r>
      <w:bookmarkEnd w:id="2"/>
    </w:p>
    <w:p w14:paraId="19AB413B" w14:textId="77777777" w:rsidR="00C20224" w:rsidRPr="009528A8" w:rsidRDefault="00C20224" w:rsidP="002634E9"/>
    <w:p w14:paraId="42556700" w14:textId="6C67F734" w:rsidR="00643F0F" w:rsidRPr="009528A8" w:rsidRDefault="000D5C38" w:rsidP="002634E9">
      <w:pPr>
        <w:rPr>
          <w:bCs/>
          <w:szCs w:val="24"/>
        </w:rPr>
      </w:pPr>
      <w:r w:rsidRPr="009528A8">
        <w:rPr>
          <w:szCs w:val="24"/>
        </w:rPr>
        <w:t xml:space="preserve">Mr </w:t>
      </w:r>
      <w:r w:rsidR="00643F0F" w:rsidRPr="009528A8">
        <w:rPr>
          <w:szCs w:val="24"/>
        </w:rPr>
        <w:t>J</w:t>
      </w:r>
      <w:r w:rsidR="007C1891" w:rsidRPr="009528A8">
        <w:rPr>
          <w:szCs w:val="24"/>
        </w:rPr>
        <w:t>ackson Godwin</w:t>
      </w:r>
      <w:r w:rsidR="006064D9" w:rsidRPr="009528A8">
        <w:rPr>
          <w:szCs w:val="24"/>
        </w:rPr>
        <w:t xml:space="preserve"> (hereinafter referred to as “the Applicant”) is a </w:t>
      </w:r>
      <w:r w:rsidR="006064D9" w:rsidRPr="009528A8">
        <w:rPr>
          <w:szCs w:val="24"/>
          <w:lang w:val="en-ZA"/>
        </w:rPr>
        <w:t>Tanzanian national who, at the time of filing this Application, was serving</w:t>
      </w:r>
      <w:r w:rsidR="00AA5A33" w:rsidRPr="009528A8">
        <w:rPr>
          <w:szCs w:val="24"/>
          <w:lang w:val="en-ZA"/>
        </w:rPr>
        <w:t xml:space="preserve"> two</w:t>
      </w:r>
      <w:r w:rsidR="007C1891" w:rsidRPr="009528A8">
        <w:rPr>
          <w:szCs w:val="24"/>
          <w:lang w:val="en-ZA"/>
        </w:rPr>
        <w:t xml:space="preserve"> </w:t>
      </w:r>
      <w:r w:rsidR="00025DF2" w:rsidRPr="009528A8">
        <w:rPr>
          <w:szCs w:val="24"/>
          <w:lang w:val="en-ZA"/>
        </w:rPr>
        <w:t>concurrent</w:t>
      </w:r>
      <w:r w:rsidR="006064D9" w:rsidRPr="009528A8">
        <w:rPr>
          <w:szCs w:val="24"/>
          <w:lang w:val="en-ZA"/>
        </w:rPr>
        <w:t xml:space="preserve"> </w:t>
      </w:r>
      <w:r w:rsidR="00025DF2" w:rsidRPr="009528A8">
        <w:rPr>
          <w:szCs w:val="24"/>
          <w:lang w:val="en-ZA"/>
        </w:rPr>
        <w:t>thirty</w:t>
      </w:r>
      <w:r w:rsidRPr="009528A8">
        <w:rPr>
          <w:szCs w:val="24"/>
          <w:lang w:val="en-ZA"/>
        </w:rPr>
        <w:t xml:space="preserve"> (30)</w:t>
      </w:r>
      <w:r w:rsidR="00025DF2" w:rsidRPr="009528A8">
        <w:rPr>
          <w:szCs w:val="24"/>
          <w:lang w:val="en-ZA"/>
        </w:rPr>
        <w:t>-year</w:t>
      </w:r>
      <w:r w:rsidR="006064D9" w:rsidRPr="009528A8">
        <w:rPr>
          <w:szCs w:val="24"/>
          <w:lang w:val="en-ZA"/>
        </w:rPr>
        <w:t xml:space="preserve"> sentence</w:t>
      </w:r>
      <w:r w:rsidR="00025DF2" w:rsidRPr="009528A8">
        <w:rPr>
          <w:szCs w:val="24"/>
          <w:lang w:val="en-ZA"/>
        </w:rPr>
        <w:t>s</w:t>
      </w:r>
      <w:r w:rsidR="00A45965" w:rsidRPr="009528A8">
        <w:rPr>
          <w:szCs w:val="24"/>
          <w:lang w:val="en-ZA"/>
        </w:rPr>
        <w:t xml:space="preserve"> of imprisonment</w:t>
      </w:r>
      <w:r w:rsidR="006064D9" w:rsidRPr="009528A8">
        <w:rPr>
          <w:szCs w:val="24"/>
          <w:lang w:val="en-ZA"/>
        </w:rPr>
        <w:t xml:space="preserve"> at Butimba Central Prison</w:t>
      </w:r>
      <w:r w:rsidR="007133E2" w:rsidRPr="009528A8">
        <w:rPr>
          <w:szCs w:val="24"/>
          <w:lang w:val="en-ZA"/>
        </w:rPr>
        <w:t>,</w:t>
      </w:r>
      <w:r w:rsidR="006064D9" w:rsidRPr="009528A8">
        <w:rPr>
          <w:szCs w:val="24"/>
          <w:lang w:val="en-ZA"/>
        </w:rPr>
        <w:t xml:space="preserve"> in Mwanza after he was convicted of</w:t>
      </w:r>
      <w:r w:rsidR="007C1891" w:rsidRPr="009528A8">
        <w:rPr>
          <w:szCs w:val="24"/>
          <w:lang w:val="en-ZA"/>
        </w:rPr>
        <w:t xml:space="preserve"> armed robbery and rape</w:t>
      </w:r>
      <w:r w:rsidR="006064D9" w:rsidRPr="009528A8">
        <w:rPr>
          <w:szCs w:val="24"/>
          <w:lang w:val="en-ZA"/>
        </w:rPr>
        <w:t>. The Applicant alleges the violation of his rights before domestic courts</w:t>
      </w:r>
      <w:r w:rsidR="00643F0F" w:rsidRPr="009528A8">
        <w:rPr>
          <w:szCs w:val="24"/>
          <w:lang w:val="en-ZA"/>
        </w:rPr>
        <w:t>.</w:t>
      </w:r>
    </w:p>
    <w:p w14:paraId="61776348" w14:textId="77777777" w:rsidR="00643F0F" w:rsidRPr="009528A8" w:rsidRDefault="00643F0F" w:rsidP="002634E9">
      <w:pPr>
        <w:rPr>
          <w:bCs/>
          <w:szCs w:val="24"/>
        </w:rPr>
      </w:pPr>
    </w:p>
    <w:p w14:paraId="56D83566" w14:textId="3049836E" w:rsidR="002923EE" w:rsidRPr="009528A8" w:rsidRDefault="006064D9" w:rsidP="002634E9">
      <w:pPr>
        <w:rPr>
          <w:bCs/>
          <w:szCs w:val="24"/>
        </w:rPr>
      </w:pPr>
      <w:r w:rsidRPr="009528A8">
        <w:rPr>
          <w:rFonts w:eastAsia="Arial"/>
          <w:szCs w:val="24"/>
        </w:rPr>
        <w:t xml:space="preserve">The </w:t>
      </w:r>
      <w:r w:rsidR="002C3BD4" w:rsidRPr="009528A8">
        <w:rPr>
          <w:rFonts w:eastAsia="Arial"/>
          <w:szCs w:val="24"/>
        </w:rPr>
        <w:t>a</w:t>
      </w:r>
      <w:r w:rsidRPr="009528A8">
        <w:rPr>
          <w:rFonts w:eastAsia="Arial"/>
          <w:szCs w:val="24"/>
        </w:rPr>
        <w:t>pplication is filed against the United Republic of Tanzania (hereinafter referred to as “the Respondent State”), which became a Party to the African Charter on Human and Peoples</w:t>
      </w:r>
      <w:r w:rsidR="00E857F7" w:rsidRPr="009528A8">
        <w:rPr>
          <w:rFonts w:eastAsia="Arial"/>
          <w:szCs w:val="24"/>
        </w:rPr>
        <w:t>’</w:t>
      </w:r>
      <w:r w:rsidRPr="009528A8">
        <w:rPr>
          <w:rFonts w:eastAsia="Arial"/>
          <w:szCs w:val="24"/>
        </w:rPr>
        <w:t xml:space="preserve"> Rights (hereinafter referred to as “the Charter”) on 21 October 1986 and to the Protocol on 10 February 2006. Furthermore, on 29 March 2010, the Respondent State deposited the Declaration prescribed under Article 34(6) of the Protocol</w:t>
      </w:r>
      <w:r w:rsidR="005B5BB7" w:rsidRPr="009528A8">
        <w:rPr>
          <w:rFonts w:eastAsia="Arial"/>
          <w:szCs w:val="24"/>
        </w:rPr>
        <w:t xml:space="preserve"> (hereinafter referred to as “the Declaration”)</w:t>
      </w:r>
      <w:r w:rsidRPr="009528A8">
        <w:rPr>
          <w:rFonts w:eastAsia="Arial"/>
          <w:szCs w:val="24"/>
        </w:rPr>
        <w:t>, through which it accepted the jurisdiction of the Court to receive applications from Individuals and Non-Governmental Organisations</w:t>
      </w:r>
      <w:r w:rsidR="00495B9C" w:rsidRPr="009528A8">
        <w:rPr>
          <w:rFonts w:eastAsia="Arial"/>
          <w:szCs w:val="24"/>
        </w:rPr>
        <w:t xml:space="preserve"> (hereinafter</w:t>
      </w:r>
      <w:r w:rsidR="00AA5A33" w:rsidRPr="009528A8">
        <w:rPr>
          <w:rFonts w:eastAsia="Arial"/>
          <w:szCs w:val="24"/>
        </w:rPr>
        <w:t xml:space="preserve"> referred to as</w:t>
      </w:r>
      <w:r w:rsidR="00495B9C" w:rsidRPr="009528A8">
        <w:rPr>
          <w:rFonts w:eastAsia="Arial"/>
          <w:szCs w:val="24"/>
        </w:rPr>
        <w:t xml:space="preserve"> </w:t>
      </w:r>
      <w:r w:rsidR="00AA5A33" w:rsidRPr="009528A8">
        <w:rPr>
          <w:rFonts w:eastAsia="Arial"/>
          <w:szCs w:val="24"/>
        </w:rPr>
        <w:t>“</w:t>
      </w:r>
      <w:r w:rsidR="00495B9C" w:rsidRPr="009528A8">
        <w:rPr>
          <w:rFonts w:eastAsia="Arial"/>
          <w:szCs w:val="24"/>
        </w:rPr>
        <w:t>NGO</w:t>
      </w:r>
      <w:r w:rsidR="001E55AB" w:rsidRPr="009528A8">
        <w:rPr>
          <w:rFonts w:eastAsia="Arial"/>
          <w:szCs w:val="24"/>
        </w:rPr>
        <w:t>s</w:t>
      </w:r>
      <w:r w:rsidR="00AA5A33" w:rsidRPr="009528A8">
        <w:rPr>
          <w:rFonts w:eastAsia="Arial"/>
          <w:szCs w:val="24"/>
        </w:rPr>
        <w:t>”</w:t>
      </w:r>
      <w:r w:rsidR="00495B9C" w:rsidRPr="009528A8">
        <w:rPr>
          <w:rFonts w:eastAsia="Arial"/>
          <w:szCs w:val="24"/>
        </w:rPr>
        <w:t>)</w:t>
      </w:r>
      <w:r w:rsidR="005B5BB7" w:rsidRPr="009528A8">
        <w:rPr>
          <w:rFonts w:eastAsia="Arial"/>
          <w:szCs w:val="24"/>
        </w:rPr>
        <w:t xml:space="preserve">. </w:t>
      </w:r>
      <w:r w:rsidRPr="009528A8">
        <w:rPr>
          <w:rFonts w:eastAsia="Arial"/>
          <w:szCs w:val="24"/>
        </w:rPr>
        <w:t>On 21 November 2019, the Respondent State deposited, with the African Union Commission, an instrument withdrawing the said Declaration. The Court has held that this withdrawal has no bearing on pending cases and new cases filed before 22 November 2020, which is the day on which the withdrawal took effect, being a period of one year after its deposit.</w:t>
      </w:r>
      <w:r w:rsidRPr="009528A8">
        <w:rPr>
          <w:szCs w:val="24"/>
          <w:vertAlign w:val="superscript"/>
        </w:rPr>
        <w:footnoteReference w:id="2"/>
      </w:r>
    </w:p>
    <w:p w14:paraId="1B331D68" w14:textId="652E2906" w:rsidR="00BE49FB" w:rsidRPr="009528A8" w:rsidRDefault="00BE49FB" w:rsidP="002634E9">
      <w:pPr>
        <w:rPr>
          <w:bCs/>
          <w:szCs w:val="24"/>
        </w:rPr>
      </w:pPr>
    </w:p>
    <w:p w14:paraId="36E8BA73" w14:textId="1EC0BB1B" w:rsidR="00CF0CEE" w:rsidRPr="009528A8" w:rsidRDefault="00CF0CEE" w:rsidP="002634E9">
      <w:pPr>
        <w:rPr>
          <w:bCs/>
          <w:szCs w:val="24"/>
        </w:rPr>
      </w:pPr>
    </w:p>
    <w:p w14:paraId="27B85416" w14:textId="2767143F" w:rsidR="006064D9" w:rsidRPr="009528A8" w:rsidRDefault="006064D9" w:rsidP="002634E9">
      <w:pPr>
        <w:rPr>
          <w:lang w:val="en-ZA"/>
        </w:rPr>
      </w:pPr>
      <w:bookmarkStart w:id="4" w:name="_Toc143594929"/>
      <w:r w:rsidRPr="009528A8">
        <w:rPr>
          <w:lang w:val="en-ZA"/>
        </w:rPr>
        <w:t>SUBJECT OF THE APPLICATION</w:t>
      </w:r>
      <w:bookmarkEnd w:id="4"/>
    </w:p>
    <w:p w14:paraId="657E9BBE" w14:textId="77777777" w:rsidR="006064D9" w:rsidRPr="009528A8" w:rsidRDefault="006064D9" w:rsidP="002634E9">
      <w:pPr>
        <w:rPr>
          <w:bCs/>
          <w:szCs w:val="24"/>
        </w:rPr>
      </w:pPr>
    </w:p>
    <w:p w14:paraId="4529BA5D" w14:textId="77777777" w:rsidR="006064D9" w:rsidRPr="009528A8" w:rsidRDefault="006064D9" w:rsidP="002634E9">
      <w:bookmarkStart w:id="5" w:name="_Toc143594930"/>
      <w:r w:rsidRPr="009528A8">
        <w:t>Facts of the matter</w:t>
      </w:r>
      <w:bookmarkEnd w:id="5"/>
    </w:p>
    <w:p w14:paraId="416D952D" w14:textId="77777777" w:rsidR="00295BE4" w:rsidRPr="009528A8" w:rsidRDefault="00295BE4" w:rsidP="002634E9"/>
    <w:p w14:paraId="28ED3F69" w14:textId="0F43E3D0" w:rsidR="00643F0F" w:rsidRPr="009528A8" w:rsidRDefault="006064D9" w:rsidP="002634E9">
      <w:pPr>
        <w:rPr>
          <w:rFonts w:eastAsia="Arial"/>
          <w:szCs w:val="24"/>
        </w:rPr>
      </w:pPr>
      <w:r w:rsidRPr="009528A8">
        <w:rPr>
          <w:rFonts w:eastAsia="Arial"/>
          <w:szCs w:val="24"/>
        </w:rPr>
        <w:t>It emerges from the record that</w:t>
      </w:r>
      <w:r w:rsidR="00F31879" w:rsidRPr="009528A8">
        <w:rPr>
          <w:rFonts w:eastAsia="Arial"/>
          <w:szCs w:val="24"/>
        </w:rPr>
        <w:t>, on 21 April 2013,</w:t>
      </w:r>
      <w:r w:rsidRPr="009528A8">
        <w:rPr>
          <w:rFonts w:eastAsia="Arial"/>
          <w:szCs w:val="24"/>
        </w:rPr>
        <w:t xml:space="preserve"> the Applicant </w:t>
      </w:r>
      <w:r w:rsidR="00057B6C" w:rsidRPr="009528A8">
        <w:rPr>
          <w:rFonts w:eastAsia="Arial"/>
          <w:szCs w:val="24"/>
        </w:rPr>
        <w:t>accompanied by other perpetrators</w:t>
      </w:r>
      <w:r w:rsidR="00A45965" w:rsidRPr="009528A8">
        <w:rPr>
          <w:rFonts w:eastAsia="Arial"/>
          <w:szCs w:val="24"/>
        </w:rPr>
        <w:t xml:space="preserve">, who are not part of this </w:t>
      </w:r>
      <w:r w:rsidR="002C3BD4" w:rsidRPr="009528A8">
        <w:rPr>
          <w:rFonts w:eastAsia="Arial"/>
          <w:szCs w:val="24"/>
        </w:rPr>
        <w:t>a</w:t>
      </w:r>
      <w:r w:rsidR="00A45965" w:rsidRPr="009528A8">
        <w:rPr>
          <w:rFonts w:eastAsia="Arial"/>
          <w:szCs w:val="24"/>
        </w:rPr>
        <w:t>pplication,</w:t>
      </w:r>
      <w:r w:rsidR="00057B6C" w:rsidRPr="009528A8">
        <w:rPr>
          <w:rFonts w:eastAsia="Arial"/>
          <w:szCs w:val="24"/>
        </w:rPr>
        <w:t xml:space="preserve"> </w:t>
      </w:r>
      <w:r w:rsidR="00F31879" w:rsidRPr="009528A8">
        <w:rPr>
          <w:rFonts w:eastAsia="Arial"/>
          <w:szCs w:val="24"/>
        </w:rPr>
        <w:t xml:space="preserve">broke into the house of a woman and </w:t>
      </w:r>
      <w:r w:rsidR="00057B6C" w:rsidRPr="009528A8">
        <w:rPr>
          <w:rFonts w:eastAsia="Arial"/>
          <w:szCs w:val="24"/>
        </w:rPr>
        <w:t>stole money and property</w:t>
      </w:r>
      <w:r w:rsidR="008E3B2F" w:rsidRPr="009528A8">
        <w:rPr>
          <w:rFonts w:eastAsia="Arial"/>
          <w:szCs w:val="24"/>
        </w:rPr>
        <w:t xml:space="preserve">. The Applicant and his accomplices </w:t>
      </w:r>
      <w:r w:rsidR="0023791D" w:rsidRPr="009528A8">
        <w:rPr>
          <w:rFonts w:eastAsia="Arial"/>
          <w:szCs w:val="24"/>
        </w:rPr>
        <w:t>also</w:t>
      </w:r>
      <w:r w:rsidR="00E857F7" w:rsidRPr="009528A8">
        <w:rPr>
          <w:rFonts w:eastAsia="Arial"/>
          <w:szCs w:val="24"/>
        </w:rPr>
        <w:t xml:space="preserve"> </w:t>
      </w:r>
      <w:r w:rsidR="008E3B2F" w:rsidRPr="009528A8">
        <w:rPr>
          <w:rFonts w:eastAsia="Arial"/>
          <w:szCs w:val="24"/>
        </w:rPr>
        <w:t>rape</w:t>
      </w:r>
      <w:r w:rsidR="0023791D" w:rsidRPr="009528A8">
        <w:rPr>
          <w:rFonts w:eastAsia="Arial"/>
          <w:szCs w:val="24"/>
        </w:rPr>
        <w:t>d</w:t>
      </w:r>
      <w:r w:rsidR="008E3B2F" w:rsidRPr="009528A8">
        <w:rPr>
          <w:rFonts w:eastAsia="Arial"/>
          <w:szCs w:val="24"/>
        </w:rPr>
        <w:t xml:space="preserve"> the woman and</w:t>
      </w:r>
      <w:r w:rsidR="00F31879" w:rsidRPr="009528A8">
        <w:rPr>
          <w:rFonts w:eastAsia="Arial"/>
          <w:szCs w:val="24"/>
        </w:rPr>
        <w:t xml:space="preserve"> </w:t>
      </w:r>
      <w:r w:rsidR="008E3B2F" w:rsidRPr="009528A8">
        <w:rPr>
          <w:rFonts w:eastAsia="Arial"/>
          <w:szCs w:val="24"/>
        </w:rPr>
        <w:t>fled the scene of the crime</w:t>
      </w:r>
      <w:r w:rsidR="00AD1AC8" w:rsidRPr="009528A8">
        <w:rPr>
          <w:rFonts w:eastAsia="Arial"/>
          <w:szCs w:val="24"/>
        </w:rPr>
        <w:t>.</w:t>
      </w:r>
    </w:p>
    <w:p w14:paraId="7D2BB0D6" w14:textId="77777777" w:rsidR="00643F0F" w:rsidRPr="009528A8" w:rsidRDefault="00643F0F" w:rsidP="002634E9">
      <w:pPr>
        <w:rPr>
          <w:rFonts w:eastAsia="Arial"/>
          <w:szCs w:val="24"/>
        </w:rPr>
      </w:pPr>
    </w:p>
    <w:p w14:paraId="569F98D0" w14:textId="48341919" w:rsidR="00643F0F" w:rsidRPr="009528A8" w:rsidRDefault="00A45965" w:rsidP="002634E9">
      <w:pPr>
        <w:rPr>
          <w:rFonts w:eastAsia="Arial"/>
          <w:szCs w:val="24"/>
        </w:rPr>
      </w:pPr>
      <w:r w:rsidRPr="009528A8">
        <w:rPr>
          <w:rFonts w:eastAsia="Arial"/>
          <w:szCs w:val="24"/>
        </w:rPr>
        <w:t>Subsequently, t</w:t>
      </w:r>
      <w:r w:rsidR="00AD1AC8" w:rsidRPr="009528A8">
        <w:rPr>
          <w:rFonts w:eastAsia="Arial"/>
          <w:szCs w:val="24"/>
        </w:rPr>
        <w:t xml:space="preserve">he </w:t>
      </w:r>
      <w:r w:rsidR="004E22EA" w:rsidRPr="009528A8">
        <w:rPr>
          <w:rFonts w:eastAsia="Arial"/>
          <w:szCs w:val="24"/>
        </w:rPr>
        <w:t xml:space="preserve">Applicant was arrested and charged </w:t>
      </w:r>
      <w:r w:rsidR="009C1878" w:rsidRPr="009528A8">
        <w:rPr>
          <w:rFonts w:eastAsia="Arial"/>
          <w:szCs w:val="24"/>
        </w:rPr>
        <w:t xml:space="preserve">alone </w:t>
      </w:r>
      <w:r w:rsidR="004E22EA" w:rsidRPr="009528A8">
        <w:rPr>
          <w:rFonts w:eastAsia="Arial"/>
          <w:szCs w:val="24"/>
        </w:rPr>
        <w:t xml:space="preserve">with one count of </w:t>
      </w:r>
      <w:r w:rsidRPr="009528A8">
        <w:rPr>
          <w:szCs w:val="24"/>
          <w:lang w:val="en-ZA"/>
        </w:rPr>
        <w:t>a</w:t>
      </w:r>
      <w:r w:rsidR="004E22EA" w:rsidRPr="009528A8">
        <w:rPr>
          <w:szCs w:val="24"/>
          <w:lang w:val="en-ZA"/>
        </w:rPr>
        <w:t>rmed</w:t>
      </w:r>
      <w:r w:rsidR="004E22EA" w:rsidRPr="009528A8">
        <w:rPr>
          <w:rFonts w:eastAsia="Arial"/>
          <w:szCs w:val="24"/>
        </w:rPr>
        <w:t xml:space="preserve"> </w:t>
      </w:r>
      <w:r w:rsidRPr="009528A8">
        <w:rPr>
          <w:rFonts w:eastAsia="Arial"/>
          <w:szCs w:val="24"/>
        </w:rPr>
        <w:t>r</w:t>
      </w:r>
      <w:r w:rsidR="004E22EA" w:rsidRPr="009528A8">
        <w:rPr>
          <w:rFonts w:eastAsia="Arial"/>
          <w:szCs w:val="24"/>
        </w:rPr>
        <w:t xml:space="preserve">obbery contrary to section 287A of the Penal Code and one count of </w:t>
      </w:r>
      <w:r w:rsidRPr="009528A8">
        <w:rPr>
          <w:rFonts w:eastAsia="Arial"/>
          <w:szCs w:val="24"/>
        </w:rPr>
        <w:t>r</w:t>
      </w:r>
      <w:r w:rsidR="004E22EA" w:rsidRPr="009528A8">
        <w:rPr>
          <w:rFonts w:eastAsia="Arial"/>
          <w:szCs w:val="24"/>
        </w:rPr>
        <w:t>ape contrary to section 130 and 131 of the Penal Code.</w:t>
      </w:r>
    </w:p>
    <w:p w14:paraId="43B65561" w14:textId="77777777" w:rsidR="00643F0F" w:rsidRPr="009528A8" w:rsidRDefault="00643F0F" w:rsidP="002634E9">
      <w:pPr>
        <w:rPr>
          <w:rFonts w:eastAsia="Arial"/>
          <w:szCs w:val="24"/>
        </w:rPr>
      </w:pPr>
    </w:p>
    <w:p w14:paraId="71B2897F" w14:textId="4EF7082E" w:rsidR="00643F0F" w:rsidRPr="009528A8" w:rsidRDefault="00AD1AC8" w:rsidP="002634E9">
      <w:pPr>
        <w:rPr>
          <w:rFonts w:eastAsia="Arial"/>
          <w:szCs w:val="24"/>
        </w:rPr>
      </w:pPr>
      <w:r w:rsidRPr="009528A8">
        <w:rPr>
          <w:rFonts w:eastAsia="Arial"/>
          <w:szCs w:val="24"/>
        </w:rPr>
        <w:lastRenderedPageBreak/>
        <w:t xml:space="preserve">On 8 April 2014, </w:t>
      </w:r>
      <w:r w:rsidR="007D5151" w:rsidRPr="009528A8">
        <w:rPr>
          <w:rFonts w:eastAsia="Arial"/>
          <w:szCs w:val="24"/>
        </w:rPr>
        <w:t>in Criminal Case N</w:t>
      </w:r>
      <w:r w:rsidR="00D64487" w:rsidRPr="009528A8">
        <w:rPr>
          <w:rFonts w:eastAsia="Arial"/>
          <w:szCs w:val="24"/>
        </w:rPr>
        <w:t>o.</w:t>
      </w:r>
      <w:r w:rsidR="00A45965" w:rsidRPr="009528A8">
        <w:rPr>
          <w:rFonts w:eastAsia="Arial"/>
          <w:szCs w:val="24"/>
        </w:rPr>
        <w:t xml:space="preserve"> </w:t>
      </w:r>
      <w:r w:rsidR="00D64487" w:rsidRPr="009528A8">
        <w:rPr>
          <w:rFonts w:eastAsia="Arial"/>
          <w:szCs w:val="24"/>
        </w:rPr>
        <w:t>44 of 2013</w:t>
      </w:r>
      <w:r w:rsidR="007D5151" w:rsidRPr="009528A8">
        <w:rPr>
          <w:rFonts w:eastAsia="Arial"/>
          <w:szCs w:val="24"/>
        </w:rPr>
        <w:t xml:space="preserve">, </w:t>
      </w:r>
      <w:r w:rsidRPr="009528A8">
        <w:rPr>
          <w:rFonts w:eastAsia="Arial"/>
          <w:szCs w:val="24"/>
        </w:rPr>
        <w:t>t</w:t>
      </w:r>
      <w:r w:rsidR="004E22EA" w:rsidRPr="009528A8">
        <w:rPr>
          <w:rFonts w:eastAsia="Arial"/>
          <w:szCs w:val="24"/>
        </w:rPr>
        <w:t xml:space="preserve">he District Court convicted the </w:t>
      </w:r>
      <w:r w:rsidR="004E22EA" w:rsidRPr="009528A8">
        <w:rPr>
          <w:szCs w:val="24"/>
          <w:lang w:val="en-ZA"/>
        </w:rPr>
        <w:t>Applicant</w:t>
      </w:r>
      <w:r w:rsidR="004E22EA" w:rsidRPr="009528A8">
        <w:rPr>
          <w:rFonts w:eastAsia="Arial"/>
          <w:szCs w:val="24"/>
        </w:rPr>
        <w:t xml:space="preserve"> and sentenced him to serve </w:t>
      </w:r>
      <w:r w:rsidR="00A33F88" w:rsidRPr="009528A8">
        <w:rPr>
          <w:rFonts w:eastAsia="Arial"/>
          <w:szCs w:val="24"/>
        </w:rPr>
        <w:t>a thirty (</w:t>
      </w:r>
      <w:r w:rsidR="005F0947" w:rsidRPr="009528A8">
        <w:rPr>
          <w:rFonts w:eastAsia="Arial"/>
          <w:szCs w:val="24"/>
        </w:rPr>
        <w:t>30</w:t>
      </w:r>
      <w:r w:rsidR="00A33F88" w:rsidRPr="009528A8">
        <w:rPr>
          <w:rFonts w:eastAsia="Arial"/>
          <w:szCs w:val="24"/>
        </w:rPr>
        <w:t>)</w:t>
      </w:r>
      <w:r w:rsidR="005F0947" w:rsidRPr="009528A8">
        <w:rPr>
          <w:rFonts w:eastAsia="Arial"/>
          <w:szCs w:val="24"/>
        </w:rPr>
        <w:t>-year</w:t>
      </w:r>
      <w:r w:rsidR="004E22EA" w:rsidRPr="009528A8">
        <w:rPr>
          <w:rFonts w:eastAsia="Arial"/>
          <w:szCs w:val="24"/>
        </w:rPr>
        <w:t xml:space="preserve"> </w:t>
      </w:r>
      <w:r w:rsidR="00A45965" w:rsidRPr="009528A8">
        <w:rPr>
          <w:rFonts w:eastAsia="Arial"/>
          <w:szCs w:val="24"/>
        </w:rPr>
        <w:t xml:space="preserve">term of </w:t>
      </w:r>
      <w:r w:rsidR="004E22EA" w:rsidRPr="009528A8">
        <w:rPr>
          <w:rFonts w:eastAsia="Arial"/>
          <w:szCs w:val="24"/>
        </w:rPr>
        <w:t>imprisonment</w:t>
      </w:r>
      <w:r w:rsidR="005F0947" w:rsidRPr="009528A8">
        <w:rPr>
          <w:rFonts w:eastAsia="Arial"/>
          <w:szCs w:val="24"/>
        </w:rPr>
        <w:t xml:space="preserve"> </w:t>
      </w:r>
      <w:r w:rsidR="004E22EA" w:rsidRPr="009528A8">
        <w:rPr>
          <w:rFonts w:eastAsia="Arial"/>
          <w:szCs w:val="24"/>
        </w:rPr>
        <w:t xml:space="preserve">for </w:t>
      </w:r>
      <w:r w:rsidR="00A33F88" w:rsidRPr="009528A8">
        <w:rPr>
          <w:rFonts w:eastAsia="Arial"/>
          <w:szCs w:val="24"/>
        </w:rPr>
        <w:t xml:space="preserve">each of the </w:t>
      </w:r>
      <w:r w:rsidR="004E22EA" w:rsidRPr="009528A8">
        <w:rPr>
          <w:rFonts w:eastAsia="Arial"/>
          <w:szCs w:val="24"/>
        </w:rPr>
        <w:t xml:space="preserve">offences and </w:t>
      </w:r>
      <w:r w:rsidR="007D5151" w:rsidRPr="009528A8">
        <w:rPr>
          <w:rFonts w:eastAsia="Arial"/>
          <w:szCs w:val="24"/>
        </w:rPr>
        <w:t xml:space="preserve">ordered </w:t>
      </w:r>
      <w:r w:rsidR="004E22EA" w:rsidRPr="009528A8">
        <w:rPr>
          <w:rFonts w:eastAsia="Arial"/>
          <w:szCs w:val="24"/>
        </w:rPr>
        <w:t>the sentences to run concurrently.</w:t>
      </w:r>
    </w:p>
    <w:p w14:paraId="6951D02F" w14:textId="77777777" w:rsidR="00643F0F" w:rsidRPr="009528A8" w:rsidRDefault="00643F0F" w:rsidP="002634E9">
      <w:pPr>
        <w:rPr>
          <w:rFonts w:eastAsia="Arial"/>
          <w:szCs w:val="24"/>
        </w:rPr>
      </w:pPr>
    </w:p>
    <w:p w14:paraId="5EE985B6" w14:textId="6B83886A" w:rsidR="00643F0F" w:rsidRPr="009528A8" w:rsidRDefault="004E22EA" w:rsidP="002634E9">
      <w:pPr>
        <w:rPr>
          <w:rFonts w:eastAsia="Arial"/>
          <w:szCs w:val="24"/>
        </w:rPr>
      </w:pPr>
      <w:r w:rsidRPr="009528A8">
        <w:rPr>
          <w:rFonts w:eastAsia="Arial"/>
          <w:szCs w:val="24"/>
        </w:rPr>
        <w:t xml:space="preserve">Aggrieved </w:t>
      </w:r>
      <w:r w:rsidR="00972894" w:rsidRPr="009528A8">
        <w:rPr>
          <w:rFonts w:eastAsia="Arial"/>
          <w:szCs w:val="24"/>
        </w:rPr>
        <w:t>by</w:t>
      </w:r>
      <w:r w:rsidRPr="009528A8">
        <w:rPr>
          <w:rFonts w:eastAsia="Arial"/>
          <w:szCs w:val="24"/>
        </w:rPr>
        <w:t xml:space="preserve"> his conviction, the Applicant appealed to the High Court of Tanzania at </w:t>
      </w:r>
      <w:r w:rsidRPr="009528A8">
        <w:rPr>
          <w:szCs w:val="24"/>
          <w:lang w:val="en-ZA"/>
        </w:rPr>
        <w:t>Bukoba</w:t>
      </w:r>
      <w:r w:rsidRPr="009528A8">
        <w:rPr>
          <w:rFonts w:eastAsia="Arial"/>
          <w:szCs w:val="24"/>
        </w:rPr>
        <w:t xml:space="preserve"> in Criminal Appeal No.45 of 2014. On 7 May 2015 the High Court dismissed </w:t>
      </w:r>
      <w:r w:rsidR="00A33F88" w:rsidRPr="009528A8">
        <w:rPr>
          <w:rFonts w:eastAsia="Arial"/>
          <w:szCs w:val="24"/>
        </w:rPr>
        <w:t xml:space="preserve">the appeal </w:t>
      </w:r>
      <w:r w:rsidRPr="009528A8">
        <w:rPr>
          <w:rFonts w:eastAsia="Arial"/>
          <w:szCs w:val="24"/>
        </w:rPr>
        <w:t xml:space="preserve">and </w:t>
      </w:r>
      <w:r w:rsidR="00A33F88" w:rsidRPr="009528A8">
        <w:rPr>
          <w:rFonts w:eastAsia="Arial"/>
          <w:szCs w:val="24"/>
        </w:rPr>
        <w:t xml:space="preserve">upheld </w:t>
      </w:r>
      <w:r w:rsidRPr="009528A8">
        <w:rPr>
          <w:rFonts w:eastAsia="Arial"/>
          <w:szCs w:val="24"/>
        </w:rPr>
        <w:t>the conviction and sentence.</w:t>
      </w:r>
      <w:r w:rsidR="00A45965" w:rsidRPr="009528A8">
        <w:rPr>
          <w:rFonts w:eastAsia="Arial"/>
          <w:szCs w:val="24"/>
        </w:rPr>
        <w:t xml:space="preserve"> </w:t>
      </w:r>
    </w:p>
    <w:p w14:paraId="3FBB7740" w14:textId="77777777" w:rsidR="00643F0F" w:rsidRPr="009528A8" w:rsidRDefault="00643F0F" w:rsidP="002634E9">
      <w:pPr>
        <w:rPr>
          <w:rFonts w:eastAsia="Arial"/>
          <w:szCs w:val="24"/>
        </w:rPr>
      </w:pPr>
    </w:p>
    <w:p w14:paraId="50D90EA4" w14:textId="783CDF61" w:rsidR="006064D9" w:rsidRPr="009528A8" w:rsidRDefault="004E22EA" w:rsidP="002634E9">
      <w:pPr>
        <w:rPr>
          <w:rFonts w:eastAsia="Arial"/>
          <w:szCs w:val="24"/>
        </w:rPr>
      </w:pPr>
      <w:r w:rsidRPr="009528A8">
        <w:rPr>
          <w:rFonts w:eastAsia="Arial"/>
          <w:szCs w:val="24"/>
        </w:rPr>
        <w:t xml:space="preserve">The Applicant </w:t>
      </w:r>
      <w:r w:rsidRPr="009528A8">
        <w:rPr>
          <w:szCs w:val="24"/>
          <w:lang w:val="en-ZA"/>
        </w:rPr>
        <w:t>then</w:t>
      </w:r>
      <w:r w:rsidRPr="009528A8">
        <w:rPr>
          <w:rFonts w:eastAsia="Arial"/>
          <w:szCs w:val="24"/>
        </w:rPr>
        <w:t xml:space="preserve"> appealed to the Court of Appeal of Tanzania at Bukoba</w:t>
      </w:r>
      <w:r w:rsidR="00AF69BA" w:rsidRPr="009528A8">
        <w:rPr>
          <w:rFonts w:eastAsia="Arial"/>
          <w:szCs w:val="24"/>
        </w:rPr>
        <w:t xml:space="preserve"> in Criminal Appeal No. 278 of 2015</w:t>
      </w:r>
      <w:r w:rsidRPr="009528A8">
        <w:rPr>
          <w:rFonts w:eastAsia="Arial"/>
          <w:szCs w:val="24"/>
        </w:rPr>
        <w:t xml:space="preserve">. The Appeal was dismissed </w:t>
      </w:r>
      <w:r w:rsidR="00880470" w:rsidRPr="009528A8">
        <w:rPr>
          <w:rFonts w:eastAsia="Arial"/>
          <w:szCs w:val="24"/>
        </w:rPr>
        <w:t xml:space="preserve">in its entirety </w:t>
      </w:r>
      <w:r w:rsidRPr="009528A8">
        <w:rPr>
          <w:rFonts w:eastAsia="Arial"/>
          <w:szCs w:val="24"/>
        </w:rPr>
        <w:t>on 16</w:t>
      </w:r>
      <w:r w:rsidRPr="009528A8">
        <w:rPr>
          <w:rFonts w:eastAsia="Arial"/>
          <w:szCs w:val="24"/>
          <w:vertAlign w:val="superscript"/>
        </w:rPr>
        <w:t xml:space="preserve"> </w:t>
      </w:r>
      <w:r w:rsidRPr="009528A8">
        <w:rPr>
          <w:rFonts w:eastAsia="Arial"/>
          <w:szCs w:val="24"/>
        </w:rPr>
        <w:t xml:space="preserve">February 2016. </w:t>
      </w:r>
    </w:p>
    <w:p w14:paraId="407E83DB" w14:textId="77777777" w:rsidR="00046E1F" w:rsidRPr="009528A8" w:rsidRDefault="00046E1F" w:rsidP="002634E9">
      <w:pPr>
        <w:rPr>
          <w:rFonts w:eastAsia="Arial"/>
          <w:szCs w:val="24"/>
        </w:rPr>
      </w:pPr>
    </w:p>
    <w:p w14:paraId="525275D0" w14:textId="7F6A5636" w:rsidR="00046E1F" w:rsidRPr="009528A8" w:rsidRDefault="00046E1F" w:rsidP="002634E9">
      <w:pPr>
        <w:rPr>
          <w:rFonts w:eastAsia="Arial"/>
          <w:szCs w:val="24"/>
        </w:rPr>
      </w:pPr>
      <w:r w:rsidRPr="009528A8">
        <w:rPr>
          <w:rFonts w:eastAsia="Arial"/>
          <w:szCs w:val="24"/>
        </w:rPr>
        <w:t xml:space="preserve">Thereafter, </w:t>
      </w:r>
      <w:r w:rsidRPr="009528A8">
        <w:rPr>
          <w:szCs w:val="24"/>
          <w:lang w:val="en-ZA"/>
        </w:rPr>
        <w:t>the</w:t>
      </w:r>
      <w:r w:rsidRPr="009528A8">
        <w:rPr>
          <w:rFonts w:eastAsia="Arial"/>
          <w:szCs w:val="24"/>
        </w:rPr>
        <w:t xml:space="preserve"> Applicant filed the present Application on </w:t>
      </w:r>
      <w:r w:rsidR="00921D39" w:rsidRPr="009528A8">
        <w:rPr>
          <w:rFonts w:eastAsia="Arial"/>
          <w:szCs w:val="24"/>
        </w:rPr>
        <w:t xml:space="preserve">29 June 2016. </w:t>
      </w:r>
    </w:p>
    <w:p w14:paraId="2BB9D956" w14:textId="77777777" w:rsidR="006064D9" w:rsidRPr="009528A8" w:rsidRDefault="006064D9" w:rsidP="002634E9"/>
    <w:p w14:paraId="13D38964" w14:textId="32AB0BA7" w:rsidR="006064D9" w:rsidRPr="009528A8" w:rsidRDefault="006064D9" w:rsidP="002634E9">
      <w:bookmarkStart w:id="6" w:name="_Toc143594931"/>
      <w:r w:rsidRPr="009528A8">
        <w:t>Alleged violations</w:t>
      </w:r>
      <w:bookmarkEnd w:id="6"/>
    </w:p>
    <w:p w14:paraId="354A904E" w14:textId="77777777" w:rsidR="006064D9" w:rsidRPr="009528A8" w:rsidRDefault="006064D9" w:rsidP="002634E9"/>
    <w:p w14:paraId="088EC50D" w14:textId="7D326D64" w:rsidR="006064D9" w:rsidRPr="009528A8" w:rsidRDefault="006064D9" w:rsidP="002634E9">
      <w:pPr>
        <w:rPr>
          <w:rFonts w:eastAsia="Arial"/>
        </w:rPr>
      </w:pPr>
      <w:r w:rsidRPr="009528A8">
        <w:rPr>
          <w:rFonts w:eastAsia="Arial"/>
        </w:rPr>
        <w:t xml:space="preserve">The Applicant </w:t>
      </w:r>
      <w:r w:rsidRPr="009528A8">
        <w:rPr>
          <w:szCs w:val="24"/>
          <w:lang w:val="en-ZA"/>
        </w:rPr>
        <w:t>allege</w:t>
      </w:r>
      <w:r w:rsidR="007C1891" w:rsidRPr="009528A8">
        <w:rPr>
          <w:szCs w:val="24"/>
          <w:lang w:val="en-ZA"/>
        </w:rPr>
        <w:t>s</w:t>
      </w:r>
      <w:r w:rsidR="00F169DB" w:rsidRPr="009528A8">
        <w:rPr>
          <w:rFonts w:eastAsia="Arial"/>
        </w:rPr>
        <w:t xml:space="preserve"> that</w:t>
      </w:r>
      <w:r w:rsidR="009737E7" w:rsidRPr="009528A8">
        <w:rPr>
          <w:rFonts w:eastAsia="Arial"/>
        </w:rPr>
        <w:t>:</w:t>
      </w:r>
    </w:p>
    <w:p w14:paraId="1FD22875" w14:textId="77777777" w:rsidR="00331108" w:rsidRPr="009528A8" w:rsidRDefault="00331108" w:rsidP="002634E9">
      <w:pPr>
        <w:rPr>
          <w:rFonts w:eastAsia="Arial"/>
        </w:rPr>
      </w:pPr>
      <w:bookmarkStart w:id="7" w:name="_Hlk132157768"/>
    </w:p>
    <w:p w14:paraId="76C34FB3" w14:textId="3A8755AA" w:rsidR="00331108" w:rsidRPr="009528A8" w:rsidRDefault="00F169DB" w:rsidP="002634E9">
      <w:pPr>
        <w:rPr>
          <w:rFonts w:eastAsia="Arial"/>
        </w:rPr>
      </w:pPr>
      <w:r w:rsidRPr="009528A8">
        <w:rPr>
          <w:rFonts w:eastAsia="Arial"/>
        </w:rPr>
        <w:t>He</w:t>
      </w:r>
      <w:r w:rsidR="00F30CEA" w:rsidRPr="009528A8">
        <w:rPr>
          <w:rFonts w:eastAsia="Arial"/>
        </w:rPr>
        <w:t xml:space="preserve"> was not informed</w:t>
      </w:r>
      <w:r w:rsidR="00046E1F" w:rsidRPr="009528A8">
        <w:rPr>
          <w:rFonts w:eastAsia="Arial"/>
        </w:rPr>
        <w:t xml:space="preserve"> of</w:t>
      </w:r>
      <w:r w:rsidR="00F30CEA" w:rsidRPr="009528A8">
        <w:rPr>
          <w:rFonts w:eastAsia="Arial"/>
        </w:rPr>
        <w:t xml:space="preserve"> the ground of arrest before being arrested by the police, </w:t>
      </w:r>
      <w:r w:rsidR="00583942" w:rsidRPr="009528A8">
        <w:rPr>
          <w:rFonts w:eastAsia="Arial"/>
        </w:rPr>
        <w:t>in violation of</w:t>
      </w:r>
      <w:r w:rsidR="00F30CEA" w:rsidRPr="009528A8">
        <w:rPr>
          <w:rFonts w:eastAsia="Arial"/>
        </w:rPr>
        <w:t xml:space="preserve"> </w:t>
      </w:r>
      <w:r w:rsidR="00046E1F" w:rsidRPr="009528A8">
        <w:rPr>
          <w:rFonts w:eastAsia="Arial"/>
        </w:rPr>
        <w:t>his</w:t>
      </w:r>
      <w:r w:rsidR="00F30CEA" w:rsidRPr="009528A8">
        <w:rPr>
          <w:rFonts w:eastAsia="Arial"/>
        </w:rPr>
        <w:t xml:space="preserve"> fundamental rights under section 23 of the Criminal Procedure Act Cap 20 RE 2002 </w:t>
      </w:r>
      <w:r w:rsidR="008728E4" w:rsidRPr="009528A8">
        <w:rPr>
          <w:rFonts w:eastAsia="Arial"/>
        </w:rPr>
        <w:t xml:space="preserve">(hereinafter referred to as “CPA”) </w:t>
      </w:r>
      <w:r w:rsidR="00F30CEA" w:rsidRPr="009528A8">
        <w:rPr>
          <w:rFonts w:eastAsia="Arial"/>
        </w:rPr>
        <w:t xml:space="preserve">and supported by Article 15(1)(2) of the Constitution of the </w:t>
      </w:r>
      <w:r w:rsidR="008728E4" w:rsidRPr="009528A8">
        <w:rPr>
          <w:rFonts w:eastAsia="Arial"/>
        </w:rPr>
        <w:t>Respondent State (</w:t>
      </w:r>
      <w:r w:rsidR="00F30CEA" w:rsidRPr="009528A8">
        <w:rPr>
          <w:rFonts w:eastAsia="Arial"/>
        </w:rPr>
        <w:t>1977</w:t>
      </w:r>
      <w:r w:rsidR="008728E4" w:rsidRPr="009528A8">
        <w:rPr>
          <w:rFonts w:eastAsia="Arial"/>
        </w:rPr>
        <w:t>) (hereinafter referred to as “the Constitution”)</w:t>
      </w:r>
      <w:r w:rsidR="00F30CEA" w:rsidRPr="009528A8">
        <w:rPr>
          <w:rFonts w:eastAsia="Arial"/>
        </w:rPr>
        <w:t>;</w:t>
      </w:r>
    </w:p>
    <w:p w14:paraId="36DF1277" w14:textId="74EE2FF3" w:rsidR="00CB2DB0" w:rsidRPr="009528A8" w:rsidRDefault="00CB2DB0" w:rsidP="002634E9">
      <w:pPr>
        <w:rPr>
          <w:rFonts w:eastAsia="Arial"/>
        </w:rPr>
      </w:pPr>
      <w:bookmarkStart w:id="8" w:name="_Hlk132981152"/>
      <w:r w:rsidRPr="009528A8">
        <w:rPr>
          <w:rFonts w:eastAsia="Arial"/>
        </w:rPr>
        <w:t xml:space="preserve">That the Court of Appeal of Tanzania </w:t>
      </w:r>
      <w:r w:rsidR="00DA778E" w:rsidRPr="009528A8">
        <w:rPr>
          <w:rFonts w:eastAsia="Arial"/>
        </w:rPr>
        <w:t xml:space="preserve">failed to properly determine matters of </w:t>
      </w:r>
      <w:r w:rsidRPr="009528A8">
        <w:rPr>
          <w:rFonts w:eastAsia="Arial"/>
        </w:rPr>
        <w:t xml:space="preserve">law and facts, thus violating Articles 2, 3 and 7(1) of the Charter and Article 107A(B) of the Constitution; and </w:t>
      </w:r>
    </w:p>
    <w:bookmarkEnd w:id="8"/>
    <w:p w14:paraId="3F3779C8" w14:textId="07CA28C9" w:rsidR="006064D9" w:rsidRPr="009528A8" w:rsidRDefault="00F30CEA" w:rsidP="002634E9">
      <w:pPr>
        <w:rPr>
          <w:rFonts w:eastAsia="Arial"/>
        </w:rPr>
      </w:pPr>
      <w:r w:rsidRPr="009528A8">
        <w:rPr>
          <w:rFonts w:eastAsia="Arial"/>
        </w:rPr>
        <w:t>The justice of appeal erred in law and facts by failing to observe that the defence witnesses were not called as required by Section 231 of the C</w:t>
      </w:r>
      <w:r w:rsidR="008728E4" w:rsidRPr="009528A8">
        <w:rPr>
          <w:rFonts w:eastAsia="Arial"/>
        </w:rPr>
        <w:t>PA</w:t>
      </w:r>
      <w:r w:rsidRPr="009528A8">
        <w:rPr>
          <w:rFonts w:eastAsia="Arial"/>
        </w:rPr>
        <w:t>, Cap 20 RE 2002 and Article 13(6)(a) of the Constitution.</w:t>
      </w:r>
    </w:p>
    <w:bookmarkEnd w:id="7"/>
    <w:p w14:paraId="33F95695" w14:textId="77777777" w:rsidR="006064D9" w:rsidRPr="009528A8" w:rsidRDefault="006064D9" w:rsidP="002634E9">
      <w:pPr>
        <w:rPr>
          <w:rFonts w:eastAsia="Arial"/>
          <w:color w:val="FF0000"/>
        </w:rPr>
      </w:pPr>
    </w:p>
    <w:p w14:paraId="117C1104" w14:textId="77777777" w:rsidR="0083319C" w:rsidRPr="009528A8" w:rsidRDefault="0083319C" w:rsidP="002634E9">
      <w:pPr>
        <w:rPr>
          <w:rFonts w:eastAsia="Arial"/>
          <w:color w:val="FF0000"/>
        </w:rPr>
      </w:pPr>
    </w:p>
    <w:p w14:paraId="719FDACA" w14:textId="16E473AA" w:rsidR="006962A5" w:rsidRPr="009528A8" w:rsidRDefault="006064D9" w:rsidP="002634E9">
      <w:pPr>
        <w:rPr>
          <w:lang w:val="en-ZA"/>
        </w:rPr>
      </w:pPr>
      <w:bookmarkStart w:id="9" w:name="_Toc143594932"/>
      <w:r w:rsidRPr="009528A8">
        <w:rPr>
          <w:lang w:val="en-ZA"/>
        </w:rPr>
        <w:t>SUMMARY OF THE PROCEDURE BEFORE THE COURT</w:t>
      </w:r>
      <w:bookmarkEnd w:id="9"/>
    </w:p>
    <w:p w14:paraId="1254AE8F" w14:textId="77777777" w:rsidR="006D6E42" w:rsidRPr="009528A8" w:rsidRDefault="006D6E42" w:rsidP="002634E9"/>
    <w:p w14:paraId="53258B31" w14:textId="7A204D21" w:rsidR="00A96D49" w:rsidRPr="009528A8" w:rsidRDefault="006962A5" w:rsidP="002634E9">
      <w:pPr>
        <w:rPr>
          <w:szCs w:val="24"/>
        </w:rPr>
      </w:pPr>
      <w:r w:rsidRPr="009528A8">
        <w:rPr>
          <w:szCs w:val="24"/>
        </w:rPr>
        <w:t xml:space="preserve">The </w:t>
      </w:r>
      <w:r w:rsidR="0030741B" w:rsidRPr="009528A8">
        <w:rPr>
          <w:szCs w:val="24"/>
        </w:rPr>
        <w:t xml:space="preserve">Registry </w:t>
      </w:r>
      <w:r w:rsidR="00FC5B59" w:rsidRPr="009528A8">
        <w:rPr>
          <w:szCs w:val="24"/>
        </w:rPr>
        <w:t xml:space="preserve">received </w:t>
      </w:r>
      <w:r w:rsidR="0030741B" w:rsidRPr="009528A8">
        <w:rPr>
          <w:szCs w:val="24"/>
        </w:rPr>
        <w:t xml:space="preserve">the </w:t>
      </w:r>
      <w:r w:rsidRPr="009528A8">
        <w:rPr>
          <w:szCs w:val="24"/>
        </w:rPr>
        <w:t xml:space="preserve">Application on </w:t>
      </w:r>
      <w:r w:rsidR="00A96D49" w:rsidRPr="009528A8">
        <w:rPr>
          <w:szCs w:val="24"/>
        </w:rPr>
        <w:t xml:space="preserve">29 June </w:t>
      </w:r>
      <w:r w:rsidRPr="009528A8">
        <w:rPr>
          <w:szCs w:val="24"/>
        </w:rPr>
        <w:t xml:space="preserve">2016, and served </w:t>
      </w:r>
      <w:r w:rsidR="0030741B" w:rsidRPr="009528A8">
        <w:rPr>
          <w:szCs w:val="24"/>
        </w:rPr>
        <w:t xml:space="preserve">it </w:t>
      </w:r>
      <w:r w:rsidRPr="009528A8">
        <w:rPr>
          <w:szCs w:val="24"/>
        </w:rPr>
        <w:t>on the Respondent State on 2</w:t>
      </w:r>
      <w:r w:rsidR="00A96D49" w:rsidRPr="009528A8">
        <w:rPr>
          <w:szCs w:val="24"/>
        </w:rPr>
        <w:t>4 August</w:t>
      </w:r>
      <w:r w:rsidRPr="009528A8">
        <w:rPr>
          <w:szCs w:val="24"/>
        </w:rPr>
        <w:t xml:space="preserve"> 2016. </w:t>
      </w:r>
    </w:p>
    <w:p w14:paraId="2DE6F5B1" w14:textId="77777777" w:rsidR="006D6E42" w:rsidRPr="009528A8" w:rsidRDefault="006D6E42" w:rsidP="002634E9">
      <w:pPr>
        <w:rPr>
          <w:szCs w:val="24"/>
        </w:rPr>
      </w:pPr>
    </w:p>
    <w:p w14:paraId="05789CC5" w14:textId="0DF79876" w:rsidR="006D6E42" w:rsidRPr="009528A8" w:rsidRDefault="0030741B" w:rsidP="002634E9">
      <w:pPr>
        <w:rPr>
          <w:szCs w:val="24"/>
        </w:rPr>
      </w:pPr>
      <w:r w:rsidRPr="009528A8">
        <w:rPr>
          <w:szCs w:val="24"/>
        </w:rPr>
        <w:t>The Parties filed their pleadings within the time stipulated by the Court</w:t>
      </w:r>
      <w:r w:rsidR="006C36C6" w:rsidRPr="009528A8">
        <w:rPr>
          <w:szCs w:val="24"/>
        </w:rPr>
        <w:t xml:space="preserve"> after several extensions</w:t>
      </w:r>
      <w:r w:rsidR="00A96D49" w:rsidRPr="009528A8">
        <w:rPr>
          <w:szCs w:val="24"/>
        </w:rPr>
        <w:t>.</w:t>
      </w:r>
    </w:p>
    <w:p w14:paraId="7447E712" w14:textId="77777777" w:rsidR="006D6E42" w:rsidRPr="009528A8" w:rsidRDefault="006D6E42" w:rsidP="002634E9">
      <w:pPr>
        <w:rPr>
          <w:szCs w:val="24"/>
        </w:rPr>
      </w:pPr>
    </w:p>
    <w:p w14:paraId="177EAC2C" w14:textId="683E481B" w:rsidR="006962A5" w:rsidRPr="009528A8" w:rsidRDefault="00A96D49" w:rsidP="002634E9">
      <w:pPr>
        <w:rPr>
          <w:szCs w:val="24"/>
        </w:rPr>
      </w:pPr>
      <w:r w:rsidRPr="009528A8">
        <w:rPr>
          <w:szCs w:val="24"/>
        </w:rPr>
        <w:t xml:space="preserve">Pleadings </w:t>
      </w:r>
      <w:r w:rsidRPr="009528A8">
        <w:rPr>
          <w:szCs w:val="24"/>
          <w:lang w:val="en-ZA"/>
        </w:rPr>
        <w:t>were</w:t>
      </w:r>
      <w:r w:rsidRPr="009528A8">
        <w:rPr>
          <w:szCs w:val="24"/>
        </w:rPr>
        <w:t xml:space="preserve"> closed on 5 November 2020 and the Parties were duly notified.</w:t>
      </w:r>
    </w:p>
    <w:p w14:paraId="65D7F1AF" w14:textId="77777777" w:rsidR="006064D9" w:rsidRPr="009528A8" w:rsidRDefault="006064D9" w:rsidP="002634E9">
      <w:pPr>
        <w:rPr>
          <w:szCs w:val="24"/>
        </w:rPr>
      </w:pPr>
    </w:p>
    <w:p w14:paraId="164561A0" w14:textId="77777777" w:rsidR="0083319C" w:rsidRPr="009528A8" w:rsidRDefault="0083319C" w:rsidP="002634E9">
      <w:pPr>
        <w:rPr>
          <w:szCs w:val="24"/>
        </w:rPr>
      </w:pPr>
    </w:p>
    <w:p w14:paraId="285FBA31" w14:textId="65AE6660" w:rsidR="006064D9" w:rsidRPr="009528A8" w:rsidRDefault="006064D9" w:rsidP="002634E9">
      <w:pPr>
        <w:rPr>
          <w:lang w:val="en-ZA"/>
        </w:rPr>
      </w:pPr>
      <w:bookmarkStart w:id="10" w:name="_Toc143594933"/>
      <w:r w:rsidRPr="009528A8">
        <w:rPr>
          <w:lang w:val="en-ZA"/>
        </w:rPr>
        <w:t xml:space="preserve">PRAYERS OF THE </w:t>
      </w:r>
      <w:r w:rsidR="004262F6" w:rsidRPr="009528A8">
        <w:rPr>
          <w:lang w:val="en-ZA"/>
        </w:rPr>
        <w:t>PARTIES</w:t>
      </w:r>
      <w:bookmarkEnd w:id="10"/>
    </w:p>
    <w:p w14:paraId="7B76A7B0" w14:textId="77777777" w:rsidR="006064D9" w:rsidRPr="009528A8" w:rsidRDefault="006064D9" w:rsidP="002634E9">
      <w:pPr>
        <w:rPr>
          <w:bCs/>
          <w:szCs w:val="24"/>
        </w:rPr>
      </w:pPr>
    </w:p>
    <w:p w14:paraId="120C0C7E" w14:textId="321F9986" w:rsidR="006064D9" w:rsidRPr="009528A8" w:rsidRDefault="006064D9" w:rsidP="002634E9">
      <w:pPr>
        <w:rPr>
          <w:szCs w:val="24"/>
        </w:rPr>
      </w:pPr>
      <w:r w:rsidRPr="009528A8">
        <w:rPr>
          <w:szCs w:val="24"/>
        </w:rPr>
        <w:t xml:space="preserve">The </w:t>
      </w:r>
      <w:r w:rsidRPr="009528A8">
        <w:rPr>
          <w:szCs w:val="24"/>
          <w:lang w:val="en-ZA"/>
        </w:rPr>
        <w:t>Applicant</w:t>
      </w:r>
      <w:r w:rsidRPr="009528A8">
        <w:rPr>
          <w:szCs w:val="24"/>
        </w:rPr>
        <w:t xml:space="preserve"> prays the Court to: </w:t>
      </w:r>
    </w:p>
    <w:p w14:paraId="7347F37F" w14:textId="77777777" w:rsidR="006064D9" w:rsidRPr="009528A8" w:rsidRDefault="006064D9" w:rsidP="002634E9"/>
    <w:p w14:paraId="2A55320B" w14:textId="21BC4F38" w:rsidR="006064D9" w:rsidRPr="009528A8" w:rsidRDefault="007C1891" w:rsidP="002634E9">
      <w:pPr>
        <w:rPr>
          <w:rFonts w:eastAsia="Arial"/>
        </w:rPr>
      </w:pPr>
      <w:r w:rsidRPr="009528A8">
        <w:rPr>
          <w:rFonts w:eastAsia="Arial"/>
        </w:rPr>
        <w:t xml:space="preserve">Restore justice by quashing both his conviction and sentence, and set him at liberty; </w:t>
      </w:r>
    </w:p>
    <w:p w14:paraId="216DA0D9" w14:textId="6A8A0A07" w:rsidR="006064D9" w:rsidRPr="009528A8" w:rsidRDefault="007C1891" w:rsidP="002634E9">
      <w:pPr>
        <w:rPr>
          <w:rFonts w:eastAsia="Arial"/>
        </w:rPr>
      </w:pPr>
      <w:r w:rsidRPr="009528A8">
        <w:rPr>
          <w:rFonts w:eastAsia="Arial"/>
        </w:rPr>
        <w:t>Grant him reparations pursuant to Article 27(1) of the Protocol to the Charter; and</w:t>
      </w:r>
    </w:p>
    <w:p w14:paraId="219D2473" w14:textId="6B5CC6FF" w:rsidR="006064D9" w:rsidRPr="009528A8" w:rsidRDefault="0030741B" w:rsidP="002634E9">
      <w:pPr>
        <w:rPr>
          <w:rFonts w:eastAsia="Arial"/>
        </w:rPr>
      </w:pPr>
      <w:r w:rsidRPr="009528A8">
        <w:rPr>
          <w:rFonts w:eastAsia="Arial"/>
        </w:rPr>
        <w:t xml:space="preserve">Make </w:t>
      </w:r>
      <w:r w:rsidR="007C1891" w:rsidRPr="009528A8">
        <w:rPr>
          <w:rFonts w:eastAsia="Arial"/>
        </w:rPr>
        <w:t xml:space="preserve">any other </w:t>
      </w:r>
      <w:r w:rsidRPr="009528A8">
        <w:rPr>
          <w:rFonts w:eastAsia="Arial"/>
        </w:rPr>
        <w:t>o</w:t>
      </w:r>
      <w:r w:rsidR="007C1891" w:rsidRPr="009528A8">
        <w:rPr>
          <w:rFonts w:eastAsia="Arial"/>
        </w:rPr>
        <w:t xml:space="preserve">rder that </w:t>
      </w:r>
      <w:r w:rsidRPr="009528A8">
        <w:rPr>
          <w:rFonts w:eastAsia="Arial"/>
        </w:rPr>
        <w:t xml:space="preserve">it </w:t>
      </w:r>
      <w:r w:rsidR="007C1891" w:rsidRPr="009528A8">
        <w:rPr>
          <w:rFonts w:eastAsia="Arial"/>
        </w:rPr>
        <w:t xml:space="preserve">deems appropriate in the circumstances of his case. </w:t>
      </w:r>
    </w:p>
    <w:p w14:paraId="543F2F55" w14:textId="77777777" w:rsidR="00A3644D" w:rsidRPr="009528A8" w:rsidRDefault="00A3644D" w:rsidP="002634E9">
      <w:pPr>
        <w:rPr>
          <w:rFonts w:eastAsia="Arial"/>
        </w:rPr>
      </w:pPr>
    </w:p>
    <w:p w14:paraId="248C1C22" w14:textId="4F4C4345" w:rsidR="006064D9" w:rsidRPr="009528A8" w:rsidRDefault="006064D9" w:rsidP="002634E9">
      <w:pPr>
        <w:rPr>
          <w:szCs w:val="24"/>
        </w:rPr>
      </w:pPr>
      <w:r w:rsidRPr="009528A8">
        <w:rPr>
          <w:szCs w:val="24"/>
        </w:rPr>
        <w:t xml:space="preserve">The </w:t>
      </w:r>
      <w:r w:rsidRPr="009528A8">
        <w:rPr>
          <w:szCs w:val="24"/>
          <w:lang w:val="en-ZA"/>
        </w:rPr>
        <w:t>Respondent</w:t>
      </w:r>
      <w:r w:rsidRPr="009528A8">
        <w:rPr>
          <w:szCs w:val="24"/>
        </w:rPr>
        <w:t xml:space="preserve"> State prays the Court to:</w:t>
      </w:r>
    </w:p>
    <w:p w14:paraId="4C5ED357" w14:textId="77777777" w:rsidR="00C21AB9" w:rsidRPr="009528A8" w:rsidRDefault="00C21AB9" w:rsidP="002634E9">
      <w:pPr>
        <w:rPr>
          <w:szCs w:val="24"/>
        </w:rPr>
      </w:pPr>
    </w:p>
    <w:p w14:paraId="2E1FFB5A" w14:textId="64F20CAC" w:rsidR="006064D9" w:rsidRPr="009528A8" w:rsidRDefault="00A22A0D" w:rsidP="002634E9">
      <w:pPr>
        <w:rPr>
          <w:rFonts w:eastAsia="Arial"/>
        </w:rPr>
      </w:pPr>
      <w:r w:rsidRPr="009528A8">
        <w:rPr>
          <w:rFonts w:eastAsia="Arial"/>
        </w:rPr>
        <w:t>Declare that it is not vested with jurisdiction to adjudicate the Application;</w:t>
      </w:r>
    </w:p>
    <w:p w14:paraId="1BFA6B9D" w14:textId="3B208EA1" w:rsidR="006064D9" w:rsidRPr="009528A8" w:rsidRDefault="006064D9" w:rsidP="002634E9">
      <w:pPr>
        <w:rPr>
          <w:rFonts w:eastAsia="Arial"/>
        </w:rPr>
      </w:pPr>
      <w:r w:rsidRPr="009528A8">
        <w:rPr>
          <w:rFonts w:eastAsia="Arial"/>
        </w:rPr>
        <w:t>Declare that the Application has not met the admissibility requirement provided by Rule 40(5) of the Rules of Court;</w:t>
      </w:r>
    </w:p>
    <w:p w14:paraId="70FF172F" w14:textId="405DFE52" w:rsidR="006064D9" w:rsidRPr="009528A8" w:rsidRDefault="006064D9" w:rsidP="002634E9">
      <w:pPr>
        <w:rPr>
          <w:rFonts w:eastAsia="Arial"/>
        </w:rPr>
      </w:pPr>
      <w:r w:rsidRPr="009528A8">
        <w:rPr>
          <w:rFonts w:eastAsia="Arial"/>
        </w:rPr>
        <w:t xml:space="preserve">Declare that the </w:t>
      </w:r>
      <w:r w:rsidR="006C76D5" w:rsidRPr="009528A8">
        <w:rPr>
          <w:rFonts w:eastAsia="Arial"/>
        </w:rPr>
        <w:t>a</w:t>
      </w:r>
      <w:r w:rsidRPr="009528A8">
        <w:rPr>
          <w:rFonts w:eastAsia="Arial"/>
        </w:rPr>
        <w:t>pplication has not met the admissibility requirement provided by Rule 40(6) of the Rules of Court;</w:t>
      </w:r>
      <w:r w:rsidR="00795F93" w:rsidRPr="009528A8">
        <w:rPr>
          <w:rFonts w:eastAsia="Arial"/>
        </w:rPr>
        <w:t xml:space="preserve"> and</w:t>
      </w:r>
    </w:p>
    <w:p w14:paraId="05296C46" w14:textId="70F26F52" w:rsidR="006064D9" w:rsidRPr="009528A8" w:rsidRDefault="006064D9" w:rsidP="002634E9">
      <w:pPr>
        <w:rPr>
          <w:rFonts w:eastAsia="Arial"/>
        </w:rPr>
      </w:pPr>
      <w:r w:rsidRPr="009528A8">
        <w:rPr>
          <w:rFonts w:eastAsia="Arial"/>
        </w:rPr>
        <w:t xml:space="preserve">Declare that the </w:t>
      </w:r>
      <w:r w:rsidR="006C76D5" w:rsidRPr="009528A8">
        <w:rPr>
          <w:rFonts w:eastAsia="Arial"/>
        </w:rPr>
        <w:t>a</w:t>
      </w:r>
      <w:r w:rsidRPr="009528A8">
        <w:rPr>
          <w:rFonts w:eastAsia="Arial"/>
        </w:rPr>
        <w:t>pplication is inadmissible and duly dismiss</w:t>
      </w:r>
      <w:r w:rsidR="0030741B" w:rsidRPr="009528A8">
        <w:rPr>
          <w:rFonts w:eastAsia="Arial"/>
        </w:rPr>
        <w:t xml:space="preserve"> it.</w:t>
      </w:r>
    </w:p>
    <w:p w14:paraId="0B4F5471" w14:textId="77777777" w:rsidR="00954DAE" w:rsidRPr="009528A8" w:rsidRDefault="00954DAE" w:rsidP="002634E9"/>
    <w:p w14:paraId="49739FF5" w14:textId="7D672074" w:rsidR="00706534" w:rsidRPr="009528A8" w:rsidRDefault="00706534" w:rsidP="002634E9">
      <w:pPr>
        <w:rPr>
          <w:szCs w:val="24"/>
        </w:rPr>
      </w:pPr>
      <w:r w:rsidRPr="009528A8">
        <w:rPr>
          <w:szCs w:val="24"/>
        </w:rPr>
        <w:t xml:space="preserve">The Respondent State further prays the Court to </w:t>
      </w:r>
      <w:r w:rsidR="00AC7FC4" w:rsidRPr="009528A8">
        <w:rPr>
          <w:szCs w:val="24"/>
        </w:rPr>
        <w:t>grant the following orders</w:t>
      </w:r>
      <w:r w:rsidRPr="009528A8">
        <w:rPr>
          <w:szCs w:val="24"/>
        </w:rPr>
        <w:t>:</w:t>
      </w:r>
    </w:p>
    <w:p w14:paraId="3883B460" w14:textId="77777777" w:rsidR="00795F93" w:rsidRPr="009528A8" w:rsidRDefault="00795F93" w:rsidP="002634E9"/>
    <w:p w14:paraId="01D01FCB" w14:textId="6852190F" w:rsidR="00795F93" w:rsidRPr="009528A8" w:rsidRDefault="00795F93" w:rsidP="002634E9">
      <w:pPr>
        <w:rPr>
          <w:rFonts w:eastAsia="Arial"/>
        </w:rPr>
      </w:pPr>
      <w:r w:rsidRPr="009528A8">
        <w:rPr>
          <w:rFonts w:eastAsia="Arial"/>
        </w:rPr>
        <w:t>Th</w:t>
      </w:r>
      <w:r w:rsidR="00AC7FC4" w:rsidRPr="009528A8">
        <w:rPr>
          <w:rFonts w:eastAsia="Arial"/>
        </w:rPr>
        <w:t>at th</w:t>
      </w:r>
      <w:r w:rsidRPr="009528A8">
        <w:rPr>
          <w:rFonts w:eastAsia="Arial"/>
        </w:rPr>
        <w:t>e Respondent State did not violate the Applicant</w:t>
      </w:r>
      <w:r w:rsidR="00E857F7" w:rsidRPr="009528A8">
        <w:rPr>
          <w:rFonts w:eastAsia="Arial"/>
        </w:rPr>
        <w:t>’</w:t>
      </w:r>
      <w:r w:rsidRPr="009528A8">
        <w:rPr>
          <w:rFonts w:eastAsia="Arial"/>
        </w:rPr>
        <w:t>s rights provided under Article</w:t>
      </w:r>
      <w:r w:rsidR="0030741B" w:rsidRPr="009528A8">
        <w:rPr>
          <w:rFonts w:eastAsia="Arial"/>
        </w:rPr>
        <w:t>s</w:t>
      </w:r>
      <w:r w:rsidRPr="009528A8">
        <w:rPr>
          <w:rFonts w:eastAsia="Arial"/>
        </w:rPr>
        <w:t xml:space="preserve"> 2</w:t>
      </w:r>
      <w:r w:rsidR="0030741B" w:rsidRPr="009528A8">
        <w:rPr>
          <w:rFonts w:eastAsia="Arial"/>
        </w:rPr>
        <w:t>, 3 and 7(1)</w:t>
      </w:r>
      <w:r w:rsidRPr="009528A8">
        <w:rPr>
          <w:rFonts w:eastAsia="Arial"/>
        </w:rPr>
        <w:t xml:space="preserve"> of the Charter;</w:t>
      </w:r>
    </w:p>
    <w:p w14:paraId="16206550" w14:textId="1FA58D55" w:rsidR="00795F93" w:rsidRPr="009528A8" w:rsidRDefault="0030741B" w:rsidP="002634E9">
      <w:pPr>
        <w:rPr>
          <w:rFonts w:eastAsia="Arial"/>
        </w:rPr>
      </w:pPr>
      <w:r w:rsidRPr="009528A8">
        <w:rPr>
          <w:rFonts w:eastAsia="Arial"/>
        </w:rPr>
        <w:t xml:space="preserve">That </w:t>
      </w:r>
      <w:r w:rsidR="00795F93" w:rsidRPr="009528A8">
        <w:rPr>
          <w:rFonts w:eastAsia="Arial"/>
        </w:rPr>
        <w:t xml:space="preserve">the </w:t>
      </w:r>
      <w:r w:rsidR="006C76D5" w:rsidRPr="009528A8">
        <w:rPr>
          <w:rFonts w:eastAsia="Arial"/>
        </w:rPr>
        <w:t>a</w:t>
      </w:r>
      <w:r w:rsidR="00795F93" w:rsidRPr="009528A8">
        <w:rPr>
          <w:rFonts w:eastAsia="Arial"/>
        </w:rPr>
        <w:t>pplication</w:t>
      </w:r>
      <w:r w:rsidRPr="009528A8">
        <w:rPr>
          <w:rFonts w:eastAsia="Arial"/>
        </w:rPr>
        <w:t xml:space="preserve"> is dismissed</w:t>
      </w:r>
      <w:r w:rsidR="00795F93" w:rsidRPr="009528A8">
        <w:rPr>
          <w:rFonts w:eastAsia="Arial"/>
        </w:rPr>
        <w:t xml:space="preserve"> </w:t>
      </w:r>
      <w:r w:rsidR="00AC7FC4" w:rsidRPr="009528A8">
        <w:rPr>
          <w:rFonts w:eastAsia="Arial"/>
        </w:rPr>
        <w:t xml:space="preserve">in its </w:t>
      </w:r>
      <w:r w:rsidRPr="009528A8">
        <w:rPr>
          <w:rFonts w:eastAsia="Arial"/>
        </w:rPr>
        <w:t xml:space="preserve">entirety </w:t>
      </w:r>
      <w:r w:rsidR="00795F93" w:rsidRPr="009528A8">
        <w:rPr>
          <w:rFonts w:eastAsia="Arial"/>
        </w:rPr>
        <w:t>for lack of merit;</w:t>
      </w:r>
    </w:p>
    <w:p w14:paraId="73DB7132" w14:textId="5A5131C0" w:rsidR="00795F93" w:rsidRPr="009528A8" w:rsidRDefault="0030741B" w:rsidP="002634E9">
      <w:pPr>
        <w:rPr>
          <w:rFonts w:eastAsia="Arial"/>
        </w:rPr>
      </w:pPr>
      <w:r w:rsidRPr="009528A8">
        <w:rPr>
          <w:rFonts w:eastAsia="Arial"/>
        </w:rPr>
        <w:t xml:space="preserve">That </w:t>
      </w:r>
      <w:r w:rsidR="00795F93" w:rsidRPr="009528A8">
        <w:rPr>
          <w:rFonts w:eastAsia="Arial"/>
        </w:rPr>
        <w:t>the Applicant</w:t>
      </w:r>
      <w:r w:rsidR="00E857F7" w:rsidRPr="009528A8">
        <w:rPr>
          <w:rFonts w:eastAsia="Arial"/>
        </w:rPr>
        <w:t>’</w:t>
      </w:r>
      <w:r w:rsidR="00795F93" w:rsidRPr="009528A8">
        <w:rPr>
          <w:rFonts w:eastAsia="Arial"/>
        </w:rPr>
        <w:t>s prayers</w:t>
      </w:r>
      <w:r w:rsidRPr="009528A8">
        <w:rPr>
          <w:rFonts w:eastAsia="Arial"/>
        </w:rPr>
        <w:t xml:space="preserve"> are dismissed</w:t>
      </w:r>
      <w:r w:rsidR="001617C6" w:rsidRPr="009528A8">
        <w:rPr>
          <w:rFonts w:eastAsia="Arial"/>
        </w:rPr>
        <w:t>;</w:t>
      </w:r>
    </w:p>
    <w:p w14:paraId="449281C7" w14:textId="559EB412" w:rsidR="00795F93" w:rsidRPr="009528A8" w:rsidRDefault="0030741B" w:rsidP="002634E9">
      <w:pPr>
        <w:rPr>
          <w:rFonts w:eastAsia="Arial"/>
        </w:rPr>
      </w:pPr>
      <w:r w:rsidRPr="009528A8">
        <w:rPr>
          <w:rFonts w:eastAsia="Arial"/>
        </w:rPr>
        <w:t>That t</w:t>
      </w:r>
      <w:r w:rsidR="00795F93" w:rsidRPr="009528A8">
        <w:rPr>
          <w:rFonts w:eastAsia="Arial"/>
        </w:rPr>
        <w:t xml:space="preserve">he Applicant </w:t>
      </w:r>
      <w:r w:rsidRPr="009528A8">
        <w:rPr>
          <w:rFonts w:eastAsia="Arial"/>
        </w:rPr>
        <w:t xml:space="preserve">should </w:t>
      </w:r>
      <w:r w:rsidR="00795F93" w:rsidRPr="009528A8">
        <w:rPr>
          <w:rFonts w:eastAsia="Arial"/>
        </w:rPr>
        <w:t xml:space="preserve">continue to serve his sentence; and </w:t>
      </w:r>
    </w:p>
    <w:p w14:paraId="43897773" w14:textId="446F0117" w:rsidR="00795F93" w:rsidRPr="009528A8" w:rsidRDefault="0030741B" w:rsidP="002634E9">
      <w:pPr>
        <w:rPr>
          <w:rFonts w:eastAsia="Arial"/>
        </w:rPr>
      </w:pPr>
      <w:r w:rsidRPr="009528A8">
        <w:rPr>
          <w:rFonts w:eastAsia="Arial"/>
        </w:rPr>
        <w:t>That t</w:t>
      </w:r>
      <w:r w:rsidR="00795F93" w:rsidRPr="009528A8">
        <w:rPr>
          <w:rFonts w:eastAsia="Arial"/>
        </w:rPr>
        <w:t xml:space="preserve">he Applicant </w:t>
      </w:r>
      <w:r w:rsidRPr="009528A8">
        <w:rPr>
          <w:rFonts w:eastAsia="Arial"/>
        </w:rPr>
        <w:t xml:space="preserve">should </w:t>
      </w:r>
      <w:r w:rsidR="00795F93" w:rsidRPr="009528A8">
        <w:rPr>
          <w:rFonts w:eastAsia="Arial"/>
        </w:rPr>
        <w:t>not be awarded reparations.</w:t>
      </w:r>
    </w:p>
    <w:p w14:paraId="2B267BD4" w14:textId="77777777" w:rsidR="006064D9" w:rsidRPr="009528A8" w:rsidRDefault="006064D9" w:rsidP="002634E9">
      <w:pPr>
        <w:rPr>
          <w:szCs w:val="24"/>
        </w:rPr>
      </w:pPr>
    </w:p>
    <w:p w14:paraId="149349C4" w14:textId="77777777" w:rsidR="0083319C" w:rsidRPr="009528A8" w:rsidRDefault="0083319C" w:rsidP="002634E9">
      <w:pPr>
        <w:rPr>
          <w:szCs w:val="24"/>
        </w:rPr>
      </w:pPr>
    </w:p>
    <w:p w14:paraId="7E69392C" w14:textId="5FE590AC" w:rsidR="006064D9" w:rsidRPr="009528A8" w:rsidRDefault="006064D9" w:rsidP="002634E9">
      <w:pPr>
        <w:rPr>
          <w:lang w:val="en-ZA"/>
        </w:rPr>
      </w:pPr>
      <w:bookmarkStart w:id="11" w:name="_Toc143594934"/>
      <w:r w:rsidRPr="009528A8">
        <w:rPr>
          <w:lang w:val="en-ZA"/>
        </w:rPr>
        <w:t>JURISDICTION</w:t>
      </w:r>
      <w:bookmarkEnd w:id="11"/>
    </w:p>
    <w:p w14:paraId="25C33FED" w14:textId="77777777" w:rsidR="006064D9" w:rsidRPr="009528A8" w:rsidRDefault="006064D9" w:rsidP="002634E9">
      <w:pPr>
        <w:rPr>
          <w:szCs w:val="24"/>
        </w:rPr>
      </w:pPr>
    </w:p>
    <w:p w14:paraId="4E783326" w14:textId="77777777" w:rsidR="006064D9" w:rsidRPr="009528A8" w:rsidRDefault="006064D9" w:rsidP="002634E9">
      <w:pPr>
        <w:rPr>
          <w:szCs w:val="24"/>
        </w:rPr>
      </w:pPr>
      <w:r w:rsidRPr="009528A8">
        <w:rPr>
          <w:szCs w:val="24"/>
        </w:rPr>
        <w:t xml:space="preserve">The Court </w:t>
      </w:r>
      <w:r w:rsidRPr="009528A8">
        <w:rPr>
          <w:szCs w:val="24"/>
          <w:lang w:val="en-ZA"/>
        </w:rPr>
        <w:t>observes</w:t>
      </w:r>
      <w:r w:rsidRPr="009528A8">
        <w:rPr>
          <w:szCs w:val="24"/>
        </w:rPr>
        <w:t xml:space="preserve"> that Article 3 of the Protocol provides as follows:</w:t>
      </w:r>
    </w:p>
    <w:p w14:paraId="744F20A7" w14:textId="77777777" w:rsidR="006064D9" w:rsidRPr="009528A8" w:rsidRDefault="006064D9" w:rsidP="002634E9">
      <w:pPr>
        <w:rPr>
          <w:szCs w:val="24"/>
        </w:rPr>
      </w:pPr>
    </w:p>
    <w:p w14:paraId="61F878F8" w14:textId="1445A693" w:rsidR="004C07D8" w:rsidRPr="009528A8" w:rsidRDefault="006064D9" w:rsidP="002634E9">
      <w:r w:rsidRPr="009528A8">
        <w:t>The jurisdiction of the Court shall extend to all cases and disputes submitted to it concerning the interpretation and application of the Charter, this Protocol and any other relevant Human Rights instrument ratified by the States concerned.</w:t>
      </w:r>
    </w:p>
    <w:p w14:paraId="4A46A64C" w14:textId="52DDA8F3" w:rsidR="006064D9" w:rsidRPr="009528A8" w:rsidRDefault="006064D9" w:rsidP="002634E9">
      <w:r w:rsidRPr="009528A8">
        <w:t>In the event of a dispute as to whether the Court has jurisdiction, the Court shall decide.</w:t>
      </w:r>
    </w:p>
    <w:p w14:paraId="28377078" w14:textId="77777777" w:rsidR="00BE49FB" w:rsidRPr="009528A8" w:rsidRDefault="00BE49FB" w:rsidP="002634E9">
      <w:pPr>
        <w:rPr>
          <w:szCs w:val="24"/>
        </w:rPr>
      </w:pPr>
    </w:p>
    <w:p w14:paraId="13669378" w14:textId="191726C7" w:rsidR="006064D9" w:rsidRPr="009528A8" w:rsidRDefault="006064D9" w:rsidP="002634E9">
      <w:pPr>
        <w:rPr>
          <w:szCs w:val="24"/>
        </w:rPr>
      </w:pPr>
      <w:r w:rsidRPr="009528A8">
        <w:rPr>
          <w:szCs w:val="24"/>
        </w:rPr>
        <w:t xml:space="preserve">The Court </w:t>
      </w:r>
      <w:r w:rsidRPr="009528A8">
        <w:rPr>
          <w:szCs w:val="24"/>
          <w:lang w:val="en-ZA"/>
        </w:rPr>
        <w:t>further</w:t>
      </w:r>
      <w:r w:rsidRPr="009528A8">
        <w:rPr>
          <w:szCs w:val="24"/>
        </w:rPr>
        <w:t xml:space="preserve"> observes that pursuant to Rule 49(1) of the Rules, it “shall conduct a preliminary examination of its jurisdiction […] in accordance with the Charter, the Protocol and these Rules.”</w:t>
      </w:r>
      <w:r w:rsidRPr="009528A8">
        <w:rPr>
          <w:szCs w:val="24"/>
          <w:vertAlign w:val="superscript"/>
        </w:rPr>
        <w:footnoteReference w:id="3"/>
      </w:r>
      <w:r w:rsidRPr="009528A8">
        <w:rPr>
          <w:szCs w:val="24"/>
        </w:rPr>
        <w:t xml:space="preserve"> </w:t>
      </w:r>
    </w:p>
    <w:p w14:paraId="61341E9C" w14:textId="77777777" w:rsidR="006064D9" w:rsidRPr="009528A8" w:rsidRDefault="006064D9" w:rsidP="002634E9">
      <w:pPr>
        <w:rPr>
          <w:szCs w:val="24"/>
        </w:rPr>
      </w:pPr>
    </w:p>
    <w:p w14:paraId="27873378" w14:textId="2D2BC920" w:rsidR="006064D9" w:rsidRPr="009528A8" w:rsidRDefault="00CE30CD" w:rsidP="002634E9">
      <w:pPr>
        <w:rPr>
          <w:szCs w:val="24"/>
        </w:rPr>
      </w:pPr>
      <w:r w:rsidRPr="009528A8">
        <w:rPr>
          <w:szCs w:val="24"/>
        </w:rPr>
        <w:t xml:space="preserve">On the basis of the above-cited provisions, the Court must, in </w:t>
      </w:r>
      <w:r w:rsidR="00A16FD7" w:rsidRPr="009528A8">
        <w:rPr>
          <w:szCs w:val="24"/>
        </w:rPr>
        <w:t>e</w:t>
      </w:r>
      <w:r w:rsidRPr="009528A8">
        <w:rPr>
          <w:szCs w:val="24"/>
        </w:rPr>
        <w:t xml:space="preserve">very </w:t>
      </w:r>
      <w:r w:rsidR="006C76D5" w:rsidRPr="009528A8">
        <w:rPr>
          <w:szCs w:val="24"/>
        </w:rPr>
        <w:t>a</w:t>
      </w:r>
      <w:r w:rsidRPr="009528A8">
        <w:rPr>
          <w:szCs w:val="24"/>
        </w:rPr>
        <w:t xml:space="preserve">pplication, preliminarily ascertain its jurisdiction and rule on the objections </w:t>
      </w:r>
      <w:r w:rsidR="000B7D91" w:rsidRPr="009528A8">
        <w:rPr>
          <w:szCs w:val="24"/>
        </w:rPr>
        <w:t>there</w:t>
      </w:r>
      <w:r w:rsidRPr="009528A8">
        <w:rPr>
          <w:szCs w:val="24"/>
        </w:rPr>
        <w:t>to, if any.</w:t>
      </w:r>
    </w:p>
    <w:p w14:paraId="08CE528C" w14:textId="77777777" w:rsidR="006064D9" w:rsidRPr="009528A8" w:rsidRDefault="006064D9" w:rsidP="002634E9">
      <w:pPr>
        <w:rPr>
          <w:szCs w:val="24"/>
        </w:rPr>
      </w:pPr>
    </w:p>
    <w:p w14:paraId="6E417111" w14:textId="03CFA2E6" w:rsidR="006064D9" w:rsidRPr="009528A8" w:rsidRDefault="006064D9" w:rsidP="002634E9">
      <w:pPr>
        <w:rPr>
          <w:szCs w:val="24"/>
        </w:rPr>
      </w:pPr>
      <w:r w:rsidRPr="009528A8">
        <w:rPr>
          <w:szCs w:val="24"/>
        </w:rPr>
        <w:t xml:space="preserve">In the present </w:t>
      </w:r>
      <w:r w:rsidR="006C76D5" w:rsidRPr="009528A8">
        <w:rPr>
          <w:szCs w:val="24"/>
        </w:rPr>
        <w:t>a</w:t>
      </w:r>
      <w:r w:rsidRPr="009528A8">
        <w:rPr>
          <w:szCs w:val="24"/>
        </w:rPr>
        <w:t>pplication, the Court notes that the Respondent State raises an objection to its material jurisdiction. The Court will consider the said objection before examining other aspects of its jurisdiction</w:t>
      </w:r>
      <w:r w:rsidR="001E4C49" w:rsidRPr="009528A8">
        <w:rPr>
          <w:szCs w:val="24"/>
        </w:rPr>
        <w:t>,</w:t>
      </w:r>
      <w:r w:rsidRPr="009528A8">
        <w:rPr>
          <w:szCs w:val="24"/>
        </w:rPr>
        <w:t xml:space="preserve"> if necessary. </w:t>
      </w:r>
    </w:p>
    <w:p w14:paraId="52060A5B" w14:textId="2CD373FF" w:rsidR="00DF4912" w:rsidRPr="009528A8" w:rsidRDefault="00DF4912" w:rsidP="002634E9">
      <w:pPr>
        <w:rPr>
          <w:szCs w:val="24"/>
        </w:rPr>
      </w:pPr>
    </w:p>
    <w:p w14:paraId="74829E76" w14:textId="058CC86A" w:rsidR="00DF4912" w:rsidRPr="009528A8" w:rsidRDefault="00DF4912" w:rsidP="002634E9">
      <w:bookmarkStart w:id="12" w:name="_Toc143594935"/>
      <w:r w:rsidRPr="009528A8">
        <w:t>Objection to material jurisdiction</w:t>
      </w:r>
      <w:bookmarkEnd w:id="12"/>
    </w:p>
    <w:p w14:paraId="5F9B7975" w14:textId="77777777" w:rsidR="006064D9" w:rsidRPr="009528A8" w:rsidRDefault="006064D9" w:rsidP="002634E9">
      <w:pPr>
        <w:rPr>
          <w:szCs w:val="24"/>
        </w:rPr>
      </w:pPr>
    </w:p>
    <w:p w14:paraId="3FDE9870" w14:textId="4FA915F7" w:rsidR="00415F15" w:rsidRPr="009528A8" w:rsidRDefault="005406FE" w:rsidP="002634E9">
      <w:pPr>
        <w:rPr>
          <w:szCs w:val="24"/>
        </w:rPr>
      </w:pPr>
      <w:r w:rsidRPr="009528A8">
        <w:rPr>
          <w:szCs w:val="24"/>
        </w:rPr>
        <w:t xml:space="preserve">The </w:t>
      </w:r>
      <w:r w:rsidR="006064D9" w:rsidRPr="009528A8">
        <w:rPr>
          <w:szCs w:val="24"/>
        </w:rPr>
        <w:t>Respondent</w:t>
      </w:r>
      <w:r w:rsidRPr="009528A8">
        <w:rPr>
          <w:szCs w:val="24"/>
        </w:rPr>
        <w:t xml:space="preserve"> State contends </w:t>
      </w:r>
      <w:r w:rsidR="006064D9" w:rsidRPr="009528A8">
        <w:rPr>
          <w:szCs w:val="24"/>
        </w:rPr>
        <w:t>that t</w:t>
      </w:r>
      <w:r w:rsidRPr="009528A8">
        <w:rPr>
          <w:szCs w:val="24"/>
        </w:rPr>
        <w:t>h</w:t>
      </w:r>
      <w:r w:rsidR="00AB11D4" w:rsidRPr="009528A8">
        <w:rPr>
          <w:szCs w:val="24"/>
        </w:rPr>
        <w:t>e</w:t>
      </w:r>
      <w:r w:rsidRPr="009528A8">
        <w:rPr>
          <w:szCs w:val="24"/>
        </w:rPr>
        <w:t xml:space="preserve"> </w:t>
      </w:r>
      <w:r w:rsidR="006064D9" w:rsidRPr="009528A8">
        <w:rPr>
          <w:szCs w:val="24"/>
        </w:rPr>
        <w:t xml:space="preserve">Court </w:t>
      </w:r>
      <w:r w:rsidR="000B7D91" w:rsidRPr="009528A8">
        <w:rPr>
          <w:szCs w:val="24"/>
        </w:rPr>
        <w:t xml:space="preserve">lacks material </w:t>
      </w:r>
      <w:r w:rsidR="006064D9" w:rsidRPr="009528A8">
        <w:rPr>
          <w:szCs w:val="24"/>
        </w:rPr>
        <w:t xml:space="preserve">jurisdiction to adjudicate the </w:t>
      </w:r>
      <w:r w:rsidR="006C76D5" w:rsidRPr="009528A8">
        <w:rPr>
          <w:szCs w:val="24"/>
        </w:rPr>
        <w:t>a</w:t>
      </w:r>
      <w:r w:rsidR="006064D9" w:rsidRPr="009528A8">
        <w:rPr>
          <w:szCs w:val="24"/>
        </w:rPr>
        <w:t>pplication</w:t>
      </w:r>
      <w:r w:rsidR="000B7D91" w:rsidRPr="009528A8">
        <w:rPr>
          <w:szCs w:val="24"/>
        </w:rPr>
        <w:t xml:space="preserve"> given that </w:t>
      </w:r>
      <w:r w:rsidR="00E83C26" w:rsidRPr="009528A8">
        <w:rPr>
          <w:szCs w:val="24"/>
        </w:rPr>
        <w:t xml:space="preserve">Article 3 of the Protocol does not provide </w:t>
      </w:r>
      <w:r w:rsidR="00AB11D4" w:rsidRPr="009528A8">
        <w:rPr>
          <w:szCs w:val="24"/>
        </w:rPr>
        <w:t>it</w:t>
      </w:r>
      <w:r w:rsidR="00E83C26" w:rsidRPr="009528A8">
        <w:rPr>
          <w:szCs w:val="24"/>
        </w:rPr>
        <w:t xml:space="preserve"> with the mandate to sit as a </w:t>
      </w:r>
      <w:r w:rsidR="000B7D91" w:rsidRPr="009528A8">
        <w:rPr>
          <w:szCs w:val="24"/>
        </w:rPr>
        <w:t>c</w:t>
      </w:r>
      <w:r w:rsidR="00E83C26" w:rsidRPr="009528A8">
        <w:rPr>
          <w:szCs w:val="24"/>
        </w:rPr>
        <w:t xml:space="preserve">ourt of first instance or an </w:t>
      </w:r>
      <w:r w:rsidR="000B7D91" w:rsidRPr="009528A8">
        <w:rPr>
          <w:szCs w:val="24"/>
        </w:rPr>
        <w:t>a</w:t>
      </w:r>
      <w:r w:rsidR="00E83C26" w:rsidRPr="009528A8">
        <w:rPr>
          <w:szCs w:val="24"/>
        </w:rPr>
        <w:t xml:space="preserve">ppellate </w:t>
      </w:r>
      <w:r w:rsidR="000B7D91" w:rsidRPr="009528A8">
        <w:rPr>
          <w:szCs w:val="24"/>
        </w:rPr>
        <w:t>c</w:t>
      </w:r>
      <w:r w:rsidR="00E83C26" w:rsidRPr="009528A8">
        <w:rPr>
          <w:szCs w:val="24"/>
        </w:rPr>
        <w:t xml:space="preserve">ourt and adjudicate points of law and evidence </w:t>
      </w:r>
      <w:r w:rsidR="000B7D91" w:rsidRPr="009528A8">
        <w:rPr>
          <w:szCs w:val="24"/>
        </w:rPr>
        <w:t xml:space="preserve">already determined </w:t>
      </w:r>
      <w:r w:rsidR="00E83C26" w:rsidRPr="009528A8">
        <w:rPr>
          <w:szCs w:val="24"/>
        </w:rPr>
        <w:t xml:space="preserve">by the </w:t>
      </w:r>
      <w:r w:rsidR="000B7D91" w:rsidRPr="009528A8">
        <w:rPr>
          <w:szCs w:val="24"/>
        </w:rPr>
        <w:t>h</w:t>
      </w:r>
      <w:r w:rsidR="00E83C26" w:rsidRPr="009528A8">
        <w:rPr>
          <w:szCs w:val="24"/>
        </w:rPr>
        <w:t xml:space="preserve">ighest </w:t>
      </w:r>
      <w:r w:rsidR="000B7D91" w:rsidRPr="009528A8">
        <w:rPr>
          <w:szCs w:val="24"/>
        </w:rPr>
        <w:t>domestic c</w:t>
      </w:r>
      <w:r w:rsidR="00E83C26" w:rsidRPr="009528A8">
        <w:rPr>
          <w:szCs w:val="24"/>
        </w:rPr>
        <w:t>ourt.</w:t>
      </w:r>
    </w:p>
    <w:p w14:paraId="2614F91D" w14:textId="77777777" w:rsidR="0036429E" w:rsidRPr="009528A8" w:rsidRDefault="0036429E" w:rsidP="002634E9">
      <w:pPr>
        <w:rPr>
          <w:szCs w:val="24"/>
        </w:rPr>
      </w:pPr>
    </w:p>
    <w:p w14:paraId="2C46F602" w14:textId="24BC785A" w:rsidR="006064D9" w:rsidRPr="009528A8" w:rsidRDefault="000B7D91" w:rsidP="002634E9">
      <w:pPr>
        <w:rPr>
          <w:szCs w:val="24"/>
        </w:rPr>
      </w:pPr>
      <w:r w:rsidRPr="009528A8">
        <w:rPr>
          <w:szCs w:val="24"/>
        </w:rPr>
        <w:t>In support of this contention, t</w:t>
      </w:r>
      <w:r w:rsidR="006064D9" w:rsidRPr="009528A8">
        <w:rPr>
          <w:szCs w:val="24"/>
        </w:rPr>
        <w:t xml:space="preserve">he Respondent State </w:t>
      </w:r>
      <w:r w:rsidRPr="009528A8">
        <w:rPr>
          <w:szCs w:val="24"/>
        </w:rPr>
        <w:t xml:space="preserve">refers to </w:t>
      </w:r>
      <w:r w:rsidR="00780BF3" w:rsidRPr="009528A8">
        <w:rPr>
          <w:szCs w:val="24"/>
        </w:rPr>
        <w:t>the decision</w:t>
      </w:r>
      <w:r w:rsidRPr="009528A8">
        <w:rPr>
          <w:szCs w:val="24"/>
        </w:rPr>
        <w:t xml:space="preserve"> in</w:t>
      </w:r>
      <w:r w:rsidR="006064D9" w:rsidRPr="009528A8">
        <w:rPr>
          <w:szCs w:val="24"/>
        </w:rPr>
        <w:t xml:space="preserve"> </w:t>
      </w:r>
      <w:r w:rsidR="006064D9" w:rsidRPr="009528A8">
        <w:rPr>
          <w:i/>
          <w:iCs/>
          <w:szCs w:val="24"/>
        </w:rPr>
        <w:t xml:space="preserve">Ernest </w:t>
      </w:r>
      <w:r w:rsidR="00136594" w:rsidRPr="009528A8">
        <w:rPr>
          <w:i/>
          <w:iCs/>
          <w:szCs w:val="24"/>
        </w:rPr>
        <w:t xml:space="preserve">Francis </w:t>
      </w:r>
      <w:r w:rsidR="006064D9" w:rsidRPr="009528A8">
        <w:rPr>
          <w:i/>
          <w:iCs/>
          <w:szCs w:val="24"/>
        </w:rPr>
        <w:t>Mti</w:t>
      </w:r>
      <w:r w:rsidR="000B3A3D" w:rsidRPr="009528A8">
        <w:rPr>
          <w:i/>
          <w:iCs/>
          <w:szCs w:val="24"/>
        </w:rPr>
        <w:t>n</w:t>
      </w:r>
      <w:r w:rsidR="006064D9" w:rsidRPr="009528A8">
        <w:rPr>
          <w:i/>
          <w:iCs/>
          <w:szCs w:val="24"/>
        </w:rPr>
        <w:t>gwi v</w:t>
      </w:r>
      <w:r w:rsidRPr="009528A8">
        <w:rPr>
          <w:i/>
          <w:iCs/>
          <w:szCs w:val="24"/>
        </w:rPr>
        <w:t>.</w:t>
      </w:r>
      <w:r w:rsidR="006064D9" w:rsidRPr="009528A8">
        <w:rPr>
          <w:i/>
          <w:iCs/>
          <w:szCs w:val="24"/>
        </w:rPr>
        <w:t xml:space="preserve"> Malawi</w:t>
      </w:r>
      <w:r w:rsidR="00467B9A" w:rsidRPr="009528A8">
        <w:rPr>
          <w:i/>
          <w:iCs/>
          <w:szCs w:val="24"/>
        </w:rPr>
        <w:t xml:space="preserve"> </w:t>
      </w:r>
      <w:r w:rsidR="006064D9" w:rsidRPr="009528A8">
        <w:rPr>
          <w:szCs w:val="24"/>
        </w:rPr>
        <w:t xml:space="preserve">where this Court held that it does not have appellate </w:t>
      </w:r>
      <w:r w:rsidR="006064D9" w:rsidRPr="009528A8">
        <w:rPr>
          <w:szCs w:val="24"/>
          <w:lang w:val="en-ZA"/>
        </w:rPr>
        <w:t>jurisdiction</w:t>
      </w:r>
      <w:r w:rsidR="006064D9" w:rsidRPr="009528A8">
        <w:rPr>
          <w:szCs w:val="24"/>
        </w:rPr>
        <w:t xml:space="preserve"> to receive and consider appeals in respect of cases already decided upon by domestic and</w:t>
      </w:r>
      <w:r w:rsidR="003D14AA" w:rsidRPr="009528A8">
        <w:rPr>
          <w:szCs w:val="24"/>
        </w:rPr>
        <w:t>/</w:t>
      </w:r>
      <w:r w:rsidR="006064D9" w:rsidRPr="009528A8">
        <w:rPr>
          <w:szCs w:val="24"/>
        </w:rPr>
        <w:t xml:space="preserve">or regional courts. </w:t>
      </w:r>
    </w:p>
    <w:p w14:paraId="61E753D3" w14:textId="77777777" w:rsidR="006064D9" w:rsidRPr="009528A8" w:rsidRDefault="006064D9" w:rsidP="002634E9">
      <w:pPr>
        <w:rPr>
          <w:szCs w:val="24"/>
        </w:rPr>
      </w:pPr>
    </w:p>
    <w:p w14:paraId="6DF7FBBB" w14:textId="12D0F71F" w:rsidR="00C04F6B" w:rsidRPr="009528A8" w:rsidRDefault="007B4666" w:rsidP="002634E9">
      <w:pPr>
        <w:rPr>
          <w:szCs w:val="24"/>
        </w:rPr>
      </w:pPr>
      <w:r w:rsidRPr="009528A8">
        <w:rPr>
          <w:szCs w:val="24"/>
        </w:rPr>
        <w:t>The Applicant rebuts the Respondent State</w:t>
      </w:r>
      <w:r w:rsidR="00E857F7" w:rsidRPr="009528A8">
        <w:rPr>
          <w:szCs w:val="24"/>
        </w:rPr>
        <w:t>’</w:t>
      </w:r>
      <w:r w:rsidRPr="009528A8">
        <w:rPr>
          <w:szCs w:val="24"/>
        </w:rPr>
        <w:t xml:space="preserve">s objection and contends that the Court has jurisdiction </w:t>
      </w:r>
      <w:r w:rsidR="00467B9A" w:rsidRPr="009528A8">
        <w:rPr>
          <w:szCs w:val="24"/>
        </w:rPr>
        <w:t xml:space="preserve">in </w:t>
      </w:r>
      <w:r w:rsidRPr="009528A8">
        <w:rPr>
          <w:szCs w:val="24"/>
        </w:rPr>
        <w:t>all cases submitted before it under Article 3(1) and (2) of the Charter</w:t>
      </w:r>
      <w:r w:rsidR="000B7D91" w:rsidRPr="009528A8">
        <w:rPr>
          <w:szCs w:val="24"/>
        </w:rPr>
        <w:t>,</w:t>
      </w:r>
      <w:r w:rsidRPr="009528A8">
        <w:rPr>
          <w:szCs w:val="24"/>
        </w:rPr>
        <w:t xml:space="preserve"> </w:t>
      </w:r>
      <w:r w:rsidRPr="009528A8">
        <w:rPr>
          <w:szCs w:val="24"/>
          <w:lang w:val="en-ZA"/>
        </w:rPr>
        <w:t>and</w:t>
      </w:r>
      <w:r w:rsidRPr="009528A8">
        <w:rPr>
          <w:szCs w:val="24"/>
        </w:rPr>
        <w:t xml:space="preserve"> Article 27 of the Pr</w:t>
      </w:r>
      <w:r w:rsidR="00C04F6B" w:rsidRPr="009528A8">
        <w:rPr>
          <w:szCs w:val="24"/>
        </w:rPr>
        <w:t>o</w:t>
      </w:r>
      <w:r w:rsidRPr="009528A8">
        <w:rPr>
          <w:szCs w:val="24"/>
        </w:rPr>
        <w:t>tocol.</w:t>
      </w:r>
    </w:p>
    <w:p w14:paraId="340BBA7C" w14:textId="77777777" w:rsidR="005E5640" w:rsidRPr="009528A8" w:rsidRDefault="005E5640" w:rsidP="002634E9">
      <w:pPr>
        <w:rPr>
          <w:szCs w:val="24"/>
        </w:rPr>
      </w:pPr>
    </w:p>
    <w:p w14:paraId="5906BFD3" w14:textId="68CA4DBB" w:rsidR="007B4666" w:rsidRPr="009528A8" w:rsidRDefault="00C04F6B" w:rsidP="002634E9">
      <w:pPr>
        <w:rPr>
          <w:szCs w:val="24"/>
        </w:rPr>
      </w:pPr>
      <w:r w:rsidRPr="009528A8">
        <w:rPr>
          <w:szCs w:val="24"/>
        </w:rPr>
        <w:t>***</w:t>
      </w:r>
    </w:p>
    <w:p w14:paraId="5C9F8807" w14:textId="77777777" w:rsidR="000914ED" w:rsidRPr="009528A8" w:rsidRDefault="000914ED" w:rsidP="002634E9">
      <w:pPr>
        <w:rPr>
          <w:szCs w:val="24"/>
        </w:rPr>
      </w:pPr>
    </w:p>
    <w:p w14:paraId="0356DF86" w14:textId="1EF506F5" w:rsidR="000914ED" w:rsidRPr="009528A8" w:rsidRDefault="000914ED" w:rsidP="002634E9">
      <w:pPr>
        <w:rPr>
          <w:szCs w:val="24"/>
        </w:rPr>
      </w:pPr>
      <w:r w:rsidRPr="009528A8">
        <w:rPr>
          <w:szCs w:val="24"/>
        </w:rPr>
        <w:lastRenderedPageBreak/>
        <w:t xml:space="preserve">The Court recalls that </w:t>
      </w:r>
      <w:r w:rsidR="000B7D91" w:rsidRPr="009528A8">
        <w:rPr>
          <w:szCs w:val="24"/>
        </w:rPr>
        <w:t xml:space="preserve">pursuant to </w:t>
      </w:r>
      <w:r w:rsidRPr="009528A8">
        <w:rPr>
          <w:szCs w:val="24"/>
        </w:rPr>
        <w:t>Article 3(1) of the Protocol, it has jurisdiction to examine any application submitted to it, provided that the rights of which a violation is alleged are protected by the Charter or any other human rights instrument ratified by the Respondent State.</w:t>
      </w:r>
      <w:r w:rsidRPr="009528A8">
        <w:rPr>
          <w:rStyle w:val="FootnoteReference"/>
          <w:rFonts w:ascii="Arial" w:hAnsi="Arial" w:cs="Arial"/>
          <w:sz w:val="24"/>
          <w:szCs w:val="24"/>
        </w:rPr>
        <w:footnoteReference w:id="4"/>
      </w:r>
    </w:p>
    <w:p w14:paraId="5B109E87" w14:textId="77777777" w:rsidR="004758B8" w:rsidRPr="009528A8" w:rsidRDefault="004758B8" w:rsidP="002634E9">
      <w:pPr>
        <w:rPr>
          <w:szCs w:val="24"/>
        </w:rPr>
      </w:pPr>
    </w:p>
    <w:p w14:paraId="7F5664DC" w14:textId="4DB8C4AE" w:rsidR="00422A18" w:rsidRPr="009528A8" w:rsidRDefault="004758B8" w:rsidP="002634E9">
      <w:pPr>
        <w:rPr>
          <w:rFonts w:eastAsia="Arial"/>
          <w:szCs w:val="24"/>
        </w:rPr>
      </w:pPr>
      <w:r w:rsidRPr="009528A8">
        <w:rPr>
          <w:rFonts w:eastAsia="Arial"/>
          <w:szCs w:val="24"/>
        </w:rPr>
        <w:t>The Court further recalls that, as is now firmly established in its case-law, it does not exercise appellate jurisdiction with respect to claims already examined by domestic courts.</w:t>
      </w:r>
      <w:r w:rsidRPr="009528A8">
        <w:rPr>
          <w:rFonts w:eastAsia="Arial"/>
          <w:szCs w:val="24"/>
          <w:vertAlign w:val="superscript"/>
        </w:rPr>
        <w:footnoteReference w:id="5"/>
      </w:r>
      <w:r w:rsidRPr="009528A8">
        <w:rPr>
          <w:rFonts w:eastAsia="Arial"/>
          <w:szCs w:val="24"/>
        </w:rPr>
        <w:t xml:space="preserve"> However, the Court retains the power to examine the procedures of national </w:t>
      </w:r>
      <w:r w:rsidR="000B7D91" w:rsidRPr="009528A8">
        <w:rPr>
          <w:rFonts w:eastAsia="Arial"/>
          <w:szCs w:val="24"/>
        </w:rPr>
        <w:t>c</w:t>
      </w:r>
      <w:r w:rsidRPr="009528A8">
        <w:rPr>
          <w:rFonts w:eastAsia="Arial"/>
          <w:szCs w:val="24"/>
        </w:rPr>
        <w:t xml:space="preserve">ourts in order to determine whether they are in conformity with the </w:t>
      </w:r>
      <w:r w:rsidRPr="009528A8">
        <w:rPr>
          <w:szCs w:val="24"/>
          <w:lang w:val="en-ZA"/>
        </w:rPr>
        <w:t>standards</w:t>
      </w:r>
      <w:r w:rsidRPr="009528A8">
        <w:rPr>
          <w:rFonts w:eastAsia="Arial"/>
          <w:szCs w:val="24"/>
        </w:rPr>
        <w:t xml:space="preserve"> set out in the Charter or in any other human rights instrument ratified by the State concerned.</w:t>
      </w:r>
      <w:r w:rsidRPr="009528A8">
        <w:rPr>
          <w:rStyle w:val="FootnoteReference"/>
          <w:rFonts w:ascii="Arial" w:eastAsia="Arial" w:hAnsi="Arial" w:cs="Arial"/>
          <w:sz w:val="24"/>
          <w:szCs w:val="24"/>
        </w:rPr>
        <w:footnoteReference w:id="6"/>
      </w:r>
    </w:p>
    <w:p w14:paraId="736EDE63" w14:textId="77777777" w:rsidR="00422A18" w:rsidRPr="009528A8" w:rsidRDefault="00422A18" w:rsidP="002634E9">
      <w:pPr>
        <w:rPr>
          <w:rFonts w:eastAsia="Arial"/>
          <w:szCs w:val="24"/>
        </w:rPr>
      </w:pPr>
    </w:p>
    <w:p w14:paraId="611F4C0E" w14:textId="6E26F320" w:rsidR="0002619B" w:rsidRPr="009528A8" w:rsidRDefault="0002619B" w:rsidP="002634E9">
      <w:pPr>
        <w:rPr>
          <w:szCs w:val="24"/>
        </w:rPr>
      </w:pPr>
      <w:r w:rsidRPr="009528A8">
        <w:rPr>
          <w:szCs w:val="24"/>
        </w:rPr>
        <w:t xml:space="preserve">In the instant case, the Court notes that the Applicant alleges the violations </w:t>
      </w:r>
      <w:r w:rsidR="00972894" w:rsidRPr="009528A8">
        <w:rPr>
          <w:szCs w:val="24"/>
        </w:rPr>
        <w:t xml:space="preserve">of </w:t>
      </w:r>
      <w:r w:rsidRPr="009528A8">
        <w:rPr>
          <w:szCs w:val="24"/>
        </w:rPr>
        <w:t xml:space="preserve">rights </w:t>
      </w:r>
      <w:r w:rsidR="004903D8" w:rsidRPr="009528A8">
        <w:rPr>
          <w:szCs w:val="24"/>
        </w:rPr>
        <w:t xml:space="preserve">guaranteed </w:t>
      </w:r>
      <w:r w:rsidRPr="009528A8">
        <w:rPr>
          <w:szCs w:val="24"/>
        </w:rPr>
        <w:t xml:space="preserve">under </w:t>
      </w:r>
      <w:r w:rsidR="00DE36D5" w:rsidRPr="009528A8">
        <w:rPr>
          <w:szCs w:val="24"/>
        </w:rPr>
        <w:t xml:space="preserve">Articles 2, 3, and 7(1) of </w:t>
      </w:r>
      <w:r w:rsidRPr="009528A8">
        <w:rPr>
          <w:szCs w:val="24"/>
        </w:rPr>
        <w:t>the Charter, which it is empowered to interpret and apply pursuant to Article 3(1) of the Protocol.</w:t>
      </w:r>
      <w:r w:rsidR="000B3BEC" w:rsidRPr="009528A8">
        <w:rPr>
          <w:rStyle w:val="FootnoteReference"/>
          <w:rFonts w:ascii="Arial" w:hAnsi="Arial" w:cs="Arial"/>
          <w:sz w:val="24"/>
          <w:szCs w:val="24"/>
        </w:rPr>
        <w:footnoteReference w:id="7"/>
      </w:r>
    </w:p>
    <w:p w14:paraId="387C53C3" w14:textId="77777777" w:rsidR="00422A18" w:rsidRPr="009528A8" w:rsidRDefault="00422A18" w:rsidP="002634E9">
      <w:pPr>
        <w:rPr>
          <w:szCs w:val="24"/>
        </w:rPr>
      </w:pPr>
    </w:p>
    <w:p w14:paraId="05A70C3A" w14:textId="5C17E71F" w:rsidR="00696305" w:rsidRPr="009528A8" w:rsidRDefault="00CE467A" w:rsidP="002634E9">
      <w:pPr>
        <w:rPr>
          <w:szCs w:val="24"/>
        </w:rPr>
      </w:pPr>
      <w:r w:rsidRPr="009528A8">
        <w:rPr>
          <w:szCs w:val="24"/>
        </w:rPr>
        <w:t xml:space="preserve">In light of the </w:t>
      </w:r>
      <w:r w:rsidRPr="009528A8">
        <w:rPr>
          <w:szCs w:val="24"/>
          <w:lang w:val="en-ZA"/>
        </w:rPr>
        <w:t>above</w:t>
      </w:r>
      <w:r w:rsidRPr="009528A8">
        <w:rPr>
          <w:szCs w:val="24"/>
        </w:rPr>
        <w:t>, the Court dismisses the Respondent State</w:t>
      </w:r>
      <w:r w:rsidR="00E857F7" w:rsidRPr="009528A8">
        <w:rPr>
          <w:szCs w:val="24"/>
        </w:rPr>
        <w:t>’</w:t>
      </w:r>
      <w:r w:rsidRPr="009528A8">
        <w:rPr>
          <w:szCs w:val="24"/>
        </w:rPr>
        <w:t>s objection and consequently holds that it has material jurisdiction to hear this Application.</w:t>
      </w:r>
    </w:p>
    <w:p w14:paraId="4CBF72D6" w14:textId="77777777" w:rsidR="00323AC1" w:rsidRPr="009528A8" w:rsidRDefault="00323AC1" w:rsidP="002634E9">
      <w:pPr>
        <w:rPr>
          <w:szCs w:val="24"/>
        </w:rPr>
      </w:pPr>
    </w:p>
    <w:p w14:paraId="5500608D" w14:textId="44A3A44C" w:rsidR="001B4220" w:rsidRPr="009528A8" w:rsidRDefault="001B4220" w:rsidP="002634E9">
      <w:bookmarkStart w:id="19" w:name="_Toc143594936"/>
      <w:r w:rsidRPr="009528A8">
        <w:t>Other aspects of jurisdiction</w:t>
      </w:r>
      <w:bookmarkEnd w:id="19"/>
    </w:p>
    <w:p w14:paraId="7D3BD8A1" w14:textId="77777777" w:rsidR="00B73E7A" w:rsidRPr="009528A8" w:rsidRDefault="00B73E7A" w:rsidP="002634E9">
      <w:pPr>
        <w:rPr>
          <w:bCs/>
          <w:szCs w:val="24"/>
        </w:rPr>
      </w:pPr>
    </w:p>
    <w:p w14:paraId="696B4458" w14:textId="5F5F6294" w:rsidR="00795F23" w:rsidRPr="009528A8" w:rsidRDefault="00B73E7A" w:rsidP="002634E9">
      <w:pPr>
        <w:rPr>
          <w:szCs w:val="24"/>
        </w:rPr>
      </w:pPr>
      <w:r w:rsidRPr="009528A8">
        <w:rPr>
          <w:szCs w:val="24"/>
        </w:rPr>
        <w:t xml:space="preserve">The Court observes that </w:t>
      </w:r>
      <w:r w:rsidR="004903D8" w:rsidRPr="009528A8">
        <w:rPr>
          <w:szCs w:val="24"/>
        </w:rPr>
        <w:t>the</w:t>
      </w:r>
      <w:r w:rsidR="001D05E2" w:rsidRPr="009528A8">
        <w:rPr>
          <w:szCs w:val="24"/>
        </w:rPr>
        <w:t xml:space="preserve">re is no contention </w:t>
      </w:r>
      <w:r w:rsidRPr="009528A8">
        <w:rPr>
          <w:szCs w:val="24"/>
        </w:rPr>
        <w:t xml:space="preserve">with respect to its personal, temporal and territorial jurisdiction. Nonetheless, in line with Rule 49(1) of the </w:t>
      </w:r>
      <w:r w:rsidRPr="009528A8">
        <w:rPr>
          <w:szCs w:val="24"/>
          <w:lang w:val="en-ZA"/>
        </w:rPr>
        <w:t>Rules</w:t>
      </w:r>
      <w:r w:rsidRPr="009528A8">
        <w:rPr>
          <w:szCs w:val="24"/>
        </w:rPr>
        <w:t>,</w:t>
      </w:r>
      <w:r w:rsidR="00795F23" w:rsidRPr="009528A8">
        <w:rPr>
          <w:rStyle w:val="FootnoteReference"/>
          <w:rFonts w:ascii="Arial" w:hAnsi="Arial" w:cs="Arial"/>
          <w:sz w:val="24"/>
          <w:szCs w:val="24"/>
        </w:rPr>
        <w:footnoteReference w:id="8"/>
      </w:r>
      <w:r w:rsidRPr="009528A8">
        <w:rPr>
          <w:szCs w:val="24"/>
        </w:rPr>
        <w:t xml:space="preserve"> it must satisfy itself that all aspects of its jurisdiction are fulfilled before proceeding</w:t>
      </w:r>
      <w:r w:rsidR="006C36C6" w:rsidRPr="009528A8">
        <w:rPr>
          <w:szCs w:val="24"/>
        </w:rPr>
        <w:t xml:space="preserve"> to consider the matter</w:t>
      </w:r>
      <w:r w:rsidRPr="009528A8">
        <w:rPr>
          <w:szCs w:val="24"/>
        </w:rPr>
        <w:t>.</w:t>
      </w:r>
    </w:p>
    <w:p w14:paraId="0EFA991E" w14:textId="77777777" w:rsidR="00795F23" w:rsidRPr="009528A8" w:rsidRDefault="00795F23" w:rsidP="002634E9">
      <w:pPr>
        <w:rPr>
          <w:szCs w:val="24"/>
        </w:rPr>
      </w:pPr>
    </w:p>
    <w:p w14:paraId="66046478" w14:textId="1EFED1F0" w:rsidR="004903D8" w:rsidRPr="009528A8" w:rsidRDefault="00795F23" w:rsidP="002634E9">
      <w:pPr>
        <w:rPr>
          <w:szCs w:val="24"/>
        </w:rPr>
      </w:pPr>
      <w:r w:rsidRPr="009528A8">
        <w:rPr>
          <w:szCs w:val="24"/>
          <w:lang w:val="en-ZA"/>
          <w14:ligatures w14:val="standardContextual"/>
        </w:rPr>
        <w:t xml:space="preserve">Having </w:t>
      </w:r>
      <w:r w:rsidR="00DA07FF" w:rsidRPr="009528A8">
        <w:rPr>
          <w:szCs w:val="24"/>
          <w:lang w:val="en-ZA"/>
        </w:rPr>
        <w:t>noted</w:t>
      </w:r>
      <w:r w:rsidRPr="009528A8">
        <w:rPr>
          <w:szCs w:val="24"/>
          <w:lang w:val="en-ZA"/>
          <w14:ligatures w14:val="standardContextual"/>
        </w:rPr>
        <w:t xml:space="preserve"> that there is nothing on the record to indicate </w:t>
      </w:r>
      <w:r w:rsidR="004A18ED" w:rsidRPr="009528A8">
        <w:rPr>
          <w:szCs w:val="24"/>
          <w:lang w:val="en-ZA"/>
          <w14:ligatures w14:val="standardContextual"/>
        </w:rPr>
        <w:t xml:space="preserve">otherwise, </w:t>
      </w:r>
      <w:r w:rsidRPr="009528A8">
        <w:rPr>
          <w:szCs w:val="24"/>
          <w:lang w:val="en-ZA"/>
          <w14:ligatures w14:val="standardContextual"/>
        </w:rPr>
        <w:t>the Court concludes that</w:t>
      </w:r>
      <w:r w:rsidR="004903D8" w:rsidRPr="009528A8">
        <w:rPr>
          <w:szCs w:val="24"/>
          <w:lang w:val="en-ZA"/>
          <w14:ligatures w14:val="standardContextual"/>
        </w:rPr>
        <w:t>:</w:t>
      </w:r>
      <w:r w:rsidRPr="009528A8">
        <w:rPr>
          <w:szCs w:val="24"/>
          <w:lang w:val="en-ZA"/>
          <w14:ligatures w14:val="standardContextual"/>
        </w:rPr>
        <w:t xml:space="preserve"> </w:t>
      </w:r>
    </w:p>
    <w:p w14:paraId="518F4502" w14:textId="77777777" w:rsidR="004903D8" w:rsidRPr="009528A8" w:rsidRDefault="004903D8" w:rsidP="002634E9">
      <w:pPr>
        <w:rPr>
          <w:szCs w:val="24"/>
          <w:lang w:val="en-ZA"/>
          <w14:ligatures w14:val="standardContextual"/>
        </w:rPr>
      </w:pPr>
    </w:p>
    <w:p w14:paraId="008B8983" w14:textId="6955C3C5" w:rsidR="002E20CB" w:rsidRPr="009528A8" w:rsidRDefault="004903D8" w:rsidP="002634E9">
      <w:pPr>
        <w:rPr>
          <w:szCs w:val="24"/>
        </w:rPr>
      </w:pPr>
      <w:r w:rsidRPr="009528A8">
        <w:rPr>
          <w:szCs w:val="24"/>
          <w:lang w:val="en-ZA"/>
          <w14:ligatures w14:val="standardContextual"/>
        </w:rPr>
        <w:t>I</w:t>
      </w:r>
      <w:r w:rsidR="00795F23" w:rsidRPr="009528A8">
        <w:rPr>
          <w:szCs w:val="24"/>
          <w:lang w:val="en-ZA"/>
          <w14:ligatures w14:val="standardContextual"/>
        </w:rPr>
        <w:t>t has personal jurisdiction, in so far as the Respondent State is a party to the Charter, the Protocol and has deposited the Declaration which allows individuals and</w:t>
      </w:r>
      <w:r w:rsidR="00063C0B" w:rsidRPr="009528A8">
        <w:rPr>
          <w:szCs w:val="24"/>
          <w:lang w:val="en-ZA"/>
          <w14:ligatures w14:val="standardContextual"/>
        </w:rPr>
        <w:t xml:space="preserve"> NGOs</w:t>
      </w:r>
      <w:r w:rsidR="00795F23" w:rsidRPr="009528A8">
        <w:rPr>
          <w:szCs w:val="24"/>
          <w:lang w:val="en-ZA"/>
          <w14:ligatures w14:val="standardContextual"/>
        </w:rPr>
        <w:t xml:space="preserve"> to bring cases directly before the Court. In this vein, the Court recalls its earlier position that the Respondent State</w:t>
      </w:r>
      <w:r w:rsidR="00E857F7" w:rsidRPr="009528A8">
        <w:rPr>
          <w:szCs w:val="24"/>
          <w:lang w:val="en-ZA"/>
          <w14:ligatures w14:val="standardContextual"/>
        </w:rPr>
        <w:t>’</w:t>
      </w:r>
      <w:r w:rsidR="00795F23" w:rsidRPr="009528A8">
        <w:rPr>
          <w:szCs w:val="24"/>
          <w:lang w:val="en-ZA"/>
          <w14:ligatures w14:val="standardContextual"/>
        </w:rPr>
        <w:t xml:space="preserve">s withdrawal of </w:t>
      </w:r>
      <w:r w:rsidR="00795F23" w:rsidRPr="009528A8">
        <w:rPr>
          <w:szCs w:val="24"/>
          <w:lang w:val="en-ZA"/>
          <w14:ligatures w14:val="standardContextual"/>
        </w:rPr>
        <w:lastRenderedPageBreak/>
        <w:t xml:space="preserve">its Declaration on 25 March 2020 does not have </w:t>
      </w:r>
      <w:r w:rsidRPr="009528A8">
        <w:rPr>
          <w:szCs w:val="24"/>
          <w:lang w:val="en-ZA"/>
          <w14:ligatures w14:val="standardContextual"/>
        </w:rPr>
        <w:t xml:space="preserve">any </w:t>
      </w:r>
      <w:r w:rsidR="00795F23" w:rsidRPr="009528A8">
        <w:rPr>
          <w:szCs w:val="24"/>
          <w:lang w:val="en-ZA"/>
          <w14:ligatures w14:val="standardContextual"/>
        </w:rPr>
        <w:t xml:space="preserve">effect on the instant Application, as the withdrawal was made </w:t>
      </w:r>
      <w:r w:rsidRPr="009528A8">
        <w:rPr>
          <w:szCs w:val="24"/>
          <w:lang w:val="en-ZA"/>
          <w14:ligatures w14:val="standardContextual"/>
        </w:rPr>
        <w:t xml:space="preserve">subsequent to filing of </w:t>
      </w:r>
      <w:r w:rsidR="00795F23" w:rsidRPr="009528A8">
        <w:rPr>
          <w:szCs w:val="24"/>
          <w:lang w:val="en-ZA"/>
          <w14:ligatures w14:val="standardContextual"/>
        </w:rPr>
        <w:t xml:space="preserve">the </w:t>
      </w:r>
      <w:r w:rsidR="006C76D5" w:rsidRPr="009528A8">
        <w:rPr>
          <w:szCs w:val="24"/>
          <w:lang w:val="en-ZA"/>
          <w14:ligatures w14:val="standardContextual"/>
        </w:rPr>
        <w:t>a</w:t>
      </w:r>
      <w:r w:rsidR="00795F23" w:rsidRPr="009528A8">
        <w:rPr>
          <w:szCs w:val="24"/>
          <w:lang w:val="en-ZA"/>
          <w14:ligatures w14:val="standardContextual"/>
        </w:rPr>
        <w:t>pplication.</w:t>
      </w:r>
      <w:r w:rsidR="00795F23" w:rsidRPr="009528A8">
        <w:rPr>
          <w:rStyle w:val="FootnoteReference"/>
          <w:rFonts w:ascii="Arial" w:hAnsi="Arial" w:cs="Arial"/>
          <w:sz w:val="24"/>
          <w:szCs w:val="24"/>
          <w:lang w:val="en-ZA"/>
          <w14:ligatures w14:val="standardContextual"/>
        </w:rPr>
        <w:footnoteReference w:id="9"/>
      </w:r>
      <w:r w:rsidR="00795F23" w:rsidRPr="009528A8">
        <w:rPr>
          <w:szCs w:val="24"/>
          <w:lang w:val="en-ZA"/>
          <w14:ligatures w14:val="standardContextual"/>
        </w:rPr>
        <w:t xml:space="preserve"> </w:t>
      </w:r>
    </w:p>
    <w:p w14:paraId="04271294" w14:textId="77777777" w:rsidR="002E20CB" w:rsidRPr="009528A8" w:rsidRDefault="002E20CB" w:rsidP="002634E9">
      <w:pPr>
        <w:rPr>
          <w:szCs w:val="24"/>
        </w:rPr>
      </w:pPr>
    </w:p>
    <w:p w14:paraId="7FD50117" w14:textId="1A444E03" w:rsidR="00E07A37" w:rsidRPr="009528A8" w:rsidRDefault="004903D8" w:rsidP="002634E9">
      <w:pPr>
        <w:rPr>
          <w:szCs w:val="24"/>
        </w:rPr>
      </w:pPr>
      <w:r w:rsidRPr="009528A8">
        <w:rPr>
          <w:szCs w:val="24"/>
        </w:rPr>
        <w:t xml:space="preserve">It has </w:t>
      </w:r>
      <w:r w:rsidR="002605ED" w:rsidRPr="009528A8">
        <w:rPr>
          <w:szCs w:val="24"/>
        </w:rPr>
        <w:t>temporal jurisdiction</w:t>
      </w:r>
      <w:r w:rsidRPr="009528A8">
        <w:rPr>
          <w:szCs w:val="24"/>
        </w:rPr>
        <w:t xml:space="preserve"> given </w:t>
      </w:r>
      <w:r w:rsidR="002605ED" w:rsidRPr="009528A8">
        <w:rPr>
          <w:szCs w:val="24"/>
        </w:rPr>
        <w:t xml:space="preserve">that the violations alleged by the Applicant occurred after the Respondent State became a </w:t>
      </w:r>
      <w:r w:rsidRPr="009528A8">
        <w:rPr>
          <w:szCs w:val="24"/>
        </w:rPr>
        <w:t>p</w:t>
      </w:r>
      <w:r w:rsidR="002605ED" w:rsidRPr="009528A8">
        <w:rPr>
          <w:szCs w:val="24"/>
        </w:rPr>
        <w:t>arty to the Protocol. Furthermore, the alleged violations are continuing in nature since the Applicant remains convicted on the basis of what he considers an unfair process.</w:t>
      </w:r>
      <w:r w:rsidR="002605ED" w:rsidRPr="009528A8">
        <w:rPr>
          <w:rStyle w:val="FootnoteReference"/>
          <w:rFonts w:ascii="Arial" w:hAnsi="Arial" w:cs="Arial"/>
          <w:sz w:val="24"/>
          <w:szCs w:val="24"/>
        </w:rPr>
        <w:footnoteReference w:id="10"/>
      </w:r>
      <w:r w:rsidR="00E3246C" w:rsidRPr="009528A8">
        <w:rPr>
          <w:szCs w:val="24"/>
        </w:rPr>
        <w:t xml:space="preserve"> </w:t>
      </w:r>
    </w:p>
    <w:p w14:paraId="2997D2DB" w14:textId="77777777" w:rsidR="00E07A37" w:rsidRPr="009528A8" w:rsidRDefault="00E07A37" w:rsidP="002634E9">
      <w:pPr>
        <w:rPr>
          <w:szCs w:val="24"/>
        </w:rPr>
      </w:pPr>
    </w:p>
    <w:p w14:paraId="5315E667" w14:textId="49717CB7" w:rsidR="00E07A37" w:rsidRPr="009528A8" w:rsidRDefault="00EA2B0F" w:rsidP="002634E9">
      <w:pPr>
        <w:rPr>
          <w:szCs w:val="24"/>
        </w:rPr>
      </w:pPr>
      <w:r w:rsidRPr="009528A8">
        <w:rPr>
          <w:szCs w:val="24"/>
        </w:rPr>
        <w:t xml:space="preserve">It has </w:t>
      </w:r>
      <w:r w:rsidR="00E07A37" w:rsidRPr="009528A8">
        <w:rPr>
          <w:szCs w:val="24"/>
        </w:rPr>
        <w:t>territorial jurisdiction</w:t>
      </w:r>
      <w:r w:rsidRPr="009528A8">
        <w:rPr>
          <w:szCs w:val="24"/>
        </w:rPr>
        <w:t xml:space="preserve"> considering </w:t>
      </w:r>
      <w:r w:rsidR="00E07A37" w:rsidRPr="009528A8">
        <w:rPr>
          <w:szCs w:val="24"/>
        </w:rPr>
        <w:t>that the alleged violations occurred within the territory of the Respondent State.</w:t>
      </w:r>
    </w:p>
    <w:p w14:paraId="0A34D1CA" w14:textId="77777777" w:rsidR="00E07A37" w:rsidRPr="009528A8" w:rsidRDefault="00E07A37" w:rsidP="002634E9">
      <w:pPr>
        <w:rPr>
          <w:szCs w:val="24"/>
        </w:rPr>
      </w:pPr>
    </w:p>
    <w:p w14:paraId="12298BCE" w14:textId="21CA5817" w:rsidR="00B53520" w:rsidRPr="009528A8" w:rsidRDefault="00B53520" w:rsidP="002634E9">
      <w:pPr>
        <w:rPr>
          <w:szCs w:val="24"/>
        </w:rPr>
      </w:pPr>
      <w:r w:rsidRPr="009528A8">
        <w:rPr>
          <w:szCs w:val="24"/>
        </w:rPr>
        <w:t xml:space="preserve">In light of all of the above, the Court holds that it has jurisdiction to determine the present </w:t>
      </w:r>
      <w:r w:rsidR="006C76D5" w:rsidRPr="009528A8">
        <w:rPr>
          <w:szCs w:val="24"/>
        </w:rPr>
        <w:t>a</w:t>
      </w:r>
      <w:r w:rsidRPr="009528A8">
        <w:rPr>
          <w:szCs w:val="24"/>
        </w:rPr>
        <w:t xml:space="preserve">pplication. </w:t>
      </w:r>
    </w:p>
    <w:p w14:paraId="2FA59D40" w14:textId="77777777" w:rsidR="006064D9" w:rsidRPr="009528A8" w:rsidRDefault="006064D9" w:rsidP="002634E9">
      <w:pPr>
        <w:rPr>
          <w:szCs w:val="24"/>
        </w:rPr>
      </w:pPr>
    </w:p>
    <w:p w14:paraId="3FDF297C" w14:textId="77777777" w:rsidR="0083319C" w:rsidRPr="009528A8" w:rsidRDefault="0083319C" w:rsidP="002634E9">
      <w:pPr>
        <w:rPr>
          <w:szCs w:val="24"/>
        </w:rPr>
      </w:pPr>
    </w:p>
    <w:p w14:paraId="7F8E72AB" w14:textId="5E7633B2" w:rsidR="006064D9" w:rsidRPr="009528A8" w:rsidRDefault="006064D9" w:rsidP="002634E9">
      <w:pPr>
        <w:rPr>
          <w:lang w:val="en-ZA"/>
        </w:rPr>
      </w:pPr>
      <w:bookmarkStart w:id="20" w:name="_Toc143594937"/>
      <w:r w:rsidRPr="009528A8">
        <w:rPr>
          <w:lang w:val="en-ZA"/>
        </w:rPr>
        <w:t>ADMISSIBILITY</w:t>
      </w:r>
      <w:bookmarkEnd w:id="20"/>
    </w:p>
    <w:p w14:paraId="16D202D5" w14:textId="77777777" w:rsidR="006064D9" w:rsidRPr="009528A8" w:rsidRDefault="006064D9" w:rsidP="002634E9">
      <w:pPr>
        <w:rPr>
          <w:bCs/>
          <w:szCs w:val="24"/>
        </w:rPr>
      </w:pPr>
    </w:p>
    <w:p w14:paraId="11C370D6" w14:textId="0D141479" w:rsidR="006064D9" w:rsidRPr="009528A8" w:rsidRDefault="006064D9" w:rsidP="002634E9">
      <w:pPr>
        <w:rPr>
          <w:szCs w:val="24"/>
        </w:rPr>
      </w:pPr>
      <w:r w:rsidRPr="009528A8">
        <w:rPr>
          <w:szCs w:val="24"/>
        </w:rPr>
        <w:t xml:space="preserve">Pursuant to </w:t>
      </w:r>
      <w:r w:rsidRPr="009528A8">
        <w:rPr>
          <w:szCs w:val="24"/>
          <w:lang w:val="en-ZA"/>
        </w:rPr>
        <w:t>Article</w:t>
      </w:r>
      <w:r w:rsidRPr="009528A8">
        <w:rPr>
          <w:szCs w:val="24"/>
        </w:rPr>
        <w:t xml:space="preserve"> 6(2) of the Protocol, “The Court shall rule on the admissibility of cases taking into account the provisions of Article 56 of the Charter”.</w:t>
      </w:r>
    </w:p>
    <w:p w14:paraId="11CC71D9" w14:textId="77777777" w:rsidR="006064D9" w:rsidRPr="009528A8" w:rsidRDefault="006064D9" w:rsidP="002634E9">
      <w:pPr>
        <w:rPr>
          <w:szCs w:val="24"/>
        </w:rPr>
      </w:pPr>
    </w:p>
    <w:p w14:paraId="6B385CD5" w14:textId="6CD192D6" w:rsidR="006064D9" w:rsidRPr="009528A8" w:rsidRDefault="006064D9" w:rsidP="002634E9">
      <w:pPr>
        <w:rPr>
          <w:szCs w:val="24"/>
        </w:rPr>
      </w:pPr>
      <w:r w:rsidRPr="009528A8">
        <w:rPr>
          <w:szCs w:val="24"/>
        </w:rPr>
        <w:t xml:space="preserve">In line with Rule 50(1) of the Rules, “the Court shall ascertain the admissibility of an </w:t>
      </w:r>
      <w:r w:rsidR="006C76D5" w:rsidRPr="009528A8">
        <w:rPr>
          <w:szCs w:val="24"/>
          <w:lang w:val="en-ZA"/>
        </w:rPr>
        <w:t>a</w:t>
      </w:r>
      <w:r w:rsidRPr="009528A8">
        <w:rPr>
          <w:szCs w:val="24"/>
          <w:lang w:val="en-ZA"/>
        </w:rPr>
        <w:t>pplication</w:t>
      </w:r>
      <w:r w:rsidRPr="009528A8">
        <w:rPr>
          <w:szCs w:val="24"/>
        </w:rPr>
        <w:t xml:space="preserve"> filed before it in accordance with Article 56 of the Charter, Article 6(2) of the Protocol and </w:t>
      </w:r>
      <w:r w:rsidR="001D05E2" w:rsidRPr="009528A8">
        <w:rPr>
          <w:szCs w:val="24"/>
        </w:rPr>
        <w:t>the</w:t>
      </w:r>
      <w:r w:rsidR="006C76D5" w:rsidRPr="009528A8">
        <w:rPr>
          <w:szCs w:val="24"/>
        </w:rPr>
        <w:t>se</w:t>
      </w:r>
      <w:r w:rsidR="001D05E2" w:rsidRPr="009528A8">
        <w:rPr>
          <w:szCs w:val="24"/>
        </w:rPr>
        <w:t xml:space="preserve"> </w:t>
      </w:r>
      <w:r w:rsidR="001D05E2" w:rsidRPr="009528A8">
        <w:t>[…]</w:t>
      </w:r>
      <w:r w:rsidRPr="009528A8">
        <w:rPr>
          <w:szCs w:val="24"/>
        </w:rPr>
        <w:t>Rules.”</w:t>
      </w:r>
    </w:p>
    <w:p w14:paraId="6C4E50C3" w14:textId="77777777" w:rsidR="006064D9" w:rsidRPr="009528A8" w:rsidRDefault="006064D9" w:rsidP="002634E9">
      <w:pPr>
        <w:rPr>
          <w:szCs w:val="24"/>
        </w:rPr>
      </w:pPr>
    </w:p>
    <w:p w14:paraId="137D2C93" w14:textId="77777777" w:rsidR="006064D9" w:rsidRPr="009528A8" w:rsidRDefault="006064D9" w:rsidP="002634E9">
      <w:pPr>
        <w:rPr>
          <w:szCs w:val="24"/>
        </w:rPr>
      </w:pPr>
      <w:r w:rsidRPr="009528A8">
        <w:rPr>
          <w:szCs w:val="24"/>
        </w:rPr>
        <w:t xml:space="preserve">The Court notes that Rule 50(2) of the Rules, which in substance restates the provisions </w:t>
      </w:r>
      <w:r w:rsidRPr="009528A8">
        <w:rPr>
          <w:szCs w:val="24"/>
          <w:lang w:val="en-ZA"/>
        </w:rPr>
        <w:t>of</w:t>
      </w:r>
      <w:r w:rsidRPr="009528A8">
        <w:rPr>
          <w:szCs w:val="24"/>
        </w:rPr>
        <w:t xml:space="preserve"> Article 56 of the Charter, provides as follows:</w:t>
      </w:r>
    </w:p>
    <w:p w14:paraId="27D2B6EE" w14:textId="77777777" w:rsidR="006064D9" w:rsidRPr="009528A8" w:rsidRDefault="006064D9" w:rsidP="002634E9">
      <w:r w:rsidRPr="009528A8">
        <w:t>Applications filed before the Court shall comply with all of the following conditions:</w:t>
      </w:r>
    </w:p>
    <w:p w14:paraId="59C09DA7" w14:textId="77777777" w:rsidR="006064D9" w:rsidRPr="009528A8" w:rsidRDefault="006064D9" w:rsidP="002634E9">
      <w:r w:rsidRPr="009528A8">
        <w:t>Indicate their authors even if the latter request anonymity;</w:t>
      </w:r>
    </w:p>
    <w:p w14:paraId="4D6CFDAA" w14:textId="77777777" w:rsidR="006064D9" w:rsidRPr="009528A8" w:rsidRDefault="006064D9" w:rsidP="002634E9">
      <w:r w:rsidRPr="009528A8">
        <w:t>Are compatible with the Constitutive Act of the African Union and with the Charter;</w:t>
      </w:r>
    </w:p>
    <w:p w14:paraId="694C2F1C" w14:textId="77777777" w:rsidR="006064D9" w:rsidRPr="009528A8" w:rsidRDefault="006064D9" w:rsidP="002634E9">
      <w:r w:rsidRPr="009528A8">
        <w:t>Are not written in disparaging or insulting language directed against the State concerned and its institutions or the African Union;</w:t>
      </w:r>
    </w:p>
    <w:p w14:paraId="2AB82289" w14:textId="77777777" w:rsidR="006064D9" w:rsidRPr="009528A8" w:rsidRDefault="006064D9" w:rsidP="002634E9">
      <w:r w:rsidRPr="009528A8">
        <w:t>Are not based exclusively on news disseminated through the mass media;</w:t>
      </w:r>
    </w:p>
    <w:p w14:paraId="7511A1AE" w14:textId="77777777" w:rsidR="006064D9" w:rsidRPr="009528A8" w:rsidRDefault="006064D9" w:rsidP="002634E9">
      <w:r w:rsidRPr="009528A8">
        <w:lastRenderedPageBreak/>
        <w:t>Are sent after exhausting local remedies, if any, unless it is obvious that this procedure is unduly prolonged;</w:t>
      </w:r>
    </w:p>
    <w:p w14:paraId="40748E17" w14:textId="77777777" w:rsidR="006064D9" w:rsidRPr="009528A8" w:rsidRDefault="006064D9" w:rsidP="002634E9">
      <w:r w:rsidRPr="009528A8">
        <w:t>Are submitted within a reasonable time from the date local remedies were exhausted or from the date set by the Court as being the commencement of the time limit within which it shall be seized with the matter; and</w:t>
      </w:r>
    </w:p>
    <w:p w14:paraId="76875F7D" w14:textId="43365933" w:rsidR="006064D9" w:rsidRPr="009528A8" w:rsidRDefault="006064D9" w:rsidP="002634E9">
      <w:r w:rsidRPr="009528A8">
        <w:t>Do not deal with cases which have been settled by those States involved in accordance with the principles of the Charter of the United Nations, or the Constitutive Act of African Union or the provisions of the Charter.</w:t>
      </w:r>
    </w:p>
    <w:p w14:paraId="42672763" w14:textId="77777777" w:rsidR="006064D9" w:rsidRPr="009528A8" w:rsidRDefault="006064D9" w:rsidP="002634E9">
      <w:pPr>
        <w:rPr>
          <w:bCs/>
          <w:szCs w:val="24"/>
        </w:rPr>
      </w:pPr>
    </w:p>
    <w:p w14:paraId="301C7C73" w14:textId="469F6296" w:rsidR="00C87A74" w:rsidRPr="009528A8" w:rsidRDefault="00505431" w:rsidP="002634E9">
      <w:pPr>
        <w:rPr>
          <w:szCs w:val="24"/>
        </w:rPr>
      </w:pPr>
      <w:r w:rsidRPr="009528A8">
        <w:rPr>
          <w:szCs w:val="24"/>
        </w:rPr>
        <w:t xml:space="preserve">The Court notes that the Respondent State raises </w:t>
      </w:r>
      <w:r w:rsidR="003D14AA" w:rsidRPr="009528A8">
        <w:rPr>
          <w:szCs w:val="24"/>
        </w:rPr>
        <w:t xml:space="preserve">an </w:t>
      </w:r>
      <w:r w:rsidRPr="009528A8">
        <w:rPr>
          <w:szCs w:val="24"/>
        </w:rPr>
        <w:t xml:space="preserve">objection </w:t>
      </w:r>
      <w:r w:rsidR="00EA2B0F" w:rsidRPr="009528A8">
        <w:rPr>
          <w:szCs w:val="24"/>
        </w:rPr>
        <w:t xml:space="preserve">to </w:t>
      </w:r>
      <w:r w:rsidRPr="009528A8">
        <w:rPr>
          <w:szCs w:val="24"/>
        </w:rPr>
        <w:t xml:space="preserve">admissibility </w:t>
      </w:r>
      <w:r w:rsidR="003D14AA" w:rsidRPr="009528A8">
        <w:rPr>
          <w:szCs w:val="24"/>
        </w:rPr>
        <w:t xml:space="preserve">of the </w:t>
      </w:r>
      <w:r w:rsidR="00FC77CE" w:rsidRPr="009528A8">
        <w:rPr>
          <w:szCs w:val="24"/>
        </w:rPr>
        <w:t>a</w:t>
      </w:r>
      <w:r w:rsidR="003D14AA" w:rsidRPr="009528A8">
        <w:rPr>
          <w:szCs w:val="24"/>
        </w:rPr>
        <w:t xml:space="preserve">pplication </w:t>
      </w:r>
      <w:r w:rsidRPr="009528A8">
        <w:rPr>
          <w:szCs w:val="24"/>
        </w:rPr>
        <w:t xml:space="preserve">on the ground of non-exhaustion of local remedies. </w:t>
      </w:r>
      <w:r w:rsidR="00C87A74" w:rsidRPr="009528A8">
        <w:rPr>
          <w:szCs w:val="24"/>
        </w:rPr>
        <w:t>The Court will</w:t>
      </w:r>
      <w:r w:rsidR="003D14AA" w:rsidRPr="009528A8">
        <w:rPr>
          <w:szCs w:val="24"/>
        </w:rPr>
        <w:t>,</w:t>
      </w:r>
      <w:r w:rsidR="00C87A74" w:rsidRPr="009528A8">
        <w:rPr>
          <w:szCs w:val="24"/>
        </w:rPr>
        <w:t xml:space="preserve"> therefore</w:t>
      </w:r>
      <w:r w:rsidR="003D14AA" w:rsidRPr="009528A8">
        <w:rPr>
          <w:szCs w:val="24"/>
        </w:rPr>
        <w:t>,</w:t>
      </w:r>
      <w:r w:rsidR="00C87A74" w:rsidRPr="009528A8">
        <w:rPr>
          <w:szCs w:val="24"/>
        </w:rPr>
        <w:t xml:space="preserve"> consider the said objection before examining other conditions of admissibility</w:t>
      </w:r>
      <w:r w:rsidR="00DA07FF" w:rsidRPr="009528A8">
        <w:rPr>
          <w:szCs w:val="24"/>
        </w:rPr>
        <w:t>,</w:t>
      </w:r>
      <w:r w:rsidR="00C87A74" w:rsidRPr="009528A8">
        <w:rPr>
          <w:szCs w:val="24"/>
        </w:rPr>
        <w:t xml:space="preserve"> if ne</w:t>
      </w:r>
      <w:r w:rsidR="003D14AA" w:rsidRPr="009528A8">
        <w:rPr>
          <w:szCs w:val="24"/>
        </w:rPr>
        <w:t>cessary</w:t>
      </w:r>
      <w:r w:rsidR="00C87A74" w:rsidRPr="009528A8">
        <w:rPr>
          <w:szCs w:val="24"/>
        </w:rPr>
        <w:t>.</w:t>
      </w:r>
    </w:p>
    <w:p w14:paraId="1B4EDE8F" w14:textId="789787B8" w:rsidR="00104FD9" w:rsidRPr="009528A8" w:rsidRDefault="00104FD9" w:rsidP="002634E9">
      <w:pPr>
        <w:rPr>
          <w:szCs w:val="24"/>
        </w:rPr>
      </w:pPr>
    </w:p>
    <w:p w14:paraId="44FED8F5" w14:textId="168CC2F8" w:rsidR="00104FD9" w:rsidRPr="009528A8" w:rsidRDefault="001E2BDC" w:rsidP="002634E9">
      <w:bookmarkStart w:id="21" w:name="_Toc143594938"/>
      <w:r w:rsidRPr="009528A8">
        <w:t>Objection based on non-exhaustion of local remedies</w:t>
      </w:r>
      <w:bookmarkEnd w:id="21"/>
    </w:p>
    <w:p w14:paraId="0C9F0718" w14:textId="77777777" w:rsidR="00483DEF" w:rsidRPr="009528A8" w:rsidRDefault="00483DEF" w:rsidP="002634E9">
      <w:pPr>
        <w:rPr>
          <w:bCs/>
          <w:szCs w:val="24"/>
        </w:rPr>
      </w:pPr>
    </w:p>
    <w:p w14:paraId="6B4AE43A" w14:textId="6B95E809" w:rsidR="001E2BDC" w:rsidRPr="009528A8" w:rsidRDefault="00EA2B0F" w:rsidP="002634E9">
      <w:pPr>
        <w:rPr>
          <w:szCs w:val="24"/>
        </w:rPr>
      </w:pPr>
      <w:r w:rsidRPr="009528A8">
        <w:rPr>
          <w:szCs w:val="24"/>
        </w:rPr>
        <w:t xml:space="preserve">The Respondent State contends that the </w:t>
      </w:r>
      <w:r w:rsidR="00FC77CE" w:rsidRPr="009528A8">
        <w:rPr>
          <w:szCs w:val="24"/>
        </w:rPr>
        <w:t xml:space="preserve">application </w:t>
      </w:r>
      <w:r w:rsidRPr="009528A8">
        <w:rPr>
          <w:szCs w:val="24"/>
        </w:rPr>
        <w:t>does not meet the requirement of exhaustion of local remedies given that the Applicant did not attempt to exercise other existing remedies such as the</w:t>
      </w:r>
      <w:r w:rsidR="000672D0" w:rsidRPr="009528A8">
        <w:rPr>
          <w:szCs w:val="24"/>
        </w:rPr>
        <w:t xml:space="preserve"> </w:t>
      </w:r>
      <w:r w:rsidR="00CC3E17" w:rsidRPr="009528A8">
        <w:rPr>
          <w:szCs w:val="24"/>
        </w:rPr>
        <w:t xml:space="preserve">filing of a </w:t>
      </w:r>
      <w:r w:rsidR="000672D0" w:rsidRPr="009528A8">
        <w:rPr>
          <w:szCs w:val="24"/>
        </w:rPr>
        <w:t>constitutional petition before the High Court</w:t>
      </w:r>
      <w:r w:rsidR="001E2BDC" w:rsidRPr="009528A8">
        <w:rPr>
          <w:szCs w:val="24"/>
        </w:rPr>
        <w:t xml:space="preserve">. </w:t>
      </w:r>
    </w:p>
    <w:p w14:paraId="06D3F821" w14:textId="77777777" w:rsidR="003D14AA" w:rsidRPr="009528A8" w:rsidRDefault="003D14AA" w:rsidP="002634E9">
      <w:pPr>
        <w:rPr>
          <w:szCs w:val="24"/>
        </w:rPr>
      </w:pPr>
    </w:p>
    <w:p w14:paraId="47D91528" w14:textId="70F38F69" w:rsidR="005B086C" w:rsidRPr="009528A8" w:rsidRDefault="005B086C" w:rsidP="002634E9">
      <w:pPr>
        <w:rPr>
          <w:szCs w:val="24"/>
        </w:rPr>
      </w:pPr>
      <w:r w:rsidRPr="009528A8">
        <w:rPr>
          <w:szCs w:val="24"/>
        </w:rPr>
        <w:t>The Applicant</w:t>
      </w:r>
      <w:r w:rsidR="00CC3E17" w:rsidRPr="009528A8">
        <w:rPr>
          <w:szCs w:val="24"/>
        </w:rPr>
        <w:t>,</w:t>
      </w:r>
      <w:r w:rsidRPr="009528A8">
        <w:rPr>
          <w:szCs w:val="24"/>
        </w:rPr>
        <w:t xml:space="preserve"> </w:t>
      </w:r>
      <w:r w:rsidRPr="009528A8">
        <w:rPr>
          <w:szCs w:val="24"/>
          <w:lang w:val="en-ZA"/>
        </w:rPr>
        <w:t>on</w:t>
      </w:r>
      <w:r w:rsidRPr="009528A8">
        <w:rPr>
          <w:szCs w:val="24"/>
        </w:rPr>
        <w:t xml:space="preserve"> his part</w:t>
      </w:r>
      <w:r w:rsidR="00CC3E17" w:rsidRPr="009528A8">
        <w:rPr>
          <w:szCs w:val="24"/>
        </w:rPr>
        <w:t>,</w:t>
      </w:r>
      <w:r w:rsidRPr="009528A8">
        <w:rPr>
          <w:szCs w:val="24"/>
        </w:rPr>
        <w:t xml:space="preserve"> prays the </w:t>
      </w:r>
      <w:r w:rsidR="00ED5CAE" w:rsidRPr="009528A8">
        <w:rPr>
          <w:szCs w:val="24"/>
        </w:rPr>
        <w:t>C</w:t>
      </w:r>
      <w:r w:rsidRPr="009528A8">
        <w:rPr>
          <w:szCs w:val="24"/>
        </w:rPr>
        <w:t>ourt to</w:t>
      </w:r>
      <w:r w:rsidR="00D5613A" w:rsidRPr="009528A8">
        <w:rPr>
          <w:szCs w:val="24"/>
        </w:rPr>
        <w:t xml:space="preserve"> declare that the </w:t>
      </w:r>
      <w:r w:rsidR="006262F6" w:rsidRPr="009528A8">
        <w:rPr>
          <w:szCs w:val="24"/>
        </w:rPr>
        <w:t>a</w:t>
      </w:r>
      <w:r w:rsidR="00D5613A" w:rsidRPr="009528A8">
        <w:rPr>
          <w:szCs w:val="24"/>
        </w:rPr>
        <w:t>pplication is admissible in</w:t>
      </w:r>
      <w:r w:rsidRPr="009528A8">
        <w:rPr>
          <w:szCs w:val="24"/>
        </w:rPr>
        <w:t xml:space="preserve"> accordance with Article</w:t>
      </w:r>
      <w:r w:rsidR="00D5613A" w:rsidRPr="009528A8">
        <w:rPr>
          <w:szCs w:val="24"/>
        </w:rPr>
        <w:t>s</w:t>
      </w:r>
      <w:r w:rsidRPr="009528A8">
        <w:rPr>
          <w:szCs w:val="24"/>
        </w:rPr>
        <w:t xml:space="preserve"> 5(3) </w:t>
      </w:r>
      <w:r w:rsidR="00D5613A" w:rsidRPr="009528A8">
        <w:rPr>
          <w:szCs w:val="24"/>
        </w:rPr>
        <w:t xml:space="preserve">6(1) </w:t>
      </w:r>
      <w:r w:rsidRPr="009528A8">
        <w:rPr>
          <w:szCs w:val="24"/>
        </w:rPr>
        <w:t xml:space="preserve">and </w:t>
      </w:r>
      <w:r w:rsidR="00D5613A" w:rsidRPr="009528A8">
        <w:rPr>
          <w:szCs w:val="24"/>
        </w:rPr>
        <w:t xml:space="preserve">7 </w:t>
      </w:r>
      <w:r w:rsidRPr="009528A8">
        <w:rPr>
          <w:szCs w:val="24"/>
        </w:rPr>
        <w:t>of the Protocol.</w:t>
      </w:r>
    </w:p>
    <w:p w14:paraId="6D740F68" w14:textId="753C10E7" w:rsidR="00ED5CAE" w:rsidRPr="009528A8" w:rsidRDefault="00ED5CAE" w:rsidP="002634E9">
      <w:pPr>
        <w:rPr>
          <w:rFonts w:eastAsia="Arial"/>
          <w:szCs w:val="24"/>
        </w:rPr>
      </w:pPr>
      <w:r w:rsidRPr="009528A8">
        <w:rPr>
          <w:rFonts w:eastAsia="Arial"/>
          <w:szCs w:val="24"/>
        </w:rPr>
        <w:t>***</w:t>
      </w:r>
    </w:p>
    <w:p w14:paraId="08B66FCA" w14:textId="77777777" w:rsidR="003526CD" w:rsidRPr="009528A8" w:rsidRDefault="003526CD" w:rsidP="002634E9">
      <w:pPr>
        <w:rPr>
          <w:szCs w:val="24"/>
        </w:rPr>
      </w:pPr>
    </w:p>
    <w:p w14:paraId="5600C455" w14:textId="30135355" w:rsidR="00C456A4" w:rsidRPr="009528A8" w:rsidRDefault="00EA2B0F" w:rsidP="002634E9">
      <w:pPr>
        <w:rPr>
          <w:szCs w:val="24"/>
          <w:lang w:val="en-ZA"/>
        </w:rPr>
      </w:pPr>
      <w:r w:rsidRPr="009528A8">
        <w:rPr>
          <w:szCs w:val="24"/>
          <w:lang w:val="en-ZA"/>
        </w:rPr>
        <w:t xml:space="preserve">The Court recalls that, as it has consistently held, </w:t>
      </w:r>
      <w:r w:rsidR="002A1C1B" w:rsidRPr="009528A8">
        <w:rPr>
          <w:szCs w:val="24"/>
          <w:lang w:val="en-ZA"/>
        </w:rPr>
        <w:t>the requirement of exhaustion of local remedies is an internationally recognised and accepted rule</w:t>
      </w:r>
      <w:r w:rsidRPr="009528A8">
        <w:rPr>
          <w:szCs w:val="24"/>
          <w:lang w:val="en-ZA"/>
        </w:rPr>
        <w:t xml:space="preserve"> restated in </w:t>
      </w:r>
      <w:r w:rsidRPr="009528A8">
        <w:rPr>
          <w:szCs w:val="24"/>
        </w:rPr>
        <w:t>Article 56(5) of the Charter, and Rule 50(2)(e) of the Rules</w:t>
      </w:r>
      <w:r w:rsidR="002A1C1B" w:rsidRPr="009528A8">
        <w:rPr>
          <w:szCs w:val="24"/>
          <w:lang w:val="en-ZA"/>
        </w:rPr>
        <w:t>.</w:t>
      </w:r>
      <w:r w:rsidR="007A77A1" w:rsidRPr="009528A8">
        <w:rPr>
          <w:rStyle w:val="FootnoteReference"/>
          <w:rFonts w:ascii="Arial" w:hAnsi="Arial" w:cs="Arial"/>
          <w:sz w:val="24"/>
          <w:szCs w:val="24"/>
          <w:lang w:val="en-ZA"/>
        </w:rPr>
        <w:footnoteReference w:id="11"/>
      </w:r>
      <w:r w:rsidR="00C456A4" w:rsidRPr="009528A8">
        <w:rPr>
          <w:szCs w:val="24"/>
          <w:lang w:val="en-ZA"/>
        </w:rPr>
        <w:t xml:space="preserve"> </w:t>
      </w:r>
      <w:r w:rsidRPr="009528A8">
        <w:rPr>
          <w:szCs w:val="24"/>
          <w:lang w:val="en-ZA"/>
        </w:rPr>
        <w:t xml:space="preserve">As established </w:t>
      </w:r>
      <w:r w:rsidR="00CC3E17" w:rsidRPr="009528A8">
        <w:rPr>
          <w:szCs w:val="24"/>
          <w:lang w:val="en-ZA"/>
        </w:rPr>
        <w:t>in the Court</w:t>
      </w:r>
      <w:r w:rsidR="00E857F7" w:rsidRPr="009528A8">
        <w:rPr>
          <w:szCs w:val="24"/>
          <w:lang w:val="en-ZA"/>
        </w:rPr>
        <w:t>’</w:t>
      </w:r>
      <w:r w:rsidR="00CC3E17" w:rsidRPr="009528A8">
        <w:rPr>
          <w:szCs w:val="24"/>
          <w:lang w:val="en-ZA"/>
        </w:rPr>
        <w:t>s jurisprudence</w:t>
      </w:r>
      <w:r w:rsidRPr="009528A8">
        <w:rPr>
          <w:szCs w:val="24"/>
          <w:lang w:val="en-ZA"/>
        </w:rPr>
        <w:t>, the remedies</w:t>
      </w:r>
      <w:r w:rsidR="00CC3E17" w:rsidRPr="009528A8">
        <w:rPr>
          <w:szCs w:val="24"/>
          <w:lang w:val="en-ZA"/>
        </w:rPr>
        <w:t xml:space="preserve"> to be exhausted must be</w:t>
      </w:r>
      <w:r w:rsidRPr="009528A8">
        <w:rPr>
          <w:szCs w:val="24"/>
          <w:lang w:val="en-ZA"/>
        </w:rPr>
        <w:t xml:space="preserve"> </w:t>
      </w:r>
      <w:r w:rsidR="00E14322" w:rsidRPr="009528A8">
        <w:rPr>
          <w:szCs w:val="24"/>
          <w:lang w:val="en-ZA"/>
        </w:rPr>
        <w:t xml:space="preserve">those that are </w:t>
      </w:r>
      <w:r w:rsidRPr="009528A8">
        <w:rPr>
          <w:szCs w:val="24"/>
        </w:rPr>
        <w:t>ordinary</w:t>
      </w:r>
      <w:r w:rsidR="00E14322" w:rsidRPr="009528A8">
        <w:rPr>
          <w:szCs w:val="24"/>
        </w:rPr>
        <w:t xml:space="preserve"> </w:t>
      </w:r>
      <w:r w:rsidR="0030483A" w:rsidRPr="009528A8">
        <w:rPr>
          <w:szCs w:val="24"/>
        </w:rPr>
        <w:t xml:space="preserve">and judicial </w:t>
      </w:r>
      <w:r w:rsidR="00E14322" w:rsidRPr="009528A8">
        <w:rPr>
          <w:szCs w:val="24"/>
        </w:rPr>
        <w:t>in nature</w:t>
      </w:r>
      <w:r w:rsidRPr="009528A8">
        <w:rPr>
          <w:szCs w:val="24"/>
        </w:rPr>
        <w:t>.</w:t>
      </w:r>
      <w:r w:rsidRPr="009528A8">
        <w:rPr>
          <w:rStyle w:val="FootnoteReference"/>
          <w:rFonts w:ascii="Arial" w:hAnsi="Arial" w:cs="Arial"/>
          <w:sz w:val="24"/>
          <w:szCs w:val="24"/>
        </w:rPr>
        <w:footnoteReference w:id="12"/>
      </w:r>
      <w:r w:rsidRPr="009528A8">
        <w:rPr>
          <w:szCs w:val="24"/>
        </w:rPr>
        <w:t xml:space="preserve"> </w:t>
      </w:r>
    </w:p>
    <w:p w14:paraId="7678DD86" w14:textId="77777777" w:rsidR="00C456A4" w:rsidRPr="009528A8" w:rsidRDefault="00C456A4" w:rsidP="002634E9">
      <w:pPr>
        <w:rPr>
          <w:szCs w:val="24"/>
        </w:rPr>
      </w:pPr>
    </w:p>
    <w:p w14:paraId="40AA18E4" w14:textId="3F03C731" w:rsidR="003526CD" w:rsidRPr="009528A8" w:rsidRDefault="009C6970" w:rsidP="002634E9">
      <w:pPr>
        <w:rPr>
          <w:szCs w:val="24"/>
          <w:lang w:val="en-ZA"/>
        </w:rPr>
      </w:pPr>
      <w:r w:rsidRPr="009528A8">
        <w:rPr>
          <w:szCs w:val="24"/>
        </w:rPr>
        <w:t xml:space="preserve">The Court has also held that </w:t>
      </w:r>
      <w:r w:rsidR="00CB530E" w:rsidRPr="009528A8">
        <w:rPr>
          <w:szCs w:val="24"/>
          <w:lang w:val="en-ZA"/>
        </w:rPr>
        <w:t>the constitutional petition</w:t>
      </w:r>
      <w:r w:rsidR="00CC3E17" w:rsidRPr="009528A8">
        <w:rPr>
          <w:szCs w:val="24"/>
          <w:lang w:val="en-ZA"/>
        </w:rPr>
        <w:t xml:space="preserve"> procedure</w:t>
      </w:r>
      <w:r w:rsidR="00CB530E" w:rsidRPr="009528A8">
        <w:rPr>
          <w:szCs w:val="24"/>
          <w:lang w:val="en-ZA"/>
        </w:rPr>
        <w:t xml:space="preserve"> </w:t>
      </w:r>
      <w:r w:rsidRPr="009528A8">
        <w:rPr>
          <w:szCs w:val="24"/>
          <w:lang w:val="en-ZA"/>
        </w:rPr>
        <w:t>as it applies in</w:t>
      </w:r>
      <w:r w:rsidR="00CB530E" w:rsidRPr="009528A8">
        <w:rPr>
          <w:szCs w:val="24"/>
          <w:lang w:val="en-ZA"/>
        </w:rPr>
        <w:t xml:space="preserve"> the Respondent State</w:t>
      </w:r>
      <w:r w:rsidR="00E857F7" w:rsidRPr="009528A8">
        <w:rPr>
          <w:szCs w:val="24"/>
          <w:lang w:val="en-ZA"/>
        </w:rPr>
        <w:t>’</w:t>
      </w:r>
      <w:r w:rsidRPr="009528A8">
        <w:rPr>
          <w:szCs w:val="24"/>
          <w:lang w:val="en-ZA"/>
        </w:rPr>
        <w:t xml:space="preserve">s judicial system is not a remedy that </w:t>
      </w:r>
      <w:r w:rsidR="00CC3E17" w:rsidRPr="009528A8">
        <w:rPr>
          <w:szCs w:val="24"/>
          <w:lang w:val="en-ZA"/>
        </w:rPr>
        <w:t xml:space="preserve">an </w:t>
      </w:r>
      <w:r w:rsidR="00CB530E" w:rsidRPr="009528A8">
        <w:rPr>
          <w:szCs w:val="24"/>
          <w:lang w:val="en-ZA"/>
        </w:rPr>
        <w:t>Applicant is required to exhaust.</w:t>
      </w:r>
      <w:r w:rsidR="00CB530E" w:rsidRPr="009528A8">
        <w:rPr>
          <w:rStyle w:val="FootnoteReference"/>
          <w:rFonts w:ascii="Arial" w:hAnsi="Arial" w:cs="Arial"/>
          <w:sz w:val="24"/>
          <w:szCs w:val="24"/>
          <w:lang w:val="en-ZA"/>
        </w:rPr>
        <w:footnoteReference w:id="13"/>
      </w:r>
      <w:r w:rsidR="00410E79" w:rsidRPr="009528A8">
        <w:rPr>
          <w:szCs w:val="24"/>
          <w:lang w:val="en-ZA"/>
        </w:rPr>
        <w:t xml:space="preserve"> </w:t>
      </w:r>
      <w:r w:rsidRPr="009528A8">
        <w:rPr>
          <w:szCs w:val="24"/>
          <w:lang w:val="en-ZA"/>
        </w:rPr>
        <w:t xml:space="preserve">Consequently, </w:t>
      </w:r>
      <w:r w:rsidR="003526CD" w:rsidRPr="009528A8">
        <w:rPr>
          <w:szCs w:val="24"/>
        </w:rPr>
        <w:t xml:space="preserve">in instances where the Applicant has gone through the judicial system up to the Court of Appeal, which </w:t>
      </w:r>
      <w:r w:rsidR="003526CD" w:rsidRPr="009528A8">
        <w:rPr>
          <w:szCs w:val="24"/>
        </w:rPr>
        <w:lastRenderedPageBreak/>
        <w:t xml:space="preserve">is the highest court </w:t>
      </w:r>
      <w:r w:rsidR="00CC3E17" w:rsidRPr="009528A8">
        <w:rPr>
          <w:szCs w:val="24"/>
        </w:rPr>
        <w:t>in the Respondent State</w:t>
      </w:r>
      <w:r w:rsidR="003526CD" w:rsidRPr="009528A8">
        <w:rPr>
          <w:szCs w:val="24"/>
        </w:rPr>
        <w:t xml:space="preserve">, </w:t>
      </w:r>
      <w:r w:rsidRPr="009528A8">
        <w:rPr>
          <w:szCs w:val="24"/>
        </w:rPr>
        <w:t xml:space="preserve">it should be </w:t>
      </w:r>
      <w:r w:rsidR="004777C8" w:rsidRPr="009528A8">
        <w:rPr>
          <w:szCs w:val="24"/>
        </w:rPr>
        <w:t>considered that</w:t>
      </w:r>
      <w:r w:rsidRPr="009528A8">
        <w:rPr>
          <w:szCs w:val="24"/>
        </w:rPr>
        <w:t xml:space="preserve"> local remedies have been </w:t>
      </w:r>
      <w:r w:rsidR="003526CD" w:rsidRPr="009528A8">
        <w:rPr>
          <w:szCs w:val="24"/>
        </w:rPr>
        <w:t>exhausted.</w:t>
      </w:r>
      <w:r w:rsidR="00AF67BD" w:rsidRPr="009528A8">
        <w:rPr>
          <w:rStyle w:val="FootnoteReference"/>
          <w:rFonts w:ascii="Arial" w:hAnsi="Arial" w:cs="Arial"/>
          <w:sz w:val="24"/>
          <w:szCs w:val="24"/>
        </w:rPr>
        <w:footnoteReference w:id="14"/>
      </w:r>
    </w:p>
    <w:p w14:paraId="500CF3C1" w14:textId="77777777" w:rsidR="00CC07B1" w:rsidRPr="009528A8" w:rsidRDefault="00CC07B1" w:rsidP="002634E9">
      <w:pPr>
        <w:rPr>
          <w:szCs w:val="24"/>
          <w:lang w:val="en-ZA"/>
        </w:rPr>
      </w:pPr>
    </w:p>
    <w:p w14:paraId="2523E3C7" w14:textId="4AD1AFF2" w:rsidR="005C090E" w:rsidRPr="009528A8" w:rsidRDefault="00CC07B1" w:rsidP="002634E9">
      <w:pPr>
        <w:rPr>
          <w:szCs w:val="24"/>
          <w:lang w:val="en-ZA"/>
        </w:rPr>
      </w:pPr>
      <w:r w:rsidRPr="009528A8">
        <w:rPr>
          <w:szCs w:val="24"/>
          <w:lang w:val="en-ZA"/>
        </w:rPr>
        <w:t xml:space="preserve">The Court notes that in the present </w:t>
      </w:r>
      <w:r w:rsidR="006E504D" w:rsidRPr="009528A8">
        <w:rPr>
          <w:szCs w:val="24"/>
          <w:lang w:val="en-ZA"/>
        </w:rPr>
        <w:t>a</w:t>
      </w:r>
      <w:r w:rsidRPr="009528A8">
        <w:rPr>
          <w:szCs w:val="24"/>
          <w:lang w:val="en-ZA"/>
        </w:rPr>
        <w:t>pplication, the Applicant</w:t>
      </w:r>
      <w:r w:rsidR="00E857F7" w:rsidRPr="009528A8">
        <w:rPr>
          <w:szCs w:val="24"/>
          <w:lang w:val="en-ZA"/>
        </w:rPr>
        <w:t>’</w:t>
      </w:r>
      <w:r w:rsidRPr="009528A8">
        <w:rPr>
          <w:szCs w:val="24"/>
          <w:lang w:val="en-ZA"/>
        </w:rPr>
        <w:t>s appeal was determined through a judgment rendered on 1</w:t>
      </w:r>
      <w:r w:rsidR="00DD7716" w:rsidRPr="009528A8">
        <w:rPr>
          <w:szCs w:val="24"/>
          <w:lang w:val="en-ZA"/>
        </w:rPr>
        <w:t>6</w:t>
      </w:r>
      <w:r w:rsidRPr="009528A8">
        <w:rPr>
          <w:szCs w:val="24"/>
          <w:lang w:val="en-ZA"/>
        </w:rPr>
        <w:t xml:space="preserve"> </w:t>
      </w:r>
      <w:r w:rsidR="00DD7716" w:rsidRPr="009528A8">
        <w:rPr>
          <w:szCs w:val="24"/>
          <w:lang w:val="en-ZA"/>
        </w:rPr>
        <w:t>February</w:t>
      </w:r>
      <w:r w:rsidRPr="009528A8">
        <w:rPr>
          <w:szCs w:val="24"/>
          <w:lang w:val="en-ZA"/>
        </w:rPr>
        <w:t xml:space="preserve"> 201</w:t>
      </w:r>
      <w:r w:rsidR="00DD7716" w:rsidRPr="009528A8">
        <w:rPr>
          <w:szCs w:val="24"/>
          <w:lang w:val="en-ZA"/>
        </w:rPr>
        <w:t>6</w:t>
      </w:r>
      <w:r w:rsidRPr="009528A8">
        <w:rPr>
          <w:szCs w:val="24"/>
          <w:lang w:val="en-ZA"/>
        </w:rPr>
        <w:t xml:space="preserve"> by the Court of Appeal</w:t>
      </w:r>
      <w:r w:rsidR="00CC3E17" w:rsidRPr="009528A8">
        <w:rPr>
          <w:szCs w:val="24"/>
          <w:lang w:val="en-ZA"/>
        </w:rPr>
        <w:t xml:space="preserve"> sitting at </w:t>
      </w:r>
      <w:r w:rsidR="001E4C49" w:rsidRPr="009528A8">
        <w:rPr>
          <w:szCs w:val="24"/>
          <w:lang w:val="en-ZA"/>
        </w:rPr>
        <w:t>Bukoba</w:t>
      </w:r>
      <w:r w:rsidRPr="009528A8">
        <w:rPr>
          <w:szCs w:val="24"/>
          <w:lang w:val="en-ZA"/>
        </w:rPr>
        <w:t xml:space="preserve">, which is the highest judicial authority of the Respondent State. Given that the constitutional petition is not a remedy that the Applicant ought to have used, </w:t>
      </w:r>
      <w:r w:rsidR="009C6970" w:rsidRPr="009528A8">
        <w:rPr>
          <w:szCs w:val="24"/>
          <w:lang w:val="en-ZA"/>
        </w:rPr>
        <w:t>th</w:t>
      </w:r>
      <w:r w:rsidR="00CC3E17" w:rsidRPr="009528A8">
        <w:rPr>
          <w:szCs w:val="24"/>
          <w:lang w:val="en-ZA"/>
        </w:rPr>
        <w:t>e</w:t>
      </w:r>
      <w:r w:rsidR="009C6970" w:rsidRPr="009528A8">
        <w:rPr>
          <w:szCs w:val="24"/>
          <w:lang w:val="en-ZA"/>
        </w:rPr>
        <w:t xml:space="preserve"> Court hold</w:t>
      </w:r>
      <w:r w:rsidR="004777C8" w:rsidRPr="009528A8">
        <w:rPr>
          <w:szCs w:val="24"/>
          <w:lang w:val="en-ZA"/>
        </w:rPr>
        <w:t>s</w:t>
      </w:r>
      <w:r w:rsidR="009C6970" w:rsidRPr="009528A8">
        <w:rPr>
          <w:szCs w:val="24"/>
          <w:lang w:val="en-ZA"/>
        </w:rPr>
        <w:t xml:space="preserve"> </w:t>
      </w:r>
      <w:r w:rsidRPr="009528A8">
        <w:rPr>
          <w:szCs w:val="24"/>
          <w:lang w:val="en-ZA"/>
        </w:rPr>
        <w:t>that domestic remedies were exhausted in the present matter.</w:t>
      </w:r>
    </w:p>
    <w:p w14:paraId="4BB3C351" w14:textId="77777777" w:rsidR="00A331F3" w:rsidRPr="009528A8" w:rsidRDefault="00A331F3" w:rsidP="002634E9">
      <w:pPr>
        <w:rPr>
          <w:szCs w:val="24"/>
          <w:lang w:val="en-ZA"/>
        </w:rPr>
      </w:pPr>
    </w:p>
    <w:p w14:paraId="124646A9" w14:textId="58397D26" w:rsidR="009C6970" w:rsidRPr="009528A8" w:rsidRDefault="009C6970" w:rsidP="002634E9">
      <w:pPr>
        <w:rPr>
          <w:szCs w:val="24"/>
          <w:lang w:val="en-ZA"/>
        </w:rPr>
      </w:pPr>
      <w:r w:rsidRPr="009528A8">
        <w:rPr>
          <w:szCs w:val="24"/>
          <w:lang w:val="en-ZA"/>
        </w:rPr>
        <w:t>The Court is cognisant of the Respondent State</w:t>
      </w:r>
      <w:r w:rsidR="00E857F7" w:rsidRPr="009528A8">
        <w:rPr>
          <w:szCs w:val="24"/>
          <w:lang w:val="en-ZA"/>
        </w:rPr>
        <w:t>’</w:t>
      </w:r>
      <w:r w:rsidRPr="009528A8">
        <w:rPr>
          <w:szCs w:val="24"/>
          <w:lang w:val="en-ZA"/>
        </w:rPr>
        <w:t>s contention that the Applicant</w:t>
      </w:r>
      <w:r w:rsidR="00E857F7" w:rsidRPr="009528A8">
        <w:rPr>
          <w:szCs w:val="24"/>
          <w:lang w:val="en-ZA"/>
        </w:rPr>
        <w:t>’</w:t>
      </w:r>
      <w:r w:rsidRPr="009528A8">
        <w:rPr>
          <w:szCs w:val="24"/>
          <w:lang w:val="en-ZA"/>
        </w:rPr>
        <w:t>s allegation that he was prevented from calling witnesses is being raised for the first time and</w:t>
      </w:r>
      <w:r w:rsidR="00CC3E17" w:rsidRPr="009528A8">
        <w:rPr>
          <w:szCs w:val="24"/>
          <w:lang w:val="en-ZA"/>
        </w:rPr>
        <w:t>,</w:t>
      </w:r>
      <w:r w:rsidRPr="009528A8">
        <w:rPr>
          <w:szCs w:val="24"/>
          <w:lang w:val="en-ZA"/>
        </w:rPr>
        <w:t xml:space="preserve"> therefore</w:t>
      </w:r>
      <w:r w:rsidR="00CC3E17" w:rsidRPr="009528A8">
        <w:rPr>
          <w:szCs w:val="24"/>
          <w:lang w:val="en-ZA"/>
        </w:rPr>
        <w:t>,</w:t>
      </w:r>
      <w:r w:rsidRPr="009528A8">
        <w:rPr>
          <w:szCs w:val="24"/>
          <w:lang w:val="en-ZA"/>
        </w:rPr>
        <w:t xml:space="preserve"> domestic remedies were not exhausted in that respect. </w:t>
      </w:r>
    </w:p>
    <w:p w14:paraId="44993255" w14:textId="6957BA0B" w:rsidR="007F4F93" w:rsidRPr="009528A8" w:rsidRDefault="001E4C49" w:rsidP="002634E9">
      <w:pPr>
        <w:rPr>
          <w:szCs w:val="24"/>
          <w:lang w:val="en-ZA"/>
        </w:rPr>
      </w:pPr>
      <w:r w:rsidRPr="009528A8">
        <w:rPr>
          <w:szCs w:val="24"/>
          <w:lang w:val="en-ZA"/>
        </w:rPr>
        <w:t>The Court observes in this regard that, i</w:t>
      </w:r>
      <w:r w:rsidR="009C6970" w:rsidRPr="009528A8">
        <w:rPr>
          <w:szCs w:val="24"/>
          <w:lang w:val="en-ZA"/>
        </w:rPr>
        <w:t xml:space="preserve">n the present </w:t>
      </w:r>
      <w:r w:rsidR="006E504D" w:rsidRPr="009528A8">
        <w:rPr>
          <w:szCs w:val="24"/>
          <w:lang w:val="en-ZA"/>
        </w:rPr>
        <w:t>a</w:t>
      </w:r>
      <w:r w:rsidR="009C6970" w:rsidRPr="009528A8">
        <w:rPr>
          <w:szCs w:val="24"/>
          <w:lang w:val="en-ZA"/>
        </w:rPr>
        <w:t>pplication, it is evident from the record that</w:t>
      </w:r>
      <w:r w:rsidR="007E1733" w:rsidRPr="009528A8">
        <w:rPr>
          <w:szCs w:val="24"/>
          <w:lang w:val="en-ZA"/>
        </w:rPr>
        <w:t xml:space="preserve"> the issue of</w:t>
      </w:r>
      <w:r w:rsidR="004777C8" w:rsidRPr="009528A8">
        <w:rPr>
          <w:szCs w:val="24"/>
          <w:lang w:val="en-ZA"/>
        </w:rPr>
        <w:t xml:space="preserve"> summoning of witnesses</w:t>
      </w:r>
      <w:r w:rsidR="007E1733" w:rsidRPr="009528A8">
        <w:rPr>
          <w:szCs w:val="24"/>
          <w:lang w:val="en-ZA"/>
        </w:rPr>
        <w:t xml:space="preserve"> arose during the proceedings before </w:t>
      </w:r>
      <w:r w:rsidR="002E560B" w:rsidRPr="009528A8">
        <w:rPr>
          <w:szCs w:val="24"/>
          <w:lang w:val="en-ZA"/>
        </w:rPr>
        <w:t>the High Court</w:t>
      </w:r>
      <w:r w:rsidR="003302B5" w:rsidRPr="009528A8">
        <w:rPr>
          <w:szCs w:val="24"/>
          <w:lang w:val="en-ZA"/>
        </w:rPr>
        <w:t xml:space="preserve"> </w:t>
      </w:r>
      <w:r w:rsidR="00CC3E17" w:rsidRPr="009528A8">
        <w:rPr>
          <w:szCs w:val="24"/>
          <w:lang w:val="en-ZA"/>
        </w:rPr>
        <w:t xml:space="preserve">during the hearing of </w:t>
      </w:r>
      <w:r w:rsidR="003302B5" w:rsidRPr="009528A8">
        <w:rPr>
          <w:szCs w:val="24"/>
          <w:lang w:val="en-ZA"/>
        </w:rPr>
        <w:t>the Applicant</w:t>
      </w:r>
      <w:r w:rsidR="00E857F7" w:rsidRPr="009528A8">
        <w:rPr>
          <w:szCs w:val="24"/>
          <w:lang w:val="en-ZA"/>
        </w:rPr>
        <w:t>’</w:t>
      </w:r>
      <w:r w:rsidR="003302B5" w:rsidRPr="009528A8">
        <w:rPr>
          <w:szCs w:val="24"/>
          <w:lang w:val="en-ZA"/>
        </w:rPr>
        <w:t>s appeal from the District Court</w:t>
      </w:r>
      <w:r w:rsidR="007F4F93" w:rsidRPr="009528A8">
        <w:rPr>
          <w:szCs w:val="24"/>
          <w:lang w:val="en-ZA"/>
        </w:rPr>
        <w:t>.</w:t>
      </w:r>
      <w:r w:rsidR="007F4F93" w:rsidRPr="009528A8">
        <w:rPr>
          <w:rStyle w:val="FootnoteReference"/>
          <w:rFonts w:ascii="Arial" w:hAnsi="Arial" w:cs="Arial"/>
          <w:sz w:val="24"/>
          <w:szCs w:val="24"/>
          <w:lang w:val="en-ZA"/>
        </w:rPr>
        <w:footnoteReference w:id="15"/>
      </w:r>
      <w:r w:rsidR="002E560B" w:rsidRPr="009528A8">
        <w:rPr>
          <w:szCs w:val="24"/>
          <w:lang w:val="en-ZA"/>
        </w:rPr>
        <w:t xml:space="preserve"> </w:t>
      </w:r>
      <w:r w:rsidR="007E1733" w:rsidRPr="009528A8">
        <w:rPr>
          <w:szCs w:val="24"/>
          <w:lang w:val="en-ZA"/>
        </w:rPr>
        <w:t>In the said proceedings</w:t>
      </w:r>
      <w:r w:rsidR="00C73107" w:rsidRPr="009528A8">
        <w:rPr>
          <w:szCs w:val="24"/>
          <w:lang w:val="en-ZA"/>
        </w:rPr>
        <w:t xml:space="preserve">, </w:t>
      </w:r>
      <w:r w:rsidR="00E00715" w:rsidRPr="009528A8">
        <w:rPr>
          <w:szCs w:val="24"/>
        </w:rPr>
        <w:t xml:space="preserve">the High Court </w:t>
      </w:r>
      <w:r w:rsidR="00C73107" w:rsidRPr="009528A8">
        <w:rPr>
          <w:szCs w:val="24"/>
        </w:rPr>
        <w:t xml:space="preserve">dismissed the allegation </w:t>
      </w:r>
      <w:r w:rsidR="00E00715" w:rsidRPr="009528A8">
        <w:rPr>
          <w:szCs w:val="24"/>
        </w:rPr>
        <w:t xml:space="preserve">highlighting that during the proceedings </w:t>
      </w:r>
      <w:r w:rsidR="00E14322" w:rsidRPr="009528A8">
        <w:rPr>
          <w:szCs w:val="24"/>
        </w:rPr>
        <w:t xml:space="preserve">at </w:t>
      </w:r>
      <w:r w:rsidR="00E00715" w:rsidRPr="009528A8">
        <w:rPr>
          <w:szCs w:val="24"/>
        </w:rPr>
        <w:t xml:space="preserve">the District Court </w:t>
      </w:r>
      <w:r w:rsidR="00E14322" w:rsidRPr="009528A8">
        <w:rPr>
          <w:szCs w:val="24"/>
        </w:rPr>
        <w:t xml:space="preserve">on </w:t>
      </w:r>
      <w:r w:rsidR="00E00715" w:rsidRPr="009528A8">
        <w:rPr>
          <w:szCs w:val="24"/>
        </w:rPr>
        <w:t xml:space="preserve">27 January 2014, the Applicant </w:t>
      </w:r>
      <w:r w:rsidR="00E14322" w:rsidRPr="009528A8">
        <w:rPr>
          <w:szCs w:val="24"/>
        </w:rPr>
        <w:t xml:space="preserve">informed </w:t>
      </w:r>
      <w:r w:rsidR="00E00715" w:rsidRPr="009528A8">
        <w:rPr>
          <w:szCs w:val="24"/>
        </w:rPr>
        <w:t xml:space="preserve">the court </w:t>
      </w:r>
      <w:r w:rsidR="00C73107" w:rsidRPr="009528A8">
        <w:rPr>
          <w:szCs w:val="24"/>
        </w:rPr>
        <w:t xml:space="preserve">that he would give his testimony under oath and that he had neither a witness to call </w:t>
      </w:r>
      <w:r w:rsidR="00E14322" w:rsidRPr="009528A8">
        <w:rPr>
          <w:szCs w:val="24"/>
        </w:rPr>
        <w:t xml:space="preserve">nor </w:t>
      </w:r>
      <w:r w:rsidR="00C73107" w:rsidRPr="009528A8">
        <w:rPr>
          <w:szCs w:val="24"/>
        </w:rPr>
        <w:t>an exhibit to tender.</w:t>
      </w:r>
      <w:r w:rsidR="00E857F7" w:rsidRPr="009528A8">
        <w:rPr>
          <w:szCs w:val="24"/>
          <w:lang w:val="en-ZA"/>
        </w:rPr>
        <w:t xml:space="preserve"> </w:t>
      </w:r>
    </w:p>
    <w:p w14:paraId="6EE43A30" w14:textId="77777777" w:rsidR="007F4F93" w:rsidRPr="009528A8" w:rsidRDefault="007F4F93" w:rsidP="002634E9">
      <w:pPr>
        <w:rPr>
          <w:szCs w:val="24"/>
          <w:lang w:val="en-ZA"/>
        </w:rPr>
      </w:pPr>
    </w:p>
    <w:p w14:paraId="51FE3525" w14:textId="2575D301" w:rsidR="007E1733" w:rsidRPr="009528A8" w:rsidRDefault="007E1733" w:rsidP="002634E9">
      <w:pPr>
        <w:rPr>
          <w:szCs w:val="24"/>
          <w:lang w:val="en-ZA"/>
        </w:rPr>
      </w:pPr>
      <w:r w:rsidRPr="009528A8">
        <w:rPr>
          <w:szCs w:val="24"/>
          <w:lang w:val="en-ZA"/>
        </w:rPr>
        <w:t>I</w:t>
      </w:r>
      <w:r w:rsidR="00317D37" w:rsidRPr="009528A8">
        <w:rPr>
          <w:szCs w:val="24"/>
          <w:lang w:val="en-ZA"/>
        </w:rPr>
        <w:t>t</w:t>
      </w:r>
      <w:r w:rsidRPr="009528A8">
        <w:rPr>
          <w:szCs w:val="24"/>
          <w:lang w:val="en-ZA"/>
        </w:rPr>
        <w:t xml:space="preserve"> follows from the </w:t>
      </w:r>
      <w:r w:rsidR="00CC3E17" w:rsidRPr="009528A8">
        <w:rPr>
          <w:szCs w:val="24"/>
          <w:lang w:val="en-ZA"/>
        </w:rPr>
        <w:t>fore</w:t>
      </w:r>
      <w:r w:rsidRPr="009528A8">
        <w:rPr>
          <w:szCs w:val="24"/>
          <w:lang w:val="en-ZA"/>
        </w:rPr>
        <w:t xml:space="preserve">going that the issue of </w:t>
      </w:r>
      <w:r w:rsidR="004777C8" w:rsidRPr="009528A8">
        <w:rPr>
          <w:szCs w:val="24"/>
          <w:lang w:val="en-ZA"/>
        </w:rPr>
        <w:t xml:space="preserve">calling of witnesses </w:t>
      </w:r>
      <w:r w:rsidRPr="009528A8">
        <w:rPr>
          <w:szCs w:val="24"/>
          <w:lang w:val="en-ZA"/>
        </w:rPr>
        <w:t xml:space="preserve">was considered </w:t>
      </w:r>
      <w:r w:rsidR="0010305D" w:rsidRPr="009528A8">
        <w:rPr>
          <w:szCs w:val="24"/>
          <w:lang w:val="en-ZA"/>
        </w:rPr>
        <w:t xml:space="preserve">as an appeal issue </w:t>
      </w:r>
      <w:r w:rsidRPr="009528A8">
        <w:rPr>
          <w:szCs w:val="24"/>
          <w:lang w:val="en-ZA"/>
        </w:rPr>
        <w:t xml:space="preserve">by </w:t>
      </w:r>
      <w:r w:rsidR="00BE1F15" w:rsidRPr="009528A8">
        <w:rPr>
          <w:szCs w:val="24"/>
          <w:lang w:val="en-ZA"/>
        </w:rPr>
        <w:t>the High Court</w:t>
      </w:r>
      <w:r w:rsidR="00C73107" w:rsidRPr="009528A8">
        <w:rPr>
          <w:szCs w:val="24"/>
          <w:lang w:val="en-ZA"/>
        </w:rPr>
        <w:t xml:space="preserve"> and</w:t>
      </w:r>
      <w:r w:rsidRPr="009528A8">
        <w:rPr>
          <w:szCs w:val="24"/>
          <w:lang w:val="en-ZA"/>
        </w:rPr>
        <w:t xml:space="preserve"> cannot</w:t>
      </w:r>
      <w:r w:rsidR="003D14AA" w:rsidRPr="009528A8">
        <w:rPr>
          <w:szCs w:val="24"/>
          <w:lang w:val="en-ZA"/>
        </w:rPr>
        <w:t>,</w:t>
      </w:r>
      <w:r w:rsidRPr="009528A8">
        <w:rPr>
          <w:szCs w:val="24"/>
          <w:lang w:val="en-ZA"/>
        </w:rPr>
        <w:t xml:space="preserve"> therefore</w:t>
      </w:r>
      <w:r w:rsidR="003D14AA" w:rsidRPr="009528A8">
        <w:rPr>
          <w:szCs w:val="24"/>
          <w:lang w:val="en-ZA"/>
        </w:rPr>
        <w:t>,</w:t>
      </w:r>
      <w:r w:rsidRPr="009528A8">
        <w:rPr>
          <w:szCs w:val="24"/>
          <w:lang w:val="en-ZA"/>
        </w:rPr>
        <w:t xml:space="preserve"> be said to arise for the first time before this Court. Domestic remedies should</w:t>
      </w:r>
      <w:r w:rsidR="00CC3E17" w:rsidRPr="009528A8">
        <w:rPr>
          <w:szCs w:val="24"/>
          <w:lang w:val="en-ZA"/>
        </w:rPr>
        <w:t>,</w:t>
      </w:r>
      <w:r w:rsidRPr="009528A8">
        <w:rPr>
          <w:szCs w:val="24"/>
          <w:lang w:val="en-ZA"/>
        </w:rPr>
        <w:t xml:space="preserve"> therefore</w:t>
      </w:r>
      <w:r w:rsidR="00CC3E17" w:rsidRPr="009528A8">
        <w:rPr>
          <w:szCs w:val="24"/>
          <w:lang w:val="en-ZA"/>
        </w:rPr>
        <w:t>,</w:t>
      </w:r>
      <w:r w:rsidRPr="009528A8">
        <w:rPr>
          <w:szCs w:val="24"/>
          <w:lang w:val="en-ZA"/>
        </w:rPr>
        <w:t xml:space="preserve"> be considered to have been exhausted in respect of the said issue. </w:t>
      </w:r>
    </w:p>
    <w:p w14:paraId="36A0B99C" w14:textId="77777777" w:rsidR="007E1733" w:rsidRPr="009528A8" w:rsidRDefault="007E1733" w:rsidP="002634E9">
      <w:pPr>
        <w:rPr>
          <w:szCs w:val="24"/>
          <w:lang w:val="en-ZA"/>
        </w:rPr>
      </w:pPr>
    </w:p>
    <w:p w14:paraId="523C81AC" w14:textId="08935040" w:rsidR="008107D1" w:rsidRPr="009528A8" w:rsidRDefault="003322DC" w:rsidP="002634E9">
      <w:pPr>
        <w:rPr>
          <w:szCs w:val="24"/>
          <w:lang w:val="en-ZA"/>
        </w:rPr>
      </w:pPr>
      <w:r w:rsidRPr="009528A8">
        <w:rPr>
          <w:szCs w:val="24"/>
          <w:lang w:val="en-ZA"/>
        </w:rPr>
        <w:t xml:space="preserve">Consequently, the Court holds that the Applicant exhausted local remedies as </w:t>
      </w:r>
      <w:r w:rsidR="007E1733" w:rsidRPr="009528A8">
        <w:rPr>
          <w:szCs w:val="24"/>
          <w:lang w:val="en-ZA"/>
        </w:rPr>
        <w:t xml:space="preserve">required </w:t>
      </w:r>
      <w:r w:rsidRPr="009528A8">
        <w:rPr>
          <w:szCs w:val="24"/>
          <w:lang w:val="en-ZA"/>
        </w:rPr>
        <w:t>under Article 56(5) of the Charter and Rule 50(2)(e) of the Rules and</w:t>
      </w:r>
      <w:r w:rsidR="003D14AA" w:rsidRPr="009528A8">
        <w:rPr>
          <w:szCs w:val="24"/>
          <w:lang w:val="en-ZA"/>
        </w:rPr>
        <w:t>,</w:t>
      </w:r>
      <w:r w:rsidRPr="009528A8">
        <w:rPr>
          <w:szCs w:val="24"/>
          <w:lang w:val="en-ZA"/>
        </w:rPr>
        <w:t xml:space="preserve"> therefore, dismisses the Respondent State</w:t>
      </w:r>
      <w:r w:rsidR="00E857F7" w:rsidRPr="009528A8">
        <w:rPr>
          <w:szCs w:val="24"/>
          <w:lang w:val="en-ZA"/>
        </w:rPr>
        <w:t>’</w:t>
      </w:r>
      <w:r w:rsidRPr="009528A8">
        <w:rPr>
          <w:szCs w:val="24"/>
          <w:lang w:val="en-ZA"/>
        </w:rPr>
        <w:t>s objection.</w:t>
      </w:r>
    </w:p>
    <w:p w14:paraId="38528EC9" w14:textId="77777777" w:rsidR="008107D1" w:rsidRPr="009528A8" w:rsidRDefault="008107D1" w:rsidP="002634E9">
      <w:pPr>
        <w:rPr>
          <w:szCs w:val="24"/>
        </w:rPr>
      </w:pPr>
    </w:p>
    <w:p w14:paraId="073E0CBD" w14:textId="6364830B" w:rsidR="003B6D11" w:rsidRPr="009528A8" w:rsidRDefault="00104FD9" w:rsidP="002634E9">
      <w:bookmarkStart w:id="28" w:name="_Toc143594939"/>
      <w:r w:rsidRPr="009528A8">
        <w:t>Other conditions of admissibility</w:t>
      </w:r>
      <w:bookmarkEnd w:id="28"/>
    </w:p>
    <w:p w14:paraId="325A781E" w14:textId="77777777" w:rsidR="007750A8" w:rsidRPr="009528A8" w:rsidRDefault="007750A8" w:rsidP="002634E9">
      <w:pPr>
        <w:rPr>
          <w:bCs/>
          <w:szCs w:val="24"/>
        </w:rPr>
      </w:pPr>
    </w:p>
    <w:p w14:paraId="26197F3D" w14:textId="58471BDA" w:rsidR="004038C8" w:rsidRPr="009528A8" w:rsidRDefault="00C22178" w:rsidP="002634E9">
      <w:pPr>
        <w:rPr>
          <w:szCs w:val="24"/>
        </w:rPr>
      </w:pPr>
      <w:r w:rsidRPr="009528A8">
        <w:rPr>
          <w:szCs w:val="24"/>
        </w:rPr>
        <w:t xml:space="preserve">The Court notes that, in </w:t>
      </w:r>
      <w:r w:rsidRPr="009528A8">
        <w:rPr>
          <w:szCs w:val="24"/>
          <w:lang w:val="en-ZA"/>
        </w:rPr>
        <w:t>the</w:t>
      </w:r>
      <w:r w:rsidRPr="009528A8">
        <w:rPr>
          <w:szCs w:val="24"/>
        </w:rPr>
        <w:t xml:space="preserve"> present case, the parties are not challenging </w:t>
      </w:r>
      <w:r w:rsidR="003D14AA" w:rsidRPr="009528A8">
        <w:rPr>
          <w:szCs w:val="24"/>
        </w:rPr>
        <w:t xml:space="preserve">the </w:t>
      </w:r>
      <w:r w:rsidR="006E504D" w:rsidRPr="009528A8">
        <w:rPr>
          <w:szCs w:val="24"/>
        </w:rPr>
        <w:t>a</w:t>
      </w:r>
      <w:r w:rsidR="003D14AA" w:rsidRPr="009528A8">
        <w:rPr>
          <w:szCs w:val="24"/>
        </w:rPr>
        <w:t xml:space="preserve">pplication’s </w:t>
      </w:r>
      <w:r w:rsidRPr="009528A8">
        <w:rPr>
          <w:szCs w:val="24"/>
        </w:rPr>
        <w:t xml:space="preserve">compliance with the requirements in Article 56 sub-articles (1), (2), (3), (4), (6) and (7) of the Charter, which are reiterated in sub-rules 50(2)(a), (b), (c), (d), </w:t>
      </w:r>
      <w:r w:rsidR="004038C8" w:rsidRPr="009528A8">
        <w:rPr>
          <w:szCs w:val="24"/>
        </w:rPr>
        <w:t xml:space="preserve">(f) </w:t>
      </w:r>
      <w:r w:rsidRPr="009528A8">
        <w:rPr>
          <w:szCs w:val="24"/>
        </w:rPr>
        <w:t>and (g) of the Rules.</w:t>
      </w:r>
      <w:r w:rsidR="004038C8" w:rsidRPr="009528A8">
        <w:rPr>
          <w:szCs w:val="24"/>
        </w:rPr>
        <w:t xml:space="preserve"> </w:t>
      </w:r>
      <w:r w:rsidRPr="009528A8">
        <w:rPr>
          <w:szCs w:val="24"/>
        </w:rPr>
        <w:t>However, the Court must examine whether these</w:t>
      </w:r>
      <w:r w:rsidR="004038C8" w:rsidRPr="009528A8">
        <w:rPr>
          <w:szCs w:val="24"/>
        </w:rPr>
        <w:t xml:space="preserve"> </w:t>
      </w:r>
      <w:r w:rsidRPr="009528A8">
        <w:rPr>
          <w:szCs w:val="24"/>
        </w:rPr>
        <w:t>conditions have been met.</w:t>
      </w:r>
    </w:p>
    <w:p w14:paraId="137A59E9" w14:textId="77777777" w:rsidR="002D57F6" w:rsidRPr="009528A8" w:rsidRDefault="002D57F6" w:rsidP="002634E9">
      <w:pPr>
        <w:rPr>
          <w:szCs w:val="24"/>
        </w:rPr>
      </w:pPr>
    </w:p>
    <w:p w14:paraId="397980AE" w14:textId="3B045083" w:rsidR="006D4977" w:rsidRPr="009528A8" w:rsidRDefault="007E1733" w:rsidP="002634E9">
      <w:pPr>
        <w:rPr>
          <w:szCs w:val="24"/>
        </w:rPr>
      </w:pPr>
      <w:r w:rsidRPr="009528A8">
        <w:rPr>
          <w:szCs w:val="24"/>
        </w:rPr>
        <w:lastRenderedPageBreak/>
        <w:t>I</w:t>
      </w:r>
      <w:r w:rsidR="006D4977" w:rsidRPr="009528A8">
        <w:rPr>
          <w:szCs w:val="24"/>
        </w:rPr>
        <w:t xml:space="preserve">t is apparent from the </w:t>
      </w:r>
      <w:r w:rsidR="006D4977" w:rsidRPr="009528A8">
        <w:rPr>
          <w:szCs w:val="24"/>
          <w:lang w:val="en-ZA"/>
        </w:rPr>
        <w:t>record</w:t>
      </w:r>
      <w:r w:rsidR="006D4977" w:rsidRPr="009528A8">
        <w:rPr>
          <w:szCs w:val="24"/>
        </w:rPr>
        <w:t xml:space="preserve"> that the condition set out in Rule 50(2)(a) of the Rules has been satisfied, as the Applicant has clearly indicated his identity.</w:t>
      </w:r>
    </w:p>
    <w:p w14:paraId="7A340A3B" w14:textId="77777777" w:rsidR="006D4977" w:rsidRPr="009528A8" w:rsidRDefault="006D4977" w:rsidP="002634E9">
      <w:pPr>
        <w:rPr>
          <w:szCs w:val="24"/>
        </w:rPr>
      </w:pPr>
    </w:p>
    <w:p w14:paraId="2CDF1068" w14:textId="7F0EBC13" w:rsidR="001F758E" w:rsidRPr="009528A8" w:rsidRDefault="001F758E" w:rsidP="002634E9">
      <w:pPr>
        <w:rPr>
          <w:szCs w:val="24"/>
        </w:rPr>
      </w:pPr>
      <w:r w:rsidRPr="009528A8">
        <w:rPr>
          <w:szCs w:val="24"/>
        </w:rPr>
        <w:t xml:space="preserve">The Court also notes that the claims made by the Applicant seek to protect his rights guaranteed under the Charter. It further notes that one of the objectives of the Constitutive Act of </w:t>
      </w:r>
      <w:r w:rsidRPr="009528A8">
        <w:rPr>
          <w:szCs w:val="24"/>
          <w:lang w:val="en-ZA"/>
        </w:rPr>
        <w:t>the</w:t>
      </w:r>
      <w:r w:rsidRPr="009528A8">
        <w:rPr>
          <w:szCs w:val="24"/>
        </w:rPr>
        <w:t xml:space="preserve"> African Union, as stated in Article 3(h) thereof, is the promotion and protection of human and peoples</w:t>
      </w:r>
      <w:r w:rsidR="00E857F7" w:rsidRPr="009528A8">
        <w:rPr>
          <w:szCs w:val="24"/>
        </w:rPr>
        <w:t>’</w:t>
      </w:r>
      <w:r w:rsidRPr="009528A8">
        <w:rPr>
          <w:szCs w:val="24"/>
        </w:rPr>
        <w:t xml:space="preserve"> rights. The </w:t>
      </w:r>
      <w:r w:rsidR="006E504D" w:rsidRPr="009528A8">
        <w:rPr>
          <w:szCs w:val="24"/>
        </w:rPr>
        <w:t>a</w:t>
      </w:r>
      <w:r w:rsidRPr="009528A8">
        <w:rPr>
          <w:szCs w:val="24"/>
        </w:rPr>
        <w:t xml:space="preserve">pplication also does not contain any claim or prayer that is incompatible with the said provision of the Act. Therefore, the Court considers that </w:t>
      </w:r>
      <w:r w:rsidR="006E504D" w:rsidRPr="009528A8">
        <w:rPr>
          <w:szCs w:val="24"/>
        </w:rPr>
        <w:t>it</w:t>
      </w:r>
      <w:r w:rsidRPr="009528A8">
        <w:rPr>
          <w:szCs w:val="24"/>
        </w:rPr>
        <w:t xml:space="preserve"> meets the requirement of Rule 50(2)(b) of the Rules.</w:t>
      </w:r>
    </w:p>
    <w:p w14:paraId="162537EC" w14:textId="77777777" w:rsidR="001F758E" w:rsidRPr="009528A8" w:rsidRDefault="001F758E" w:rsidP="002634E9">
      <w:pPr>
        <w:rPr>
          <w:szCs w:val="24"/>
        </w:rPr>
      </w:pPr>
    </w:p>
    <w:p w14:paraId="0B052EDD" w14:textId="56B7DE4A" w:rsidR="002D57F6" w:rsidRPr="009528A8" w:rsidRDefault="007E1733" w:rsidP="002634E9">
      <w:pPr>
        <w:rPr>
          <w:szCs w:val="24"/>
        </w:rPr>
      </w:pPr>
      <w:r w:rsidRPr="009528A8">
        <w:rPr>
          <w:szCs w:val="24"/>
        </w:rPr>
        <w:t>T</w:t>
      </w:r>
      <w:r w:rsidR="006D4977" w:rsidRPr="009528A8">
        <w:rPr>
          <w:szCs w:val="24"/>
        </w:rPr>
        <w:t xml:space="preserve">he Application does not contain any abusive or insulting language </w:t>
      </w:r>
      <w:r w:rsidR="003D14AA" w:rsidRPr="009528A8">
        <w:rPr>
          <w:szCs w:val="24"/>
        </w:rPr>
        <w:t xml:space="preserve">directed at </w:t>
      </w:r>
      <w:r w:rsidR="006D4977" w:rsidRPr="009528A8">
        <w:rPr>
          <w:szCs w:val="24"/>
        </w:rPr>
        <w:t xml:space="preserve">the State </w:t>
      </w:r>
      <w:r w:rsidR="001B6FD9" w:rsidRPr="009528A8">
        <w:rPr>
          <w:szCs w:val="24"/>
        </w:rPr>
        <w:t>concerned</w:t>
      </w:r>
      <w:r w:rsidR="0043373E" w:rsidRPr="009528A8">
        <w:rPr>
          <w:szCs w:val="24"/>
        </w:rPr>
        <w:t xml:space="preserve"> and its institutions</w:t>
      </w:r>
      <w:r w:rsidR="001B6FD9" w:rsidRPr="009528A8">
        <w:rPr>
          <w:szCs w:val="24"/>
        </w:rPr>
        <w:t xml:space="preserve"> </w:t>
      </w:r>
      <w:r w:rsidR="001B6FD9" w:rsidRPr="009528A8">
        <w:rPr>
          <w:szCs w:val="24"/>
          <w:lang w:val="en-ZA"/>
        </w:rPr>
        <w:t>and</w:t>
      </w:r>
      <w:r w:rsidR="006D4977" w:rsidRPr="009528A8">
        <w:rPr>
          <w:szCs w:val="24"/>
        </w:rPr>
        <w:t xml:space="preserve"> is thus consistent with Rule 50(2)(c) of the Rules.</w:t>
      </w:r>
    </w:p>
    <w:p w14:paraId="44180351" w14:textId="77777777" w:rsidR="002C578E" w:rsidRPr="009528A8" w:rsidRDefault="002C578E" w:rsidP="002634E9">
      <w:pPr>
        <w:rPr>
          <w:szCs w:val="24"/>
        </w:rPr>
      </w:pPr>
    </w:p>
    <w:p w14:paraId="751F1290" w14:textId="4A6EF4AE" w:rsidR="002C578E" w:rsidRPr="009528A8" w:rsidRDefault="002C578E" w:rsidP="002634E9">
      <w:pPr>
        <w:rPr>
          <w:szCs w:val="24"/>
        </w:rPr>
      </w:pPr>
      <w:r w:rsidRPr="009528A8">
        <w:rPr>
          <w:szCs w:val="24"/>
        </w:rPr>
        <w:t xml:space="preserve">As regards the condition laid down in </w:t>
      </w:r>
      <w:r w:rsidR="00023662" w:rsidRPr="009528A8">
        <w:rPr>
          <w:szCs w:val="24"/>
        </w:rPr>
        <w:t>Rule 50(</w:t>
      </w:r>
      <w:r w:rsidRPr="009528A8">
        <w:rPr>
          <w:szCs w:val="24"/>
        </w:rPr>
        <w:t>2</w:t>
      </w:r>
      <w:r w:rsidR="00023662" w:rsidRPr="009528A8">
        <w:rPr>
          <w:szCs w:val="24"/>
        </w:rPr>
        <w:t>)</w:t>
      </w:r>
      <w:r w:rsidRPr="009528A8">
        <w:rPr>
          <w:szCs w:val="24"/>
        </w:rPr>
        <w:t>(d) of the same Rule, it has not been established that the</w:t>
      </w:r>
      <w:r w:rsidRPr="009528A8">
        <w:t xml:space="preserve"> </w:t>
      </w:r>
      <w:r w:rsidRPr="009528A8">
        <w:rPr>
          <w:szCs w:val="24"/>
        </w:rPr>
        <w:t xml:space="preserve">arguments of fact and law developed in the </w:t>
      </w:r>
      <w:r w:rsidR="006E504D" w:rsidRPr="009528A8">
        <w:rPr>
          <w:szCs w:val="24"/>
        </w:rPr>
        <w:t>a</w:t>
      </w:r>
      <w:r w:rsidRPr="009528A8">
        <w:rPr>
          <w:szCs w:val="24"/>
        </w:rPr>
        <w:t>pplication are based exclusively on information disseminated through the mass media.</w:t>
      </w:r>
      <w:r w:rsidR="007E1733" w:rsidRPr="009528A8">
        <w:rPr>
          <w:szCs w:val="24"/>
        </w:rPr>
        <w:t xml:space="preserve"> The condition is therefore met. </w:t>
      </w:r>
    </w:p>
    <w:p w14:paraId="0D3A6E11" w14:textId="77777777" w:rsidR="00023662" w:rsidRPr="009528A8" w:rsidRDefault="00023662" w:rsidP="002634E9">
      <w:pPr>
        <w:rPr>
          <w:szCs w:val="24"/>
        </w:rPr>
      </w:pPr>
    </w:p>
    <w:p w14:paraId="7BD25477" w14:textId="1DAD8FA1" w:rsidR="00341214" w:rsidRPr="009528A8" w:rsidRDefault="007E1733" w:rsidP="002634E9">
      <w:pPr>
        <w:rPr>
          <w:szCs w:val="24"/>
          <w:lang w:val="en-ZA"/>
        </w:rPr>
      </w:pPr>
      <w:r w:rsidRPr="009528A8">
        <w:rPr>
          <w:szCs w:val="24"/>
          <w:lang w:val="en-ZA"/>
        </w:rPr>
        <w:t>Regarding the requirement of exhaustion of local remedies in accordance with</w:t>
      </w:r>
      <w:r w:rsidRPr="009528A8">
        <w:t xml:space="preserve"> </w:t>
      </w:r>
      <w:r w:rsidRPr="009528A8">
        <w:rPr>
          <w:szCs w:val="24"/>
          <w:lang w:val="en-ZA"/>
        </w:rPr>
        <w:t>Rule 50(2)(f) of the Rules, t</w:t>
      </w:r>
      <w:r w:rsidR="00E90BAE" w:rsidRPr="009528A8">
        <w:rPr>
          <w:szCs w:val="24"/>
          <w:lang w:val="en-ZA"/>
        </w:rPr>
        <w:t xml:space="preserve">he Court notes that the appeal lodged by the Applicant was dismissed by </w:t>
      </w:r>
      <w:r w:rsidRPr="009528A8">
        <w:rPr>
          <w:szCs w:val="24"/>
          <w:lang w:val="en-ZA"/>
        </w:rPr>
        <w:t>the Court of Appeal</w:t>
      </w:r>
      <w:r w:rsidR="00E857F7" w:rsidRPr="009528A8">
        <w:rPr>
          <w:szCs w:val="24"/>
          <w:lang w:val="en-ZA"/>
        </w:rPr>
        <w:t>’</w:t>
      </w:r>
      <w:r w:rsidRPr="009528A8">
        <w:rPr>
          <w:szCs w:val="24"/>
          <w:lang w:val="en-ZA"/>
        </w:rPr>
        <w:t xml:space="preserve">s judgment </w:t>
      </w:r>
      <w:r w:rsidR="00421D69" w:rsidRPr="009528A8">
        <w:rPr>
          <w:szCs w:val="24"/>
          <w:lang w:val="en-ZA"/>
        </w:rPr>
        <w:t xml:space="preserve">of 16 February </w:t>
      </w:r>
      <w:r w:rsidR="00E90BAE" w:rsidRPr="009528A8">
        <w:rPr>
          <w:szCs w:val="24"/>
          <w:lang w:val="en-ZA"/>
        </w:rPr>
        <w:t>2016</w:t>
      </w:r>
      <w:r w:rsidRPr="009528A8">
        <w:rPr>
          <w:szCs w:val="24"/>
          <w:lang w:val="en-ZA"/>
        </w:rPr>
        <w:t xml:space="preserve">. Given that the present </w:t>
      </w:r>
      <w:r w:rsidR="006E504D" w:rsidRPr="009528A8">
        <w:rPr>
          <w:szCs w:val="24"/>
          <w:lang w:val="en-ZA"/>
        </w:rPr>
        <w:t>a</w:t>
      </w:r>
      <w:r w:rsidRPr="009528A8">
        <w:rPr>
          <w:szCs w:val="24"/>
          <w:lang w:val="en-ZA"/>
        </w:rPr>
        <w:t xml:space="preserve">pplication </w:t>
      </w:r>
      <w:r w:rsidR="00E90BAE" w:rsidRPr="009528A8">
        <w:rPr>
          <w:szCs w:val="24"/>
          <w:lang w:val="en-ZA"/>
        </w:rPr>
        <w:t xml:space="preserve">was filed on </w:t>
      </w:r>
      <w:r w:rsidR="00421D69" w:rsidRPr="009528A8">
        <w:rPr>
          <w:szCs w:val="24"/>
          <w:lang w:val="en-ZA"/>
        </w:rPr>
        <w:t>29 June 2016</w:t>
      </w:r>
      <w:r w:rsidR="00E90BAE" w:rsidRPr="009528A8">
        <w:rPr>
          <w:szCs w:val="24"/>
          <w:lang w:val="en-ZA"/>
        </w:rPr>
        <w:t xml:space="preserve">, </w:t>
      </w:r>
      <w:r w:rsidRPr="009528A8">
        <w:rPr>
          <w:szCs w:val="24"/>
          <w:lang w:val="en-ZA"/>
        </w:rPr>
        <w:t xml:space="preserve">a time of </w:t>
      </w:r>
      <w:r w:rsidR="00421D69" w:rsidRPr="009528A8">
        <w:rPr>
          <w:szCs w:val="24"/>
          <w:lang w:val="en-ZA"/>
        </w:rPr>
        <w:t>four</w:t>
      </w:r>
      <w:r w:rsidR="00E90BAE" w:rsidRPr="009528A8">
        <w:rPr>
          <w:szCs w:val="24"/>
          <w:lang w:val="en-ZA"/>
        </w:rPr>
        <w:t xml:space="preserve"> (</w:t>
      </w:r>
      <w:r w:rsidR="00421D69" w:rsidRPr="009528A8">
        <w:rPr>
          <w:szCs w:val="24"/>
          <w:lang w:val="en-ZA"/>
        </w:rPr>
        <w:t>4</w:t>
      </w:r>
      <w:r w:rsidR="00E90BAE" w:rsidRPr="009528A8">
        <w:rPr>
          <w:szCs w:val="24"/>
          <w:lang w:val="en-ZA"/>
        </w:rPr>
        <w:t xml:space="preserve">) months and </w:t>
      </w:r>
      <w:r w:rsidR="00421D69" w:rsidRPr="009528A8">
        <w:rPr>
          <w:szCs w:val="24"/>
          <w:lang w:val="en-ZA"/>
        </w:rPr>
        <w:t>thirteen</w:t>
      </w:r>
      <w:r w:rsidR="00E90BAE" w:rsidRPr="009528A8">
        <w:rPr>
          <w:szCs w:val="24"/>
          <w:lang w:val="en-ZA"/>
        </w:rPr>
        <w:t xml:space="preserve"> (</w:t>
      </w:r>
      <w:r w:rsidR="00421D69" w:rsidRPr="009528A8">
        <w:rPr>
          <w:szCs w:val="24"/>
          <w:lang w:val="en-ZA"/>
        </w:rPr>
        <w:t>13</w:t>
      </w:r>
      <w:r w:rsidR="00E90BAE" w:rsidRPr="009528A8">
        <w:rPr>
          <w:szCs w:val="24"/>
          <w:lang w:val="en-ZA"/>
        </w:rPr>
        <w:t xml:space="preserve">) days </w:t>
      </w:r>
      <w:r w:rsidR="00E14322" w:rsidRPr="009528A8">
        <w:rPr>
          <w:szCs w:val="24"/>
          <w:lang w:val="en-ZA"/>
        </w:rPr>
        <w:t xml:space="preserve">had </w:t>
      </w:r>
      <w:r w:rsidRPr="009528A8">
        <w:rPr>
          <w:szCs w:val="24"/>
          <w:lang w:val="en-ZA"/>
        </w:rPr>
        <w:t>elapsed between the two events</w:t>
      </w:r>
      <w:r w:rsidR="00E90BAE" w:rsidRPr="009528A8">
        <w:rPr>
          <w:szCs w:val="24"/>
          <w:lang w:val="en-ZA"/>
        </w:rPr>
        <w:t xml:space="preserve">. </w:t>
      </w:r>
      <w:r w:rsidRPr="009528A8">
        <w:rPr>
          <w:szCs w:val="24"/>
          <w:lang w:val="en-ZA"/>
        </w:rPr>
        <w:t>In light of its case-law,</w:t>
      </w:r>
      <w:r w:rsidRPr="009528A8">
        <w:rPr>
          <w:rStyle w:val="FootnoteReference"/>
          <w:rFonts w:ascii="Arial" w:hAnsi="Arial" w:cs="Arial"/>
          <w:sz w:val="24"/>
          <w:szCs w:val="24"/>
          <w:lang w:val="en-ZA"/>
        </w:rPr>
        <w:footnoteReference w:id="16"/>
      </w:r>
      <w:r w:rsidRPr="009528A8">
        <w:rPr>
          <w:szCs w:val="24"/>
          <w:lang w:val="en-ZA"/>
        </w:rPr>
        <w:t xml:space="preserve"> t</w:t>
      </w:r>
      <w:r w:rsidR="00E90BAE" w:rsidRPr="009528A8">
        <w:rPr>
          <w:szCs w:val="24"/>
          <w:lang w:val="en-ZA"/>
        </w:rPr>
        <w:t xml:space="preserve">he Court considers that </w:t>
      </w:r>
      <w:r w:rsidRPr="009528A8">
        <w:rPr>
          <w:szCs w:val="24"/>
          <w:lang w:val="en-ZA"/>
        </w:rPr>
        <w:t>such time is manifestly reasonable and therefore find</w:t>
      </w:r>
      <w:r w:rsidR="00E14322" w:rsidRPr="009528A8">
        <w:rPr>
          <w:szCs w:val="24"/>
          <w:lang w:val="en-ZA"/>
        </w:rPr>
        <w:t>s</w:t>
      </w:r>
      <w:r w:rsidRPr="009528A8">
        <w:rPr>
          <w:szCs w:val="24"/>
          <w:lang w:val="en-ZA"/>
        </w:rPr>
        <w:t xml:space="preserve"> that the requirement set out under Rule 50(2)(f) of the Rules is met. </w:t>
      </w:r>
    </w:p>
    <w:p w14:paraId="4EFF4F9E" w14:textId="77777777" w:rsidR="00341214" w:rsidRPr="009528A8" w:rsidRDefault="00341214" w:rsidP="002634E9">
      <w:pPr>
        <w:rPr>
          <w:szCs w:val="24"/>
        </w:rPr>
      </w:pPr>
    </w:p>
    <w:p w14:paraId="4A2875C2" w14:textId="11AB2D29" w:rsidR="00023662" w:rsidRPr="009528A8" w:rsidRDefault="00023662" w:rsidP="002634E9">
      <w:pPr>
        <w:rPr>
          <w:szCs w:val="24"/>
          <w:lang w:val="en-ZA"/>
        </w:rPr>
      </w:pPr>
      <w:r w:rsidRPr="009528A8">
        <w:rPr>
          <w:szCs w:val="24"/>
        </w:rPr>
        <w:t xml:space="preserve">Finally, with respect to the requirement laid down in Rule 50(2)(g) of the Rules, the Court finds that the present </w:t>
      </w:r>
      <w:r w:rsidR="0080303D" w:rsidRPr="009528A8">
        <w:rPr>
          <w:szCs w:val="24"/>
        </w:rPr>
        <w:t>a</w:t>
      </w:r>
      <w:r w:rsidRPr="009528A8">
        <w:rPr>
          <w:szCs w:val="24"/>
        </w:rPr>
        <w:t xml:space="preserve">pplication does not concern a case which has already been settled by </w:t>
      </w:r>
      <w:r w:rsidRPr="009528A8">
        <w:rPr>
          <w:szCs w:val="24"/>
          <w:lang w:val="en-ZA"/>
        </w:rPr>
        <w:t>the</w:t>
      </w:r>
      <w:r w:rsidRPr="009528A8">
        <w:rPr>
          <w:szCs w:val="24"/>
        </w:rPr>
        <w:t xml:space="preserve"> Parties in accordance with the principles of the Charter of the United Nations, the Constitutive Act of the African Union, or the provisions of the Charter. The </w:t>
      </w:r>
      <w:r w:rsidR="0080303D" w:rsidRPr="009528A8">
        <w:rPr>
          <w:szCs w:val="24"/>
        </w:rPr>
        <w:t>a</w:t>
      </w:r>
      <w:r w:rsidRPr="009528A8">
        <w:rPr>
          <w:szCs w:val="24"/>
        </w:rPr>
        <w:t>pplication</w:t>
      </w:r>
      <w:r w:rsidR="0043373E" w:rsidRPr="009528A8">
        <w:rPr>
          <w:szCs w:val="24"/>
        </w:rPr>
        <w:t>,</w:t>
      </w:r>
      <w:r w:rsidRPr="009528A8">
        <w:rPr>
          <w:szCs w:val="24"/>
        </w:rPr>
        <w:t xml:space="preserve"> therefore</w:t>
      </w:r>
      <w:r w:rsidR="0043373E" w:rsidRPr="009528A8">
        <w:rPr>
          <w:szCs w:val="24"/>
        </w:rPr>
        <w:t>,</w:t>
      </w:r>
      <w:r w:rsidRPr="009528A8">
        <w:rPr>
          <w:szCs w:val="24"/>
        </w:rPr>
        <w:t xml:space="preserve"> meets this condition.</w:t>
      </w:r>
    </w:p>
    <w:p w14:paraId="36F647BC" w14:textId="6EF04500" w:rsidR="00341214" w:rsidRPr="009528A8" w:rsidRDefault="009B6A4C" w:rsidP="002634E9">
      <w:pPr>
        <w:rPr>
          <w:szCs w:val="24"/>
          <w:lang w:val="en-ZA"/>
        </w:rPr>
      </w:pPr>
      <w:r w:rsidRPr="009528A8">
        <w:rPr>
          <w:szCs w:val="24"/>
          <w:lang w:val="en-ZA"/>
        </w:rPr>
        <w:t xml:space="preserve">In light of the foregoing, the Court concludes that the </w:t>
      </w:r>
      <w:r w:rsidR="0080303D" w:rsidRPr="009528A8">
        <w:rPr>
          <w:szCs w:val="24"/>
          <w:lang w:val="en-ZA"/>
        </w:rPr>
        <w:t>a</w:t>
      </w:r>
      <w:r w:rsidRPr="009528A8">
        <w:rPr>
          <w:szCs w:val="24"/>
          <w:lang w:val="en-ZA"/>
        </w:rPr>
        <w:t xml:space="preserve">pplication meets all the conditions of admissibility set out in Article 56 of the Charter </w:t>
      </w:r>
      <w:r w:rsidR="004C65F2" w:rsidRPr="009528A8">
        <w:rPr>
          <w:szCs w:val="24"/>
          <w:lang w:val="en-ZA"/>
        </w:rPr>
        <w:t>as restated in Rule 50</w:t>
      </w:r>
      <w:r w:rsidR="0043373E" w:rsidRPr="009528A8">
        <w:rPr>
          <w:szCs w:val="24"/>
          <w:lang w:val="en-ZA"/>
        </w:rPr>
        <w:t>(2)</w:t>
      </w:r>
      <w:r w:rsidR="004C65F2" w:rsidRPr="009528A8">
        <w:rPr>
          <w:szCs w:val="24"/>
          <w:lang w:val="en-ZA"/>
        </w:rPr>
        <w:t xml:space="preserve"> of the Rules, </w:t>
      </w:r>
      <w:r w:rsidRPr="009528A8">
        <w:rPr>
          <w:szCs w:val="24"/>
          <w:lang w:val="en-ZA"/>
        </w:rPr>
        <w:t>and accordingly declares it admissible.</w:t>
      </w:r>
    </w:p>
    <w:p w14:paraId="146AA90C" w14:textId="78A0EAB9" w:rsidR="006064D9" w:rsidRPr="009528A8" w:rsidRDefault="006064D9" w:rsidP="002634E9"/>
    <w:p w14:paraId="5059A2D5" w14:textId="77777777" w:rsidR="00FE4F40" w:rsidRPr="009528A8" w:rsidRDefault="00FE4F40" w:rsidP="002634E9"/>
    <w:p w14:paraId="5AE3EB21" w14:textId="2DF43ED4" w:rsidR="006064D9" w:rsidRPr="009528A8" w:rsidRDefault="006064D9" w:rsidP="002634E9">
      <w:pPr>
        <w:rPr>
          <w:lang w:val="en-ZA"/>
        </w:rPr>
      </w:pPr>
      <w:bookmarkStart w:id="29" w:name="_Toc143594940"/>
      <w:r w:rsidRPr="009528A8">
        <w:rPr>
          <w:lang w:val="en-ZA"/>
        </w:rPr>
        <w:t>MERITS</w:t>
      </w:r>
      <w:bookmarkEnd w:id="29"/>
    </w:p>
    <w:p w14:paraId="74C02C8C" w14:textId="77777777" w:rsidR="006064D9" w:rsidRPr="009528A8" w:rsidRDefault="006064D9" w:rsidP="002634E9"/>
    <w:p w14:paraId="7F8FC45F" w14:textId="34575D38" w:rsidR="00DD159B" w:rsidRPr="009528A8" w:rsidRDefault="00DD159B" w:rsidP="002634E9">
      <w:pPr>
        <w:rPr>
          <w:rFonts w:eastAsia="Arial"/>
          <w:szCs w:val="24"/>
        </w:rPr>
      </w:pPr>
      <w:r w:rsidRPr="009528A8">
        <w:rPr>
          <w:rFonts w:eastAsia="Arial"/>
          <w:szCs w:val="24"/>
        </w:rPr>
        <w:t xml:space="preserve">The Applicant alleges the </w:t>
      </w:r>
      <w:r w:rsidR="0018641A" w:rsidRPr="009528A8">
        <w:rPr>
          <w:rFonts w:eastAsia="Arial"/>
          <w:szCs w:val="24"/>
        </w:rPr>
        <w:t xml:space="preserve">following </w:t>
      </w:r>
      <w:r w:rsidRPr="009528A8">
        <w:rPr>
          <w:rFonts w:eastAsia="Arial"/>
          <w:szCs w:val="24"/>
        </w:rPr>
        <w:t>violations:</w:t>
      </w:r>
    </w:p>
    <w:p w14:paraId="0D46DE96" w14:textId="77777777" w:rsidR="00D508BC" w:rsidRPr="009528A8" w:rsidRDefault="00D508BC" w:rsidP="002634E9">
      <w:pPr>
        <w:rPr>
          <w:rFonts w:eastAsia="Arial"/>
          <w:szCs w:val="24"/>
        </w:rPr>
      </w:pPr>
    </w:p>
    <w:p w14:paraId="0B79F5B7" w14:textId="15A18EAD" w:rsidR="006064D9" w:rsidRPr="009528A8" w:rsidRDefault="00A30AF7" w:rsidP="002634E9">
      <w:pPr>
        <w:rPr>
          <w:rFonts w:eastAsia="Arial"/>
        </w:rPr>
      </w:pPr>
      <w:bookmarkStart w:id="30" w:name="_Hlk132161415"/>
      <w:bookmarkStart w:id="31" w:name="_Hlk132590889"/>
      <w:r w:rsidRPr="009528A8">
        <w:rPr>
          <w:rFonts w:eastAsia="Arial"/>
        </w:rPr>
        <w:t>T</w:t>
      </w:r>
      <w:r w:rsidR="00DD159B" w:rsidRPr="009528A8">
        <w:rPr>
          <w:rFonts w:eastAsia="Arial"/>
        </w:rPr>
        <w:t xml:space="preserve">hat </w:t>
      </w:r>
      <w:r w:rsidR="008603EF" w:rsidRPr="009528A8">
        <w:rPr>
          <w:rFonts w:eastAsia="Arial"/>
        </w:rPr>
        <w:t>he</w:t>
      </w:r>
      <w:r w:rsidR="00DD159B" w:rsidRPr="009528A8">
        <w:rPr>
          <w:rFonts w:eastAsia="Arial"/>
        </w:rPr>
        <w:t xml:space="preserve"> was not informed </w:t>
      </w:r>
      <w:bookmarkStart w:id="32" w:name="_Hlk132161902"/>
      <w:r w:rsidR="00E14322" w:rsidRPr="009528A8">
        <w:rPr>
          <w:rFonts w:eastAsia="Arial"/>
        </w:rPr>
        <w:t xml:space="preserve">of </w:t>
      </w:r>
      <w:r w:rsidR="00DD159B" w:rsidRPr="009528A8">
        <w:rPr>
          <w:rFonts w:eastAsia="Arial"/>
        </w:rPr>
        <w:t>the ground of arrest before being arreste</w:t>
      </w:r>
      <w:r w:rsidR="008052F7" w:rsidRPr="009528A8">
        <w:rPr>
          <w:rFonts w:eastAsia="Arial"/>
        </w:rPr>
        <w:t>d</w:t>
      </w:r>
      <w:r w:rsidR="008603EF" w:rsidRPr="009528A8">
        <w:rPr>
          <w:rFonts w:eastAsia="Arial"/>
        </w:rPr>
        <w:t xml:space="preserve"> by the police</w:t>
      </w:r>
      <w:bookmarkEnd w:id="30"/>
      <w:bookmarkEnd w:id="32"/>
      <w:r w:rsidR="008850B2" w:rsidRPr="009528A8">
        <w:rPr>
          <w:rFonts w:eastAsia="Arial"/>
        </w:rPr>
        <w:t>;</w:t>
      </w:r>
    </w:p>
    <w:p w14:paraId="3848C093" w14:textId="1293F94E" w:rsidR="00CB2DB0" w:rsidRPr="009528A8" w:rsidRDefault="00CB2DB0" w:rsidP="002634E9">
      <w:pPr>
        <w:rPr>
          <w:rFonts w:eastAsia="Arial"/>
        </w:rPr>
      </w:pPr>
      <w:r w:rsidRPr="009528A8">
        <w:rPr>
          <w:rFonts w:eastAsia="Arial"/>
        </w:rPr>
        <w:t xml:space="preserve">That the Court of Appeal of Tanzania </w:t>
      </w:r>
      <w:r w:rsidR="00DA778E" w:rsidRPr="009528A8">
        <w:rPr>
          <w:rFonts w:eastAsia="Arial"/>
        </w:rPr>
        <w:t xml:space="preserve">failed </w:t>
      </w:r>
      <w:r w:rsidRPr="009528A8">
        <w:rPr>
          <w:rFonts w:eastAsia="Arial"/>
        </w:rPr>
        <w:t xml:space="preserve">to </w:t>
      </w:r>
      <w:r w:rsidR="00DA778E" w:rsidRPr="009528A8">
        <w:rPr>
          <w:rFonts w:eastAsia="Arial"/>
        </w:rPr>
        <w:t xml:space="preserve">properly determine matters of </w:t>
      </w:r>
      <w:r w:rsidRPr="009528A8">
        <w:rPr>
          <w:rFonts w:eastAsia="Arial"/>
        </w:rPr>
        <w:t>law and facts</w:t>
      </w:r>
      <w:r w:rsidR="006503D4" w:rsidRPr="009528A8">
        <w:rPr>
          <w:rFonts w:eastAsia="Arial"/>
        </w:rPr>
        <w:t xml:space="preserve"> in violation of</w:t>
      </w:r>
      <w:r w:rsidRPr="009528A8">
        <w:rPr>
          <w:rFonts w:eastAsia="Arial"/>
        </w:rPr>
        <w:t xml:space="preserve"> Articles 2, 3 and 7(1) of the Charter and Article 107A(B) of the Constitution of the </w:t>
      </w:r>
      <w:r w:rsidR="0030483A" w:rsidRPr="009528A8">
        <w:rPr>
          <w:rFonts w:eastAsia="Arial"/>
        </w:rPr>
        <w:t>Respondent State (</w:t>
      </w:r>
      <w:r w:rsidRPr="009528A8">
        <w:rPr>
          <w:rFonts w:eastAsia="Arial"/>
        </w:rPr>
        <w:t>1977</w:t>
      </w:r>
      <w:r w:rsidR="0030483A" w:rsidRPr="009528A8">
        <w:rPr>
          <w:rFonts w:eastAsia="Arial"/>
        </w:rPr>
        <w:t>)</w:t>
      </w:r>
      <w:r w:rsidRPr="009528A8">
        <w:rPr>
          <w:rFonts w:eastAsia="Arial"/>
        </w:rPr>
        <w:t xml:space="preserve">; and </w:t>
      </w:r>
    </w:p>
    <w:p w14:paraId="793A4A41" w14:textId="624640EE" w:rsidR="00F50C19" w:rsidRPr="009528A8" w:rsidRDefault="008052F7" w:rsidP="002634E9">
      <w:pPr>
        <w:rPr>
          <w:rFonts w:eastAsia="Arial"/>
        </w:rPr>
      </w:pPr>
      <w:bookmarkStart w:id="33" w:name="_Hlk132161615"/>
      <w:bookmarkStart w:id="34" w:name="_Hlk132162505"/>
      <w:r w:rsidRPr="009528A8">
        <w:rPr>
          <w:rFonts w:eastAsia="Arial"/>
        </w:rPr>
        <w:t>That the justice of appeal had erred in law and facts by</w:t>
      </w:r>
      <w:r w:rsidR="00CB2DB0" w:rsidRPr="009528A8">
        <w:rPr>
          <w:rFonts w:eastAsia="Arial"/>
        </w:rPr>
        <w:t xml:space="preserve"> </w:t>
      </w:r>
      <w:r w:rsidRPr="009528A8">
        <w:rPr>
          <w:rFonts w:eastAsia="Arial"/>
        </w:rPr>
        <w:t>failing to observe that the defen</w:t>
      </w:r>
      <w:r w:rsidR="00C23972" w:rsidRPr="009528A8">
        <w:rPr>
          <w:rFonts w:eastAsia="Arial"/>
        </w:rPr>
        <w:t>c</w:t>
      </w:r>
      <w:r w:rsidRPr="009528A8">
        <w:rPr>
          <w:rFonts w:eastAsia="Arial"/>
        </w:rPr>
        <w:t>e witnesses was/</w:t>
      </w:r>
      <w:r w:rsidR="00B31C67" w:rsidRPr="009528A8">
        <w:rPr>
          <w:rFonts w:eastAsia="Arial"/>
        </w:rPr>
        <w:t>were</w:t>
      </w:r>
      <w:r w:rsidRPr="009528A8">
        <w:rPr>
          <w:rFonts w:eastAsia="Arial"/>
        </w:rPr>
        <w:t xml:space="preserve"> not summoned/called </w:t>
      </w:r>
      <w:bookmarkEnd w:id="33"/>
      <w:r w:rsidRPr="009528A8">
        <w:rPr>
          <w:rFonts w:eastAsia="Arial"/>
        </w:rPr>
        <w:t>as required by Section 231 of the C</w:t>
      </w:r>
      <w:r w:rsidR="0030483A" w:rsidRPr="009528A8">
        <w:rPr>
          <w:rFonts w:eastAsia="Arial"/>
        </w:rPr>
        <w:t>PA</w:t>
      </w:r>
      <w:r w:rsidRPr="009528A8">
        <w:rPr>
          <w:rFonts w:eastAsia="Arial"/>
        </w:rPr>
        <w:t xml:space="preserve">, Cap 20 RE 2002 and Article 13(6)(a) of the Constitution of the </w:t>
      </w:r>
      <w:r w:rsidR="0030483A" w:rsidRPr="009528A8">
        <w:rPr>
          <w:rFonts w:eastAsia="Arial"/>
        </w:rPr>
        <w:t>Respondent State</w:t>
      </w:r>
      <w:r w:rsidRPr="009528A8">
        <w:rPr>
          <w:rFonts w:eastAsia="Arial"/>
        </w:rPr>
        <w:t>.</w:t>
      </w:r>
      <w:bookmarkEnd w:id="34"/>
    </w:p>
    <w:bookmarkEnd w:id="31"/>
    <w:p w14:paraId="16B6CD31" w14:textId="609826DE" w:rsidR="006064D9" w:rsidRPr="009528A8" w:rsidRDefault="006064D9" w:rsidP="002634E9">
      <w:pPr>
        <w:rPr>
          <w:rFonts w:eastAsia="Arial"/>
          <w:szCs w:val="24"/>
        </w:rPr>
      </w:pPr>
    </w:p>
    <w:p w14:paraId="48180F2E" w14:textId="473C8E31" w:rsidR="00B9555F" w:rsidRPr="009528A8" w:rsidRDefault="00DE36D5" w:rsidP="002634E9">
      <w:pPr>
        <w:rPr>
          <w:rFonts w:eastAsia="Arial"/>
          <w:szCs w:val="24"/>
        </w:rPr>
      </w:pPr>
      <w:r w:rsidRPr="009528A8">
        <w:rPr>
          <w:rFonts w:eastAsia="Arial"/>
          <w:szCs w:val="24"/>
        </w:rPr>
        <w:t xml:space="preserve">The Court observes that the Applicant’s averments as stated above revolve around the alleged violations of the right to be notified of </w:t>
      </w:r>
      <w:r w:rsidR="001D0FBB" w:rsidRPr="009528A8">
        <w:rPr>
          <w:rFonts w:eastAsia="Arial"/>
          <w:szCs w:val="24"/>
        </w:rPr>
        <w:t xml:space="preserve">the </w:t>
      </w:r>
      <w:r w:rsidRPr="009528A8">
        <w:rPr>
          <w:rFonts w:eastAsia="Arial"/>
          <w:szCs w:val="24"/>
        </w:rPr>
        <w:t>charges</w:t>
      </w:r>
      <w:r w:rsidR="001D0FBB" w:rsidRPr="009528A8">
        <w:rPr>
          <w:rFonts w:eastAsia="Arial"/>
          <w:szCs w:val="24"/>
        </w:rPr>
        <w:t xml:space="preserve"> against him</w:t>
      </w:r>
      <w:r w:rsidRPr="009528A8">
        <w:rPr>
          <w:rFonts w:eastAsia="Arial"/>
          <w:szCs w:val="24"/>
        </w:rPr>
        <w:t xml:space="preserve"> (A), </w:t>
      </w:r>
      <w:r w:rsidR="00087A5E" w:rsidRPr="009528A8">
        <w:rPr>
          <w:rFonts w:eastAsia="Arial"/>
          <w:szCs w:val="24"/>
        </w:rPr>
        <w:t xml:space="preserve">the right to have one’s cause heard jointly read with the right to equality before the law (B), and the right to defence (C). The Court will examine these allegations in turn. </w:t>
      </w:r>
    </w:p>
    <w:p w14:paraId="0F3A8E1A" w14:textId="77777777" w:rsidR="00087A5E" w:rsidRPr="009528A8" w:rsidRDefault="00087A5E" w:rsidP="002634E9">
      <w:pPr>
        <w:rPr>
          <w:rFonts w:eastAsia="Arial"/>
          <w:szCs w:val="24"/>
        </w:rPr>
      </w:pPr>
    </w:p>
    <w:p w14:paraId="7DEA8A31" w14:textId="5F7E3CDF" w:rsidR="006064D9" w:rsidRPr="009528A8" w:rsidRDefault="006064D9" w:rsidP="002634E9">
      <w:pPr>
        <w:rPr>
          <w:rFonts w:eastAsia="Arial"/>
        </w:rPr>
      </w:pPr>
      <w:bookmarkStart w:id="35" w:name="_Toc143594941"/>
      <w:r w:rsidRPr="009528A8">
        <w:rPr>
          <w:rFonts w:eastAsia="Arial"/>
        </w:rPr>
        <w:t>Alleg</w:t>
      </w:r>
      <w:r w:rsidR="006C5D23" w:rsidRPr="009528A8">
        <w:rPr>
          <w:rFonts w:eastAsia="Arial"/>
        </w:rPr>
        <w:t>ed</w:t>
      </w:r>
      <w:r w:rsidR="00761EAD" w:rsidRPr="009528A8">
        <w:rPr>
          <w:rFonts w:eastAsia="Arial"/>
        </w:rPr>
        <w:t xml:space="preserve"> </w:t>
      </w:r>
      <w:r w:rsidR="0010305D" w:rsidRPr="009528A8">
        <w:rPr>
          <w:rFonts w:eastAsia="Arial"/>
        </w:rPr>
        <w:t xml:space="preserve">violation of the right to be notified of </w:t>
      </w:r>
      <w:r w:rsidR="004E1EB3" w:rsidRPr="009528A8">
        <w:rPr>
          <w:rFonts w:eastAsia="Arial"/>
        </w:rPr>
        <w:t xml:space="preserve">the </w:t>
      </w:r>
      <w:r w:rsidR="0010305D" w:rsidRPr="009528A8">
        <w:rPr>
          <w:rFonts w:eastAsia="Arial"/>
        </w:rPr>
        <w:t>charges</w:t>
      </w:r>
      <w:bookmarkEnd w:id="35"/>
      <w:r w:rsidR="0010305D" w:rsidRPr="009528A8">
        <w:rPr>
          <w:rFonts w:eastAsia="Arial"/>
        </w:rPr>
        <w:t xml:space="preserve"> </w:t>
      </w:r>
    </w:p>
    <w:p w14:paraId="25224A45" w14:textId="77777777" w:rsidR="00557B6E" w:rsidRPr="009528A8" w:rsidRDefault="00557B6E" w:rsidP="002634E9"/>
    <w:p w14:paraId="68E264AA" w14:textId="199E9D64" w:rsidR="00822677" w:rsidRPr="009528A8" w:rsidRDefault="00822677" w:rsidP="002634E9">
      <w:pPr>
        <w:rPr>
          <w:rFonts w:eastAsia="Arial"/>
          <w:szCs w:val="24"/>
        </w:rPr>
      </w:pPr>
      <w:r w:rsidRPr="009528A8">
        <w:rPr>
          <w:rFonts w:eastAsia="Arial"/>
          <w:szCs w:val="24"/>
        </w:rPr>
        <w:t xml:space="preserve">The Applicant </w:t>
      </w:r>
      <w:r w:rsidRPr="009528A8">
        <w:rPr>
          <w:szCs w:val="24"/>
          <w:lang w:val="en-ZA"/>
        </w:rPr>
        <w:t>alleges</w:t>
      </w:r>
      <w:r w:rsidRPr="009528A8">
        <w:rPr>
          <w:rFonts w:eastAsia="Arial"/>
          <w:szCs w:val="24"/>
        </w:rPr>
        <w:t xml:space="preserve"> </w:t>
      </w:r>
      <w:r w:rsidR="00076846" w:rsidRPr="009528A8">
        <w:rPr>
          <w:rFonts w:eastAsia="Arial"/>
          <w:szCs w:val="24"/>
        </w:rPr>
        <w:t xml:space="preserve">that he was not informed </w:t>
      </w:r>
      <w:r w:rsidR="00157BE1" w:rsidRPr="009528A8">
        <w:rPr>
          <w:rFonts w:eastAsia="Arial"/>
          <w:szCs w:val="24"/>
        </w:rPr>
        <w:t>of the ground</w:t>
      </w:r>
      <w:r w:rsidR="00E14322" w:rsidRPr="009528A8">
        <w:rPr>
          <w:rFonts w:eastAsia="Arial"/>
          <w:szCs w:val="24"/>
        </w:rPr>
        <w:t>s</w:t>
      </w:r>
      <w:r w:rsidR="00157BE1" w:rsidRPr="009528A8">
        <w:rPr>
          <w:rFonts w:eastAsia="Arial"/>
          <w:szCs w:val="24"/>
        </w:rPr>
        <w:t xml:space="preserve"> of arrest before </w:t>
      </w:r>
      <w:r w:rsidR="00431B44" w:rsidRPr="009528A8">
        <w:rPr>
          <w:rFonts w:eastAsia="Arial"/>
          <w:szCs w:val="24"/>
        </w:rPr>
        <w:t xml:space="preserve">being arrested </w:t>
      </w:r>
      <w:r w:rsidR="00157BE1" w:rsidRPr="009528A8">
        <w:rPr>
          <w:rFonts w:eastAsia="Arial"/>
          <w:szCs w:val="24"/>
        </w:rPr>
        <w:t xml:space="preserve">which amounts to </w:t>
      </w:r>
      <w:r w:rsidR="00281582" w:rsidRPr="009528A8">
        <w:rPr>
          <w:rFonts w:eastAsia="Arial"/>
          <w:szCs w:val="24"/>
        </w:rPr>
        <w:t>a violation of</w:t>
      </w:r>
      <w:r w:rsidRPr="009528A8">
        <w:rPr>
          <w:rFonts w:eastAsia="Arial"/>
          <w:szCs w:val="24"/>
        </w:rPr>
        <w:t xml:space="preserve"> his fundamental rights under </w:t>
      </w:r>
      <w:bookmarkStart w:id="36" w:name="_Hlk132378025"/>
      <w:r w:rsidRPr="009528A8">
        <w:rPr>
          <w:rFonts w:eastAsia="Arial"/>
          <w:szCs w:val="24"/>
        </w:rPr>
        <w:t>section 23 of the C</w:t>
      </w:r>
      <w:r w:rsidR="0030483A" w:rsidRPr="009528A8">
        <w:rPr>
          <w:rFonts w:eastAsia="Arial"/>
          <w:szCs w:val="24"/>
        </w:rPr>
        <w:t>PA,</w:t>
      </w:r>
      <w:r w:rsidR="008C7098" w:rsidRPr="009528A8">
        <w:rPr>
          <w:rFonts w:eastAsia="Arial"/>
          <w:szCs w:val="24"/>
        </w:rPr>
        <w:t xml:space="preserve"> </w:t>
      </w:r>
      <w:r w:rsidRPr="009528A8">
        <w:rPr>
          <w:rFonts w:eastAsia="Arial"/>
          <w:szCs w:val="24"/>
        </w:rPr>
        <w:t xml:space="preserve">Cap 20 RE 2002 </w:t>
      </w:r>
      <w:bookmarkEnd w:id="36"/>
      <w:r w:rsidRPr="009528A8">
        <w:rPr>
          <w:rFonts w:eastAsia="Arial"/>
          <w:szCs w:val="24"/>
        </w:rPr>
        <w:t xml:space="preserve">supported by Article 15(2) of the Constitution of the </w:t>
      </w:r>
      <w:r w:rsidR="0030483A" w:rsidRPr="009528A8">
        <w:rPr>
          <w:rFonts w:eastAsia="Arial"/>
          <w:szCs w:val="24"/>
        </w:rPr>
        <w:t>Respondent State</w:t>
      </w:r>
      <w:r w:rsidR="00431B44" w:rsidRPr="009528A8">
        <w:rPr>
          <w:rFonts w:eastAsia="Arial"/>
          <w:szCs w:val="24"/>
        </w:rPr>
        <w:t>.</w:t>
      </w:r>
    </w:p>
    <w:p w14:paraId="0D6159F3" w14:textId="77777777" w:rsidR="00FA1660" w:rsidRPr="009528A8" w:rsidRDefault="00FA1660" w:rsidP="002634E9">
      <w:pPr>
        <w:rPr>
          <w:rFonts w:eastAsia="Arial"/>
          <w:szCs w:val="24"/>
        </w:rPr>
      </w:pPr>
    </w:p>
    <w:p w14:paraId="2226C12D" w14:textId="5D8C966A" w:rsidR="00176AAB" w:rsidRPr="009528A8" w:rsidRDefault="00FA1660" w:rsidP="002634E9">
      <w:pPr>
        <w:rPr>
          <w:rFonts w:eastAsia="Arial"/>
          <w:szCs w:val="24"/>
        </w:rPr>
      </w:pPr>
      <w:r w:rsidRPr="009528A8">
        <w:rPr>
          <w:rFonts w:eastAsia="Arial"/>
          <w:szCs w:val="24"/>
        </w:rPr>
        <w:t xml:space="preserve">The Respondent </w:t>
      </w:r>
      <w:r w:rsidR="0080303D" w:rsidRPr="009528A8">
        <w:rPr>
          <w:rFonts w:eastAsia="Arial"/>
          <w:szCs w:val="24"/>
        </w:rPr>
        <w:t xml:space="preserve">State </w:t>
      </w:r>
      <w:r w:rsidRPr="009528A8">
        <w:rPr>
          <w:rFonts w:eastAsia="Arial"/>
          <w:szCs w:val="24"/>
        </w:rPr>
        <w:t>refutes th</w:t>
      </w:r>
      <w:r w:rsidR="00E85BCE" w:rsidRPr="009528A8">
        <w:rPr>
          <w:rFonts w:eastAsia="Arial"/>
          <w:szCs w:val="24"/>
        </w:rPr>
        <w:t>e</w:t>
      </w:r>
      <w:r w:rsidRPr="009528A8">
        <w:rPr>
          <w:rFonts w:eastAsia="Arial"/>
          <w:szCs w:val="24"/>
        </w:rPr>
        <w:t xml:space="preserve"> allegation and </w:t>
      </w:r>
      <w:r w:rsidR="00176AAB" w:rsidRPr="009528A8">
        <w:rPr>
          <w:rFonts w:eastAsia="Arial"/>
          <w:szCs w:val="24"/>
        </w:rPr>
        <w:t xml:space="preserve">submits that if the Applicant felt his rights had been violated, he had the remedy of instituting a </w:t>
      </w:r>
      <w:r w:rsidR="004B6B81" w:rsidRPr="009528A8">
        <w:rPr>
          <w:rFonts w:eastAsia="Arial"/>
          <w:szCs w:val="24"/>
        </w:rPr>
        <w:t>c</w:t>
      </w:r>
      <w:r w:rsidR="00176AAB" w:rsidRPr="009528A8">
        <w:rPr>
          <w:rFonts w:eastAsia="Arial"/>
          <w:szCs w:val="24"/>
        </w:rPr>
        <w:t xml:space="preserve">onstitutional </w:t>
      </w:r>
      <w:r w:rsidR="004B6B81" w:rsidRPr="009528A8">
        <w:rPr>
          <w:rFonts w:eastAsia="Arial"/>
          <w:szCs w:val="24"/>
        </w:rPr>
        <w:t>p</w:t>
      </w:r>
      <w:r w:rsidR="00176AAB" w:rsidRPr="009528A8">
        <w:rPr>
          <w:rFonts w:eastAsia="Arial"/>
          <w:szCs w:val="24"/>
        </w:rPr>
        <w:t>etitio</w:t>
      </w:r>
      <w:r w:rsidR="00E85BCE" w:rsidRPr="009528A8">
        <w:rPr>
          <w:rFonts w:eastAsia="Arial"/>
          <w:szCs w:val="24"/>
        </w:rPr>
        <w:t xml:space="preserve">n under </w:t>
      </w:r>
      <w:r w:rsidR="00176AAB" w:rsidRPr="009528A8">
        <w:rPr>
          <w:rFonts w:eastAsia="Arial"/>
          <w:szCs w:val="24"/>
        </w:rPr>
        <w:t xml:space="preserve">the Basic Rights and Duties Enforcement Act [Cap 3 RE 2002] while </w:t>
      </w:r>
      <w:r w:rsidR="004B6B81" w:rsidRPr="009528A8">
        <w:rPr>
          <w:rFonts w:eastAsia="Arial"/>
          <w:szCs w:val="24"/>
        </w:rPr>
        <w:t xml:space="preserve">the proceedings were ongoing before </w:t>
      </w:r>
      <w:r w:rsidR="00176AAB" w:rsidRPr="009528A8">
        <w:rPr>
          <w:rFonts w:eastAsia="Arial"/>
          <w:szCs w:val="24"/>
        </w:rPr>
        <w:t>the District Court.</w:t>
      </w:r>
    </w:p>
    <w:p w14:paraId="45F4FC95" w14:textId="77777777" w:rsidR="00176AAB" w:rsidRPr="009528A8" w:rsidRDefault="00176AAB" w:rsidP="002634E9">
      <w:pPr>
        <w:rPr>
          <w:rFonts w:eastAsia="Arial"/>
          <w:szCs w:val="24"/>
        </w:rPr>
      </w:pPr>
    </w:p>
    <w:p w14:paraId="5558AD16" w14:textId="399311E5" w:rsidR="00176AAB" w:rsidRPr="009528A8" w:rsidRDefault="00176AAB" w:rsidP="002634E9">
      <w:pPr>
        <w:rPr>
          <w:rFonts w:eastAsia="Arial"/>
          <w:szCs w:val="24"/>
        </w:rPr>
      </w:pPr>
      <w:r w:rsidRPr="009528A8">
        <w:rPr>
          <w:rFonts w:eastAsia="Arial"/>
          <w:szCs w:val="24"/>
        </w:rPr>
        <w:t xml:space="preserve">The Respondent State further avers that the Applicant never raised this allegation before the trial </w:t>
      </w:r>
      <w:r w:rsidR="004B6B81" w:rsidRPr="009528A8">
        <w:rPr>
          <w:rFonts w:eastAsia="Arial"/>
          <w:szCs w:val="24"/>
        </w:rPr>
        <w:t>c</w:t>
      </w:r>
      <w:r w:rsidRPr="009528A8">
        <w:rPr>
          <w:rFonts w:eastAsia="Arial"/>
          <w:szCs w:val="24"/>
        </w:rPr>
        <w:t>ourt or as a ground of appeal before the High Court or the Court of Appeal</w:t>
      </w:r>
      <w:r w:rsidR="00D069ED" w:rsidRPr="009528A8">
        <w:rPr>
          <w:rFonts w:eastAsia="Arial"/>
          <w:szCs w:val="24"/>
        </w:rPr>
        <w:t xml:space="preserve"> and therefore</w:t>
      </w:r>
      <w:r w:rsidRPr="009528A8">
        <w:rPr>
          <w:rFonts w:eastAsia="Arial"/>
          <w:szCs w:val="24"/>
        </w:rPr>
        <w:t xml:space="preserve"> lacks merit and should be duly dismissed.</w:t>
      </w:r>
    </w:p>
    <w:p w14:paraId="7FCE7E6E" w14:textId="292AB52C" w:rsidR="00710200" w:rsidRPr="009528A8" w:rsidRDefault="00020391" w:rsidP="002634E9">
      <w:pPr>
        <w:rPr>
          <w:rFonts w:eastAsia="Arial"/>
          <w:szCs w:val="24"/>
        </w:rPr>
      </w:pPr>
      <w:r w:rsidRPr="009528A8">
        <w:rPr>
          <w:rFonts w:eastAsia="Arial"/>
          <w:szCs w:val="24"/>
        </w:rPr>
        <w:t>***</w:t>
      </w:r>
    </w:p>
    <w:p w14:paraId="66751599" w14:textId="77777777" w:rsidR="00DA07FF" w:rsidRPr="009528A8" w:rsidRDefault="00DA07FF" w:rsidP="002634E9">
      <w:pPr>
        <w:rPr>
          <w:rFonts w:eastAsia="Arial"/>
          <w:szCs w:val="24"/>
        </w:rPr>
      </w:pPr>
    </w:p>
    <w:p w14:paraId="4F29E98B" w14:textId="43080F6F" w:rsidR="00E1687C" w:rsidRPr="009528A8" w:rsidRDefault="00E1687C" w:rsidP="002634E9">
      <w:pPr>
        <w:rPr>
          <w:rFonts w:eastAsia="Arial"/>
          <w:szCs w:val="24"/>
        </w:rPr>
      </w:pPr>
      <w:r w:rsidRPr="009528A8">
        <w:rPr>
          <w:rFonts w:eastAsia="Arial"/>
          <w:szCs w:val="24"/>
        </w:rPr>
        <w:t xml:space="preserve">Article 7(1)(c) of the </w:t>
      </w:r>
      <w:r w:rsidRPr="009528A8">
        <w:rPr>
          <w:szCs w:val="24"/>
          <w:lang w:val="en-ZA"/>
        </w:rPr>
        <w:t>Charter</w:t>
      </w:r>
      <w:r w:rsidRPr="009528A8">
        <w:rPr>
          <w:rFonts w:eastAsia="Arial"/>
          <w:szCs w:val="24"/>
        </w:rPr>
        <w:t xml:space="preserve"> provides that every individual shall have “the right to defence, including the right to be defended by counsel of his choice”.</w:t>
      </w:r>
      <w:r w:rsidR="00ED522C" w:rsidRPr="009528A8">
        <w:rPr>
          <w:rFonts w:eastAsia="Arial"/>
          <w:szCs w:val="24"/>
        </w:rPr>
        <w:t xml:space="preserve"> </w:t>
      </w:r>
    </w:p>
    <w:p w14:paraId="718AA8B4" w14:textId="77777777" w:rsidR="006C5D23" w:rsidRPr="009528A8" w:rsidRDefault="006C5D23" w:rsidP="002634E9">
      <w:pPr>
        <w:rPr>
          <w:rFonts w:eastAsia="Arial"/>
          <w:szCs w:val="24"/>
        </w:rPr>
      </w:pPr>
    </w:p>
    <w:p w14:paraId="12D5D753" w14:textId="6261C9AD" w:rsidR="0032367A" w:rsidRPr="009528A8" w:rsidRDefault="0032367A" w:rsidP="002634E9">
      <w:pPr>
        <w:rPr>
          <w:rFonts w:eastAsia="Arial"/>
          <w:szCs w:val="24"/>
        </w:rPr>
      </w:pPr>
      <w:r w:rsidRPr="009528A8">
        <w:rPr>
          <w:rFonts w:eastAsia="Arial"/>
          <w:szCs w:val="24"/>
        </w:rPr>
        <w:t>The Court observes that while Article 7(1)(c) of the Charter does not explicitly provide for the right to be notified of charges, the said right is expressly guaranteed in Article 14(3)(a) of the International Covenant on Civil and Political Rights</w:t>
      </w:r>
      <w:r w:rsidR="00EE7BFC" w:rsidRPr="009528A8">
        <w:rPr>
          <w:rFonts w:eastAsia="Arial"/>
          <w:szCs w:val="24"/>
        </w:rPr>
        <w:t xml:space="preserve"> (hereinafter referred to as “ICCPR”</w:t>
      </w:r>
      <w:r w:rsidRPr="009528A8">
        <w:rPr>
          <w:rFonts w:eastAsia="Arial"/>
          <w:szCs w:val="24"/>
        </w:rPr>
        <w:t>.</w:t>
      </w:r>
      <w:r w:rsidRPr="009528A8">
        <w:rPr>
          <w:rStyle w:val="FootnoteReference"/>
          <w:rFonts w:ascii="Arial" w:eastAsia="Arial" w:hAnsi="Arial" w:cs="Arial"/>
          <w:sz w:val="24"/>
          <w:szCs w:val="24"/>
        </w:rPr>
        <w:footnoteReference w:id="17"/>
      </w:r>
    </w:p>
    <w:p w14:paraId="673C0EB9" w14:textId="04641944" w:rsidR="00E1687C" w:rsidRPr="009528A8" w:rsidRDefault="00E1687C" w:rsidP="002634E9">
      <w:pPr>
        <w:rPr>
          <w:rFonts w:eastAsia="Arial"/>
          <w:szCs w:val="24"/>
        </w:rPr>
      </w:pPr>
    </w:p>
    <w:p w14:paraId="793A4EA2" w14:textId="6FF177FD" w:rsidR="00194293" w:rsidRPr="009528A8" w:rsidRDefault="00194293" w:rsidP="002634E9">
      <w:pPr>
        <w:rPr>
          <w:rFonts w:eastAsia="Arial"/>
          <w:szCs w:val="24"/>
        </w:rPr>
      </w:pPr>
      <w:r w:rsidRPr="009528A8">
        <w:rPr>
          <w:rFonts w:eastAsia="Arial"/>
          <w:szCs w:val="24"/>
        </w:rPr>
        <w:t>Th</w:t>
      </w:r>
      <w:r w:rsidR="00E1687C" w:rsidRPr="009528A8">
        <w:rPr>
          <w:rFonts w:eastAsia="Arial"/>
          <w:szCs w:val="24"/>
        </w:rPr>
        <w:t xml:space="preserve">is Court </w:t>
      </w:r>
      <w:r w:rsidR="00A3644D" w:rsidRPr="009528A8">
        <w:rPr>
          <w:rFonts w:eastAsia="Arial"/>
          <w:szCs w:val="24"/>
        </w:rPr>
        <w:t>recalls that, as it</w:t>
      </w:r>
      <w:r w:rsidR="00E1687C" w:rsidRPr="009528A8">
        <w:rPr>
          <w:rFonts w:eastAsia="Arial"/>
          <w:szCs w:val="24"/>
        </w:rPr>
        <w:t xml:space="preserve"> held in the matter of </w:t>
      </w:r>
      <w:r w:rsidR="004B6B81" w:rsidRPr="009528A8">
        <w:rPr>
          <w:rFonts w:eastAsia="Arial"/>
          <w:i/>
          <w:szCs w:val="24"/>
        </w:rPr>
        <w:t xml:space="preserve">Sébastien Germain </w:t>
      </w:r>
      <w:r w:rsidR="00E1687C" w:rsidRPr="009528A8">
        <w:rPr>
          <w:rFonts w:eastAsia="Arial"/>
          <w:i/>
          <w:iCs/>
          <w:szCs w:val="24"/>
        </w:rPr>
        <w:t>Ajavon v</w:t>
      </w:r>
      <w:r w:rsidR="004B6B81" w:rsidRPr="009528A8">
        <w:rPr>
          <w:rFonts w:eastAsia="Arial"/>
          <w:i/>
          <w:iCs/>
          <w:szCs w:val="24"/>
        </w:rPr>
        <w:t>.</w:t>
      </w:r>
      <w:r w:rsidR="00E1687C" w:rsidRPr="009528A8">
        <w:rPr>
          <w:rFonts w:eastAsia="Arial"/>
          <w:i/>
          <w:iCs/>
          <w:szCs w:val="24"/>
        </w:rPr>
        <w:t xml:space="preserve"> </w:t>
      </w:r>
      <w:r w:rsidR="004E1EB3" w:rsidRPr="009528A8">
        <w:rPr>
          <w:rFonts w:eastAsia="Arial"/>
          <w:i/>
          <w:iCs/>
          <w:szCs w:val="24"/>
        </w:rPr>
        <w:t xml:space="preserve">Republic of </w:t>
      </w:r>
      <w:r w:rsidR="00E1687C" w:rsidRPr="009528A8">
        <w:rPr>
          <w:rFonts w:eastAsia="Arial"/>
          <w:i/>
          <w:iCs/>
          <w:szCs w:val="24"/>
        </w:rPr>
        <w:t>Benin</w:t>
      </w:r>
      <w:r w:rsidR="004B6B81" w:rsidRPr="009528A8">
        <w:rPr>
          <w:rFonts w:eastAsia="Arial"/>
          <w:iCs/>
          <w:szCs w:val="24"/>
        </w:rPr>
        <w:t>,</w:t>
      </w:r>
      <w:r w:rsidR="00E1687C" w:rsidRPr="009528A8">
        <w:rPr>
          <w:rFonts w:eastAsia="Arial"/>
          <w:szCs w:val="24"/>
        </w:rPr>
        <w:t xml:space="preserve"> </w:t>
      </w:r>
      <w:r w:rsidR="00710200" w:rsidRPr="009528A8">
        <w:rPr>
          <w:rFonts w:eastAsia="Arial"/>
          <w:szCs w:val="24"/>
        </w:rPr>
        <w:t>the right to be notified of charges is an important aspect of the right to defence</w:t>
      </w:r>
      <w:r w:rsidR="004B6B81" w:rsidRPr="009528A8">
        <w:rPr>
          <w:rFonts w:eastAsia="Arial"/>
          <w:szCs w:val="24"/>
        </w:rPr>
        <w:t xml:space="preserve"> protected under Article 7(1)(c) of the Charter</w:t>
      </w:r>
      <w:r w:rsidR="00710200" w:rsidRPr="009528A8">
        <w:rPr>
          <w:rFonts w:eastAsia="Arial"/>
          <w:szCs w:val="24"/>
        </w:rPr>
        <w:t>.</w:t>
      </w:r>
      <w:r w:rsidR="00710200" w:rsidRPr="009528A8">
        <w:rPr>
          <w:rStyle w:val="FootnoteReference"/>
          <w:rFonts w:ascii="Arial" w:eastAsia="Arial" w:hAnsi="Arial" w:cs="Arial"/>
          <w:sz w:val="24"/>
          <w:szCs w:val="24"/>
        </w:rPr>
        <w:footnoteReference w:id="18"/>
      </w:r>
      <w:r w:rsidR="00710200" w:rsidRPr="009528A8">
        <w:rPr>
          <w:rFonts w:eastAsia="Arial"/>
          <w:szCs w:val="24"/>
        </w:rPr>
        <w:t xml:space="preserve"> </w:t>
      </w:r>
      <w:r w:rsidR="004B6B81" w:rsidRPr="009528A8">
        <w:rPr>
          <w:rFonts w:eastAsia="Arial"/>
          <w:szCs w:val="24"/>
        </w:rPr>
        <w:t xml:space="preserve">Particularly </w:t>
      </w:r>
      <w:r w:rsidRPr="009528A8">
        <w:rPr>
          <w:rFonts w:eastAsia="Arial"/>
          <w:szCs w:val="24"/>
        </w:rPr>
        <w:t xml:space="preserve">in criminal cases, the purpose of </w:t>
      </w:r>
      <w:r w:rsidR="004B6B81" w:rsidRPr="009528A8">
        <w:rPr>
          <w:rFonts w:eastAsia="Arial"/>
          <w:szCs w:val="24"/>
        </w:rPr>
        <w:t xml:space="preserve">the accused being notified of the charges </w:t>
      </w:r>
      <w:r w:rsidRPr="009528A8">
        <w:rPr>
          <w:rFonts w:eastAsia="Arial"/>
          <w:szCs w:val="24"/>
        </w:rPr>
        <w:t xml:space="preserve">is to enable </w:t>
      </w:r>
      <w:r w:rsidR="00710200" w:rsidRPr="009528A8">
        <w:rPr>
          <w:rFonts w:eastAsia="Arial"/>
          <w:szCs w:val="24"/>
        </w:rPr>
        <w:t>the</w:t>
      </w:r>
      <w:r w:rsidR="004B6B81" w:rsidRPr="009528A8">
        <w:rPr>
          <w:rFonts w:eastAsia="Arial"/>
          <w:szCs w:val="24"/>
        </w:rPr>
        <w:t xml:space="preserve">m </w:t>
      </w:r>
      <w:r w:rsidRPr="009528A8">
        <w:rPr>
          <w:rFonts w:eastAsia="Arial"/>
          <w:szCs w:val="24"/>
        </w:rPr>
        <w:t xml:space="preserve">to </w:t>
      </w:r>
      <w:r w:rsidR="004B6B81" w:rsidRPr="009528A8">
        <w:rPr>
          <w:rFonts w:eastAsia="Arial"/>
          <w:szCs w:val="24"/>
        </w:rPr>
        <w:t xml:space="preserve">duly </w:t>
      </w:r>
      <w:r w:rsidRPr="009528A8">
        <w:rPr>
          <w:rFonts w:eastAsia="Arial"/>
          <w:szCs w:val="24"/>
        </w:rPr>
        <w:t xml:space="preserve">prepare </w:t>
      </w:r>
      <w:r w:rsidR="004B6B81" w:rsidRPr="009528A8">
        <w:rPr>
          <w:rFonts w:eastAsia="Arial"/>
          <w:szCs w:val="24"/>
        </w:rPr>
        <w:t xml:space="preserve">their </w:t>
      </w:r>
      <w:r w:rsidRPr="009528A8">
        <w:rPr>
          <w:rFonts w:eastAsia="Arial"/>
          <w:szCs w:val="24"/>
        </w:rPr>
        <w:t>defence.</w:t>
      </w:r>
      <w:r w:rsidRPr="009528A8">
        <w:rPr>
          <w:rStyle w:val="FootnoteReference"/>
          <w:rFonts w:ascii="Arial" w:eastAsia="Arial" w:hAnsi="Arial" w:cs="Arial"/>
          <w:sz w:val="24"/>
          <w:szCs w:val="24"/>
        </w:rPr>
        <w:footnoteReference w:id="19"/>
      </w:r>
    </w:p>
    <w:p w14:paraId="0A37947F" w14:textId="77777777" w:rsidR="003C1FD0" w:rsidRPr="009528A8" w:rsidRDefault="003C1FD0" w:rsidP="002634E9">
      <w:pPr>
        <w:rPr>
          <w:rFonts w:eastAsia="Arial"/>
          <w:szCs w:val="24"/>
        </w:rPr>
      </w:pPr>
    </w:p>
    <w:p w14:paraId="2574BB06" w14:textId="699E1467" w:rsidR="003C1FD0" w:rsidRPr="009528A8" w:rsidRDefault="003C1FD0" w:rsidP="002634E9">
      <w:pPr>
        <w:rPr>
          <w:rFonts w:eastAsia="Arial"/>
          <w:szCs w:val="24"/>
        </w:rPr>
      </w:pPr>
      <w:r w:rsidRPr="009528A8">
        <w:rPr>
          <w:rFonts w:eastAsia="Arial"/>
          <w:szCs w:val="24"/>
        </w:rPr>
        <w:t xml:space="preserve">The </w:t>
      </w:r>
      <w:r w:rsidR="003C1E42" w:rsidRPr="009528A8">
        <w:rPr>
          <w:rFonts w:eastAsia="Arial"/>
          <w:szCs w:val="24"/>
        </w:rPr>
        <w:t xml:space="preserve">same purpose is inherent in </w:t>
      </w:r>
      <w:r w:rsidRPr="009528A8">
        <w:rPr>
          <w:rFonts w:eastAsia="Arial"/>
          <w:szCs w:val="24"/>
        </w:rPr>
        <w:t>the C</w:t>
      </w:r>
      <w:r w:rsidR="00EE7BFC" w:rsidRPr="009528A8">
        <w:rPr>
          <w:rFonts w:eastAsia="Arial"/>
          <w:szCs w:val="24"/>
        </w:rPr>
        <w:t xml:space="preserve">PA </w:t>
      </w:r>
      <w:r w:rsidRPr="009528A8">
        <w:rPr>
          <w:rFonts w:eastAsia="Arial"/>
          <w:szCs w:val="24"/>
        </w:rPr>
        <w:t xml:space="preserve">Cap 20 RE 2002 of the </w:t>
      </w:r>
      <w:r w:rsidRPr="009528A8">
        <w:rPr>
          <w:szCs w:val="24"/>
          <w:lang w:val="en-ZA"/>
        </w:rPr>
        <w:t>Respondent</w:t>
      </w:r>
      <w:r w:rsidRPr="009528A8">
        <w:rPr>
          <w:rFonts w:eastAsia="Arial"/>
          <w:szCs w:val="24"/>
        </w:rPr>
        <w:t xml:space="preserve"> State</w:t>
      </w:r>
      <w:r w:rsidR="003C1E42" w:rsidRPr="009528A8">
        <w:rPr>
          <w:rFonts w:eastAsia="Arial"/>
          <w:szCs w:val="24"/>
        </w:rPr>
        <w:t>. Section</w:t>
      </w:r>
      <w:r w:rsidR="002F5427" w:rsidRPr="009528A8">
        <w:rPr>
          <w:rFonts w:eastAsia="Arial"/>
          <w:szCs w:val="24"/>
        </w:rPr>
        <w:t xml:space="preserve"> </w:t>
      </w:r>
      <w:r w:rsidR="003C1E42" w:rsidRPr="009528A8">
        <w:rPr>
          <w:rFonts w:eastAsia="Arial"/>
          <w:szCs w:val="24"/>
        </w:rPr>
        <w:t xml:space="preserve">23(1) of the said Act </w:t>
      </w:r>
      <w:r w:rsidRPr="009528A8">
        <w:rPr>
          <w:rFonts w:eastAsia="Arial"/>
          <w:szCs w:val="24"/>
        </w:rPr>
        <w:t>provides that “a person who arrests another person shall, at the time of the arrest, inform that other person of the offence for which he is arrested”.</w:t>
      </w:r>
    </w:p>
    <w:p w14:paraId="7F7AD01F" w14:textId="77777777" w:rsidR="0090696D" w:rsidRPr="009528A8" w:rsidRDefault="0090696D" w:rsidP="002634E9">
      <w:pPr>
        <w:rPr>
          <w:rFonts w:eastAsia="Arial"/>
          <w:szCs w:val="24"/>
        </w:rPr>
      </w:pPr>
    </w:p>
    <w:p w14:paraId="28109AEC" w14:textId="7081AED2" w:rsidR="00117AAF" w:rsidRPr="009528A8" w:rsidRDefault="00117AAF" w:rsidP="002634E9">
      <w:pPr>
        <w:rPr>
          <w:rFonts w:eastAsia="Arial"/>
          <w:iCs/>
          <w:szCs w:val="24"/>
          <w:lang w:val="en-ZA"/>
        </w:rPr>
      </w:pPr>
      <w:r w:rsidRPr="009528A8">
        <w:rPr>
          <w:rFonts w:eastAsia="Arial"/>
          <w:szCs w:val="24"/>
        </w:rPr>
        <w:t>The question arising</w:t>
      </w:r>
      <w:r w:rsidR="0038399F" w:rsidRPr="009528A8">
        <w:rPr>
          <w:rFonts w:eastAsia="Arial"/>
          <w:szCs w:val="24"/>
        </w:rPr>
        <w:t xml:space="preserve"> in this </w:t>
      </w:r>
      <w:r w:rsidR="0080303D" w:rsidRPr="009528A8">
        <w:rPr>
          <w:rFonts w:eastAsia="Arial"/>
          <w:szCs w:val="24"/>
        </w:rPr>
        <w:t>a</w:t>
      </w:r>
      <w:r w:rsidR="0038399F" w:rsidRPr="009528A8">
        <w:rPr>
          <w:rFonts w:eastAsia="Arial"/>
          <w:szCs w:val="24"/>
        </w:rPr>
        <w:t>pplication</w:t>
      </w:r>
      <w:r w:rsidRPr="009528A8">
        <w:rPr>
          <w:rFonts w:eastAsia="Arial"/>
          <w:szCs w:val="24"/>
        </w:rPr>
        <w:t xml:space="preserve"> is whether</w:t>
      </w:r>
      <w:r w:rsidR="0038399F" w:rsidRPr="009528A8">
        <w:rPr>
          <w:rFonts w:eastAsia="Arial"/>
          <w:szCs w:val="24"/>
        </w:rPr>
        <w:t xml:space="preserve"> or not</w:t>
      </w:r>
      <w:r w:rsidRPr="009528A8">
        <w:rPr>
          <w:rFonts w:eastAsia="Arial"/>
          <w:szCs w:val="24"/>
        </w:rPr>
        <w:t xml:space="preserve">, at the time of arrest, the Applicant was informed of the charges levelled against him. It is recalled that, in making this </w:t>
      </w:r>
      <w:r w:rsidRPr="009528A8">
        <w:rPr>
          <w:szCs w:val="24"/>
          <w:lang w:val="en-ZA"/>
        </w:rPr>
        <w:t>determination</w:t>
      </w:r>
      <w:r w:rsidRPr="009528A8">
        <w:rPr>
          <w:rFonts w:eastAsia="Arial"/>
          <w:szCs w:val="24"/>
        </w:rPr>
        <w:t xml:space="preserve">, </w:t>
      </w:r>
      <w:r w:rsidRPr="009528A8">
        <w:rPr>
          <w:rFonts w:eastAsia="Arial"/>
          <w:szCs w:val="24"/>
          <w:lang w:val="en-ZA"/>
        </w:rPr>
        <w:t>the applicable general principle of law is that he who alleges a fact shall provide evidence to prove it.</w:t>
      </w:r>
      <w:r w:rsidRPr="009528A8">
        <w:rPr>
          <w:rStyle w:val="FootnoteReference"/>
          <w:rFonts w:ascii="Arial" w:eastAsia="Arial" w:hAnsi="Arial" w:cs="Arial"/>
          <w:sz w:val="24"/>
          <w:szCs w:val="24"/>
          <w:lang w:val="en-ZA"/>
        </w:rPr>
        <w:footnoteReference w:id="20"/>
      </w:r>
      <w:r w:rsidRPr="009528A8">
        <w:rPr>
          <w:rFonts w:eastAsia="Arial"/>
          <w:szCs w:val="24"/>
          <w:lang w:val="en-ZA"/>
        </w:rPr>
        <w:t xml:space="preserve"> </w:t>
      </w:r>
    </w:p>
    <w:p w14:paraId="1BFB550A" w14:textId="77777777" w:rsidR="00117AAF" w:rsidRPr="009528A8" w:rsidRDefault="00117AAF" w:rsidP="002634E9">
      <w:pPr>
        <w:rPr>
          <w:rFonts w:eastAsia="Arial"/>
          <w:iCs/>
          <w:szCs w:val="24"/>
          <w:lang w:val="en-ZA"/>
        </w:rPr>
      </w:pPr>
    </w:p>
    <w:p w14:paraId="64AB55A6" w14:textId="56A25074" w:rsidR="00756C38" w:rsidRPr="009528A8" w:rsidRDefault="000C2EF2" w:rsidP="002634E9">
      <w:pPr>
        <w:rPr>
          <w:rFonts w:eastAsia="Arial"/>
          <w:szCs w:val="24"/>
        </w:rPr>
      </w:pPr>
      <w:r w:rsidRPr="009528A8">
        <w:rPr>
          <w:rFonts w:eastAsia="Arial"/>
          <w:szCs w:val="24"/>
        </w:rPr>
        <w:t xml:space="preserve">As emerges from the </w:t>
      </w:r>
      <w:r w:rsidR="003C1E42" w:rsidRPr="009528A8">
        <w:rPr>
          <w:rFonts w:eastAsia="Arial"/>
          <w:szCs w:val="24"/>
        </w:rPr>
        <w:t xml:space="preserve">judgment of </w:t>
      </w:r>
      <w:r w:rsidR="00282C4E" w:rsidRPr="009528A8">
        <w:rPr>
          <w:rFonts w:eastAsia="Arial"/>
          <w:szCs w:val="24"/>
        </w:rPr>
        <w:t>the District</w:t>
      </w:r>
      <w:r w:rsidR="003C1E42" w:rsidRPr="009528A8">
        <w:rPr>
          <w:rFonts w:eastAsia="Arial"/>
          <w:szCs w:val="24"/>
        </w:rPr>
        <w:t xml:space="preserve"> </w:t>
      </w:r>
      <w:r w:rsidR="00282C4E" w:rsidRPr="009528A8">
        <w:rPr>
          <w:rFonts w:eastAsia="Arial"/>
          <w:szCs w:val="24"/>
        </w:rPr>
        <w:t>C</w:t>
      </w:r>
      <w:r w:rsidR="003C1E42" w:rsidRPr="009528A8">
        <w:rPr>
          <w:rFonts w:eastAsia="Arial"/>
          <w:szCs w:val="24"/>
        </w:rPr>
        <w:t xml:space="preserve">ourt in </w:t>
      </w:r>
      <w:r w:rsidR="0038399F" w:rsidRPr="009528A8">
        <w:rPr>
          <w:rFonts w:eastAsia="Arial"/>
          <w:szCs w:val="24"/>
        </w:rPr>
        <w:t>proceedings against the Applicant</w:t>
      </w:r>
      <w:r w:rsidRPr="009528A8">
        <w:rPr>
          <w:rFonts w:eastAsia="Arial"/>
          <w:szCs w:val="24"/>
        </w:rPr>
        <w:t>, in his sworn testimony</w:t>
      </w:r>
      <w:r w:rsidR="0038399F" w:rsidRPr="009528A8">
        <w:rPr>
          <w:rFonts w:eastAsia="Arial"/>
          <w:szCs w:val="24"/>
        </w:rPr>
        <w:t xml:space="preserve"> the Applicant</w:t>
      </w:r>
      <w:r w:rsidRPr="009528A8">
        <w:rPr>
          <w:rFonts w:eastAsia="Arial"/>
          <w:szCs w:val="24"/>
        </w:rPr>
        <w:t xml:space="preserve"> submitted that</w:t>
      </w:r>
      <w:r w:rsidR="003C1E42" w:rsidRPr="009528A8">
        <w:rPr>
          <w:rFonts w:eastAsia="Arial"/>
          <w:szCs w:val="24"/>
        </w:rPr>
        <w:t>,</w:t>
      </w:r>
      <w:r w:rsidRPr="009528A8">
        <w:rPr>
          <w:rFonts w:eastAsia="Arial"/>
          <w:szCs w:val="24"/>
        </w:rPr>
        <w:t xml:space="preserve"> on 20 April 2013</w:t>
      </w:r>
      <w:r w:rsidR="003C1E42" w:rsidRPr="009528A8">
        <w:rPr>
          <w:rFonts w:eastAsia="Arial"/>
          <w:szCs w:val="24"/>
        </w:rPr>
        <w:t>,</w:t>
      </w:r>
      <w:r w:rsidRPr="009528A8">
        <w:rPr>
          <w:rFonts w:eastAsia="Arial"/>
          <w:szCs w:val="24"/>
        </w:rPr>
        <w:t xml:space="preserve"> he was put under arrest while at his home</w:t>
      </w:r>
      <w:r w:rsidR="00600457" w:rsidRPr="009528A8">
        <w:rPr>
          <w:rFonts w:eastAsia="Arial"/>
          <w:szCs w:val="24"/>
        </w:rPr>
        <w:t>. The Applicant also confirm</w:t>
      </w:r>
      <w:r w:rsidR="0038399F" w:rsidRPr="009528A8">
        <w:rPr>
          <w:rFonts w:eastAsia="Arial"/>
          <w:szCs w:val="24"/>
        </w:rPr>
        <w:t>ed</w:t>
      </w:r>
      <w:r w:rsidR="003C1FD0" w:rsidRPr="009528A8">
        <w:rPr>
          <w:rFonts w:eastAsia="Arial"/>
          <w:szCs w:val="24"/>
        </w:rPr>
        <w:t xml:space="preserve"> </w:t>
      </w:r>
      <w:r w:rsidRPr="009528A8">
        <w:rPr>
          <w:rFonts w:eastAsia="Arial"/>
          <w:szCs w:val="24"/>
        </w:rPr>
        <w:t>that</w:t>
      </w:r>
      <w:r w:rsidR="00600457" w:rsidRPr="009528A8">
        <w:rPr>
          <w:rFonts w:eastAsia="Arial"/>
          <w:szCs w:val="24"/>
        </w:rPr>
        <w:t>, at the time of arrest,</w:t>
      </w:r>
      <w:r w:rsidRPr="009528A8">
        <w:rPr>
          <w:rFonts w:eastAsia="Arial"/>
          <w:szCs w:val="24"/>
        </w:rPr>
        <w:t xml:space="preserve"> the police informed him that there was an allegation of stealing and </w:t>
      </w:r>
      <w:r w:rsidR="00543D1E" w:rsidRPr="009528A8">
        <w:rPr>
          <w:rFonts w:eastAsia="Arial"/>
          <w:szCs w:val="24"/>
        </w:rPr>
        <w:t xml:space="preserve">rape </w:t>
      </w:r>
      <w:r w:rsidRPr="009528A8">
        <w:rPr>
          <w:szCs w:val="24"/>
          <w:lang w:val="en-ZA"/>
        </w:rPr>
        <w:t>against</w:t>
      </w:r>
      <w:r w:rsidRPr="009528A8">
        <w:rPr>
          <w:rFonts w:eastAsia="Arial"/>
          <w:szCs w:val="24"/>
        </w:rPr>
        <w:t xml:space="preserve"> him.</w:t>
      </w:r>
      <w:r w:rsidR="003C1E42" w:rsidRPr="009528A8">
        <w:rPr>
          <w:rStyle w:val="FootnoteReference"/>
          <w:rFonts w:ascii="Arial" w:eastAsia="Arial" w:hAnsi="Arial" w:cs="Arial"/>
          <w:sz w:val="24"/>
          <w:szCs w:val="24"/>
        </w:rPr>
        <w:footnoteReference w:id="21"/>
      </w:r>
      <w:r w:rsidR="00117AAF" w:rsidRPr="009528A8">
        <w:rPr>
          <w:rFonts w:eastAsia="Arial"/>
          <w:szCs w:val="24"/>
        </w:rPr>
        <w:t xml:space="preserve"> </w:t>
      </w:r>
      <w:r w:rsidR="0038399F" w:rsidRPr="009528A8">
        <w:rPr>
          <w:rFonts w:eastAsia="Arial"/>
          <w:szCs w:val="24"/>
        </w:rPr>
        <w:t xml:space="preserve">The preceding demonstrates that </w:t>
      </w:r>
      <w:r w:rsidR="00117AAF" w:rsidRPr="009528A8">
        <w:rPr>
          <w:rFonts w:eastAsia="Arial"/>
          <w:szCs w:val="24"/>
        </w:rPr>
        <w:t>the Applicant</w:t>
      </w:r>
      <w:r w:rsidR="00E857F7" w:rsidRPr="009528A8">
        <w:rPr>
          <w:rFonts w:eastAsia="Arial"/>
          <w:szCs w:val="24"/>
        </w:rPr>
        <w:t>’</w:t>
      </w:r>
      <w:r w:rsidR="0038399F" w:rsidRPr="009528A8">
        <w:rPr>
          <w:rFonts w:eastAsia="Arial"/>
          <w:szCs w:val="24"/>
        </w:rPr>
        <w:t xml:space="preserve">s assertion that he </w:t>
      </w:r>
      <w:r w:rsidR="00117AAF" w:rsidRPr="009528A8">
        <w:rPr>
          <w:rFonts w:eastAsia="Arial"/>
          <w:szCs w:val="24"/>
        </w:rPr>
        <w:t>was not informed of the charges brought against him</w:t>
      </w:r>
      <w:r w:rsidR="0038399F" w:rsidRPr="009528A8">
        <w:rPr>
          <w:rFonts w:eastAsia="Arial"/>
          <w:szCs w:val="24"/>
        </w:rPr>
        <w:t xml:space="preserve"> is without foundation</w:t>
      </w:r>
      <w:r w:rsidR="00117AAF" w:rsidRPr="009528A8">
        <w:rPr>
          <w:rFonts w:eastAsia="Arial"/>
          <w:szCs w:val="24"/>
        </w:rPr>
        <w:t xml:space="preserve">. </w:t>
      </w:r>
    </w:p>
    <w:p w14:paraId="1F3C3AE0" w14:textId="77777777" w:rsidR="00756C38" w:rsidRPr="009528A8" w:rsidRDefault="00756C38" w:rsidP="002634E9">
      <w:pPr>
        <w:rPr>
          <w:rFonts w:eastAsia="Arial"/>
          <w:szCs w:val="24"/>
        </w:rPr>
      </w:pPr>
    </w:p>
    <w:p w14:paraId="197C3345" w14:textId="32F8D0B7" w:rsidR="006A2E0C" w:rsidRPr="009528A8" w:rsidRDefault="00BA3064" w:rsidP="002634E9">
      <w:pPr>
        <w:rPr>
          <w:rFonts w:eastAsia="Arial"/>
          <w:szCs w:val="24"/>
        </w:rPr>
      </w:pPr>
      <w:bookmarkStart w:id="38" w:name="_Hlk133045853"/>
      <w:r w:rsidRPr="009528A8">
        <w:rPr>
          <w:rFonts w:eastAsia="Arial"/>
          <w:szCs w:val="24"/>
        </w:rPr>
        <w:t>In view of the foregoing, the Court dismisses the Applicant</w:t>
      </w:r>
      <w:r w:rsidR="00E857F7" w:rsidRPr="009528A8">
        <w:rPr>
          <w:rFonts w:eastAsia="Arial"/>
          <w:szCs w:val="24"/>
        </w:rPr>
        <w:t>’</w:t>
      </w:r>
      <w:r w:rsidRPr="009528A8">
        <w:rPr>
          <w:rFonts w:eastAsia="Arial"/>
          <w:szCs w:val="24"/>
        </w:rPr>
        <w:t xml:space="preserve">s allegation that the Respondent State violated his right </w:t>
      </w:r>
      <w:r w:rsidR="00EA1E5C" w:rsidRPr="009528A8">
        <w:rPr>
          <w:rFonts w:eastAsia="Arial"/>
          <w:szCs w:val="24"/>
        </w:rPr>
        <w:t xml:space="preserve">to be </w:t>
      </w:r>
      <w:r w:rsidR="006A2E0C" w:rsidRPr="009528A8">
        <w:rPr>
          <w:rFonts w:eastAsia="Arial"/>
          <w:szCs w:val="24"/>
        </w:rPr>
        <w:t>informed of the charges brought against him</w:t>
      </w:r>
      <w:r w:rsidRPr="009528A8">
        <w:rPr>
          <w:rFonts w:eastAsia="Arial"/>
          <w:szCs w:val="24"/>
        </w:rPr>
        <w:t xml:space="preserve">. </w:t>
      </w:r>
      <w:bookmarkStart w:id="39" w:name="_Hlk133045791"/>
      <w:r w:rsidR="00117AAF" w:rsidRPr="009528A8">
        <w:rPr>
          <w:rFonts w:eastAsia="Arial"/>
          <w:szCs w:val="24"/>
        </w:rPr>
        <w:t xml:space="preserve">The </w:t>
      </w:r>
      <w:r w:rsidR="00117AAF" w:rsidRPr="009528A8">
        <w:rPr>
          <w:szCs w:val="24"/>
          <w:lang w:val="en-ZA"/>
        </w:rPr>
        <w:t>Court</w:t>
      </w:r>
      <w:r w:rsidR="0038399F" w:rsidRPr="009528A8">
        <w:rPr>
          <w:rFonts w:eastAsia="Arial"/>
          <w:szCs w:val="24"/>
        </w:rPr>
        <w:t>,</w:t>
      </w:r>
      <w:r w:rsidR="00117AAF" w:rsidRPr="009528A8">
        <w:rPr>
          <w:rFonts w:eastAsia="Arial"/>
          <w:szCs w:val="24"/>
        </w:rPr>
        <w:t xml:space="preserve"> therefore</w:t>
      </w:r>
      <w:r w:rsidR="0038399F" w:rsidRPr="009528A8">
        <w:rPr>
          <w:rFonts w:eastAsia="Arial"/>
          <w:szCs w:val="24"/>
        </w:rPr>
        <w:t>,</w:t>
      </w:r>
      <w:r w:rsidR="00117AAF" w:rsidRPr="009528A8">
        <w:rPr>
          <w:rFonts w:eastAsia="Arial"/>
          <w:szCs w:val="24"/>
        </w:rPr>
        <w:t xml:space="preserve"> finds that the Respondent State has not violated Article 7(1)(c) of the Charter</w:t>
      </w:r>
      <w:r w:rsidR="00EE7BFC" w:rsidRPr="009528A8">
        <w:rPr>
          <w:rFonts w:eastAsia="Arial"/>
          <w:szCs w:val="24"/>
        </w:rPr>
        <w:t xml:space="preserve"> as read jointly with Article 14 of the ICCPR</w:t>
      </w:r>
      <w:r w:rsidR="00117AAF" w:rsidRPr="009528A8">
        <w:rPr>
          <w:rFonts w:eastAsia="Arial"/>
          <w:szCs w:val="24"/>
        </w:rPr>
        <w:t>.</w:t>
      </w:r>
      <w:bookmarkEnd w:id="39"/>
    </w:p>
    <w:bookmarkEnd w:id="38"/>
    <w:p w14:paraId="1D951767" w14:textId="77777777" w:rsidR="00A3644D" w:rsidRPr="009528A8" w:rsidRDefault="00A3644D" w:rsidP="002634E9">
      <w:pPr>
        <w:rPr>
          <w:rFonts w:eastAsia="Arial"/>
          <w:szCs w:val="24"/>
        </w:rPr>
      </w:pPr>
    </w:p>
    <w:p w14:paraId="5CD009B7" w14:textId="1C3E7CEC" w:rsidR="00445D9F" w:rsidRPr="009528A8" w:rsidRDefault="00445D9F" w:rsidP="002634E9">
      <w:pPr>
        <w:rPr>
          <w:rFonts w:eastAsia="Arial"/>
          <w:bCs/>
        </w:rPr>
      </w:pPr>
      <w:bookmarkStart w:id="40" w:name="_Toc143594942"/>
      <w:r w:rsidRPr="009528A8">
        <w:rPr>
          <w:rFonts w:eastAsia="Arial"/>
          <w:bCs/>
        </w:rPr>
        <w:t>Alleg</w:t>
      </w:r>
      <w:r w:rsidR="006C5D23" w:rsidRPr="009528A8">
        <w:rPr>
          <w:rFonts w:eastAsia="Arial"/>
          <w:bCs/>
        </w:rPr>
        <w:t xml:space="preserve">ed violation of the right to </w:t>
      </w:r>
      <w:r w:rsidR="00087A5E" w:rsidRPr="009528A8">
        <w:rPr>
          <w:rFonts w:eastAsia="Arial"/>
          <w:bCs/>
        </w:rPr>
        <w:t>have one’s cause</w:t>
      </w:r>
      <w:r w:rsidR="006C5D23" w:rsidRPr="009528A8">
        <w:rPr>
          <w:rFonts w:eastAsia="Arial"/>
          <w:bCs/>
        </w:rPr>
        <w:t xml:space="preserve"> heard</w:t>
      </w:r>
      <w:bookmarkEnd w:id="40"/>
      <w:r w:rsidR="006C5D23" w:rsidRPr="009528A8">
        <w:rPr>
          <w:rFonts w:eastAsia="Arial"/>
          <w:bCs/>
        </w:rPr>
        <w:t xml:space="preserve"> </w:t>
      </w:r>
    </w:p>
    <w:p w14:paraId="227FFD1A" w14:textId="77777777" w:rsidR="00557B6E" w:rsidRPr="009528A8" w:rsidRDefault="00557B6E" w:rsidP="002634E9"/>
    <w:p w14:paraId="3D491D28" w14:textId="4BC835F2" w:rsidR="00E214E7" w:rsidRPr="009528A8" w:rsidRDefault="00822677" w:rsidP="002634E9">
      <w:pPr>
        <w:rPr>
          <w:rFonts w:eastAsia="Arial"/>
          <w:szCs w:val="24"/>
        </w:rPr>
      </w:pPr>
      <w:r w:rsidRPr="009528A8">
        <w:rPr>
          <w:rFonts w:eastAsia="Arial"/>
          <w:szCs w:val="24"/>
        </w:rPr>
        <w:t xml:space="preserve">The Applicant </w:t>
      </w:r>
      <w:r w:rsidR="00271C28" w:rsidRPr="009528A8">
        <w:rPr>
          <w:rFonts w:eastAsia="Arial"/>
          <w:szCs w:val="24"/>
        </w:rPr>
        <w:t>a</w:t>
      </w:r>
      <w:r w:rsidR="00217236" w:rsidRPr="009528A8">
        <w:rPr>
          <w:rFonts w:eastAsia="Arial"/>
          <w:szCs w:val="24"/>
        </w:rPr>
        <w:t>lleges</w:t>
      </w:r>
      <w:r w:rsidRPr="009528A8">
        <w:rPr>
          <w:rFonts w:eastAsia="Arial"/>
          <w:szCs w:val="24"/>
        </w:rPr>
        <w:t xml:space="preserve"> that the judgment of the Court of </w:t>
      </w:r>
      <w:r w:rsidR="00217236" w:rsidRPr="009528A8">
        <w:rPr>
          <w:rFonts w:eastAsia="Arial"/>
          <w:szCs w:val="24"/>
        </w:rPr>
        <w:t>A</w:t>
      </w:r>
      <w:r w:rsidRPr="009528A8">
        <w:rPr>
          <w:rFonts w:eastAsia="Arial"/>
          <w:szCs w:val="24"/>
        </w:rPr>
        <w:t>ppeal violated Article</w:t>
      </w:r>
      <w:r w:rsidR="0082472C" w:rsidRPr="009528A8">
        <w:rPr>
          <w:rFonts w:eastAsia="Arial"/>
          <w:szCs w:val="24"/>
        </w:rPr>
        <w:t>s</w:t>
      </w:r>
      <w:r w:rsidRPr="009528A8">
        <w:rPr>
          <w:rFonts w:eastAsia="Arial"/>
          <w:szCs w:val="24"/>
        </w:rPr>
        <w:t xml:space="preserve"> 2, 3 and 7(1) of the </w:t>
      </w:r>
      <w:r w:rsidRPr="009528A8">
        <w:rPr>
          <w:szCs w:val="24"/>
          <w:lang w:val="en-ZA"/>
        </w:rPr>
        <w:t>Charter</w:t>
      </w:r>
      <w:r w:rsidRPr="009528A8">
        <w:rPr>
          <w:rFonts w:eastAsia="Arial"/>
          <w:szCs w:val="24"/>
        </w:rPr>
        <w:t xml:space="preserve"> as it </w:t>
      </w:r>
      <w:r w:rsidR="00761EAD" w:rsidRPr="009528A8">
        <w:rPr>
          <w:rFonts w:eastAsia="Arial"/>
          <w:szCs w:val="24"/>
        </w:rPr>
        <w:t xml:space="preserve">did not properly determine matters of </w:t>
      </w:r>
      <w:r w:rsidRPr="009528A8">
        <w:rPr>
          <w:rFonts w:eastAsia="Arial"/>
          <w:szCs w:val="24"/>
        </w:rPr>
        <w:t>law and fact.</w:t>
      </w:r>
    </w:p>
    <w:p w14:paraId="22EBB71A" w14:textId="77777777" w:rsidR="00E214E7" w:rsidRPr="009528A8" w:rsidRDefault="00E214E7" w:rsidP="002634E9">
      <w:pPr>
        <w:rPr>
          <w:rFonts w:eastAsia="Arial"/>
          <w:szCs w:val="24"/>
        </w:rPr>
      </w:pPr>
    </w:p>
    <w:p w14:paraId="75E4365B" w14:textId="5A402664" w:rsidR="00E214E7" w:rsidRPr="009528A8" w:rsidRDefault="00E214E7" w:rsidP="002634E9">
      <w:pPr>
        <w:rPr>
          <w:rFonts w:eastAsia="Arial"/>
          <w:szCs w:val="24"/>
        </w:rPr>
      </w:pPr>
      <w:r w:rsidRPr="009528A8">
        <w:rPr>
          <w:rFonts w:eastAsia="Arial"/>
          <w:szCs w:val="24"/>
        </w:rPr>
        <w:lastRenderedPageBreak/>
        <w:t xml:space="preserve">The Respondent </w:t>
      </w:r>
      <w:r w:rsidR="003E34D1" w:rsidRPr="009528A8">
        <w:rPr>
          <w:rFonts w:eastAsia="Arial"/>
          <w:szCs w:val="24"/>
        </w:rPr>
        <w:t xml:space="preserve">State </w:t>
      </w:r>
      <w:r w:rsidRPr="009528A8">
        <w:rPr>
          <w:rFonts w:eastAsia="Arial"/>
          <w:szCs w:val="24"/>
        </w:rPr>
        <w:t>disputes th</w:t>
      </w:r>
      <w:r w:rsidR="003E34D1" w:rsidRPr="009528A8">
        <w:rPr>
          <w:rFonts w:eastAsia="Arial"/>
          <w:szCs w:val="24"/>
        </w:rPr>
        <w:t>is</w:t>
      </w:r>
      <w:r w:rsidRPr="009528A8">
        <w:rPr>
          <w:rFonts w:eastAsia="Arial"/>
          <w:szCs w:val="24"/>
        </w:rPr>
        <w:t xml:space="preserve"> allegation a</w:t>
      </w:r>
      <w:r w:rsidR="00761EAD" w:rsidRPr="009528A8">
        <w:rPr>
          <w:rFonts w:eastAsia="Arial"/>
          <w:szCs w:val="24"/>
        </w:rPr>
        <w:t xml:space="preserve">s </w:t>
      </w:r>
      <w:r w:rsidRPr="009528A8">
        <w:rPr>
          <w:rFonts w:eastAsia="Arial"/>
          <w:szCs w:val="24"/>
        </w:rPr>
        <w:t>vague and unspecific.</w:t>
      </w:r>
      <w:r w:rsidR="00217236" w:rsidRPr="009528A8">
        <w:rPr>
          <w:rFonts w:eastAsia="Arial"/>
          <w:szCs w:val="24"/>
        </w:rPr>
        <w:t xml:space="preserve"> </w:t>
      </w:r>
      <w:r w:rsidR="003E34D1" w:rsidRPr="009528A8">
        <w:rPr>
          <w:rFonts w:eastAsia="Arial"/>
          <w:szCs w:val="24"/>
        </w:rPr>
        <w:t>It is t</w:t>
      </w:r>
      <w:r w:rsidR="00EC64FD" w:rsidRPr="009528A8">
        <w:rPr>
          <w:rFonts w:eastAsia="Arial"/>
          <w:szCs w:val="24"/>
        </w:rPr>
        <w:t>he Respondent State</w:t>
      </w:r>
      <w:r w:rsidR="00E857F7" w:rsidRPr="009528A8">
        <w:rPr>
          <w:rFonts w:eastAsia="Arial"/>
          <w:szCs w:val="24"/>
        </w:rPr>
        <w:t>’</w:t>
      </w:r>
      <w:r w:rsidR="003E34D1" w:rsidRPr="009528A8">
        <w:rPr>
          <w:rFonts w:eastAsia="Arial"/>
          <w:szCs w:val="24"/>
        </w:rPr>
        <w:t>s contention</w:t>
      </w:r>
      <w:r w:rsidR="00EC64FD" w:rsidRPr="009528A8">
        <w:rPr>
          <w:rFonts w:eastAsia="Arial"/>
          <w:szCs w:val="24"/>
        </w:rPr>
        <w:t xml:space="preserve"> that the Court of </w:t>
      </w:r>
      <w:r w:rsidR="00217236" w:rsidRPr="009528A8">
        <w:rPr>
          <w:rFonts w:eastAsia="Arial"/>
          <w:szCs w:val="24"/>
        </w:rPr>
        <w:t>A</w:t>
      </w:r>
      <w:r w:rsidR="00EC64FD" w:rsidRPr="009528A8">
        <w:rPr>
          <w:rFonts w:eastAsia="Arial"/>
          <w:szCs w:val="24"/>
        </w:rPr>
        <w:t>ppeal duly assessed all matter</w:t>
      </w:r>
      <w:r w:rsidR="00BF165B" w:rsidRPr="009528A8">
        <w:rPr>
          <w:rFonts w:eastAsia="Arial"/>
          <w:szCs w:val="24"/>
        </w:rPr>
        <w:t>s</w:t>
      </w:r>
      <w:r w:rsidR="00EC64FD" w:rsidRPr="009528A8">
        <w:rPr>
          <w:rFonts w:eastAsia="Arial"/>
          <w:szCs w:val="24"/>
        </w:rPr>
        <w:t xml:space="preserve"> of law and fact</w:t>
      </w:r>
      <w:r w:rsidR="00087A5E" w:rsidRPr="009528A8">
        <w:rPr>
          <w:rFonts w:eastAsia="Arial"/>
          <w:szCs w:val="24"/>
        </w:rPr>
        <w:t>s</w:t>
      </w:r>
      <w:r w:rsidR="00EC64FD" w:rsidRPr="009528A8">
        <w:rPr>
          <w:rFonts w:eastAsia="Arial"/>
          <w:szCs w:val="24"/>
        </w:rPr>
        <w:t xml:space="preserve">, </w:t>
      </w:r>
      <w:r w:rsidR="00087A5E" w:rsidRPr="009528A8">
        <w:rPr>
          <w:rFonts w:eastAsia="Arial"/>
          <w:szCs w:val="24"/>
        </w:rPr>
        <w:t xml:space="preserve">and </w:t>
      </w:r>
      <w:r w:rsidR="00EC64FD" w:rsidRPr="009528A8">
        <w:rPr>
          <w:szCs w:val="24"/>
          <w:lang w:val="en-ZA"/>
        </w:rPr>
        <w:t>found</w:t>
      </w:r>
      <w:r w:rsidR="00EC64FD" w:rsidRPr="009528A8">
        <w:rPr>
          <w:rFonts w:eastAsia="Arial"/>
          <w:szCs w:val="24"/>
        </w:rPr>
        <w:t xml:space="preserve"> no merit to the Applicant</w:t>
      </w:r>
      <w:r w:rsidR="00E857F7" w:rsidRPr="009528A8">
        <w:rPr>
          <w:rFonts w:eastAsia="Arial"/>
          <w:szCs w:val="24"/>
        </w:rPr>
        <w:t>’</w:t>
      </w:r>
      <w:r w:rsidR="00EC64FD" w:rsidRPr="009528A8">
        <w:rPr>
          <w:rFonts w:eastAsia="Arial"/>
          <w:szCs w:val="24"/>
        </w:rPr>
        <w:t>s ground</w:t>
      </w:r>
      <w:r w:rsidR="00BF165B" w:rsidRPr="009528A8">
        <w:rPr>
          <w:rFonts w:eastAsia="Arial"/>
          <w:szCs w:val="24"/>
        </w:rPr>
        <w:t>s</w:t>
      </w:r>
      <w:r w:rsidR="00EC64FD" w:rsidRPr="009528A8">
        <w:rPr>
          <w:rFonts w:eastAsia="Arial"/>
          <w:szCs w:val="24"/>
        </w:rPr>
        <w:t xml:space="preserve"> of appeal</w:t>
      </w:r>
      <w:r w:rsidR="003E34D1" w:rsidRPr="009528A8">
        <w:rPr>
          <w:rFonts w:eastAsia="Arial"/>
          <w:szCs w:val="24"/>
        </w:rPr>
        <w:t xml:space="preserve">, which </w:t>
      </w:r>
      <w:r w:rsidR="00CC3D84" w:rsidRPr="009528A8">
        <w:rPr>
          <w:rFonts w:eastAsia="Arial"/>
          <w:szCs w:val="24"/>
        </w:rPr>
        <w:t>it dismissed</w:t>
      </w:r>
      <w:r w:rsidR="00EC64FD" w:rsidRPr="009528A8">
        <w:rPr>
          <w:rFonts w:eastAsia="Arial"/>
          <w:szCs w:val="24"/>
        </w:rPr>
        <w:t>.</w:t>
      </w:r>
    </w:p>
    <w:p w14:paraId="1674EB5A" w14:textId="41A266C7" w:rsidR="00E57462" w:rsidRPr="009528A8" w:rsidRDefault="00E57462" w:rsidP="002634E9">
      <w:pPr>
        <w:rPr>
          <w:rFonts w:eastAsia="Arial"/>
          <w:szCs w:val="24"/>
        </w:rPr>
      </w:pPr>
      <w:r w:rsidRPr="009528A8">
        <w:rPr>
          <w:rFonts w:eastAsia="Arial"/>
          <w:szCs w:val="24"/>
        </w:rPr>
        <w:t>***</w:t>
      </w:r>
    </w:p>
    <w:p w14:paraId="58BA3F09" w14:textId="578E5448" w:rsidR="002E5351" w:rsidRPr="009528A8" w:rsidRDefault="00087A5E" w:rsidP="002634E9">
      <w:pPr>
        <w:rPr>
          <w:rFonts w:eastAsia="Arial"/>
          <w:szCs w:val="24"/>
        </w:rPr>
      </w:pPr>
      <w:r w:rsidRPr="009528A8">
        <w:rPr>
          <w:rFonts w:eastAsia="Arial"/>
          <w:szCs w:val="24"/>
        </w:rPr>
        <w:t>The Court observes</w:t>
      </w:r>
      <w:r w:rsidR="009E5695" w:rsidRPr="009528A8">
        <w:rPr>
          <w:rFonts w:eastAsia="Arial"/>
          <w:szCs w:val="24"/>
        </w:rPr>
        <w:t>,</w:t>
      </w:r>
      <w:r w:rsidRPr="009528A8">
        <w:rPr>
          <w:rFonts w:eastAsia="Arial"/>
          <w:szCs w:val="24"/>
        </w:rPr>
        <w:t xml:space="preserve"> </w:t>
      </w:r>
      <w:r w:rsidR="001D0FBB" w:rsidRPr="009528A8">
        <w:rPr>
          <w:rFonts w:eastAsia="Arial"/>
          <w:szCs w:val="24"/>
        </w:rPr>
        <w:t xml:space="preserve">from the </w:t>
      </w:r>
      <w:r w:rsidR="006B5F9E" w:rsidRPr="009528A8">
        <w:rPr>
          <w:rFonts w:eastAsia="Arial"/>
          <w:szCs w:val="24"/>
        </w:rPr>
        <w:t>A</w:t>
      </w:r>
      <w:r w:rsidR="001D0FBB" w:rsidRPr="009528A8">
        <w:rPr>
          <w:rFonts w:eastAsia="Arial"/>
          <w:szCs w:val="24"/>
        </w:rPr>
        <w:t xml:space="preserve">pplicant’s </w:t>
      </w:r>
      <w:r w:rsidRPr="009528A8">
        <w:rPr>
          <w:rFonts w:eastAsia="Arial"/>
          <w:szCs w:val="24"/>
        </w:rPr>
        <w:t xml:space="preserve">submissions </w:t>
      </w:r>
      <w:r w:rsidR="001D0FBB" w:rsidRPr="009528A8">
        <w:rPr>
          <w:rFonts w:eastAsia="Arial"/>
          <w:szCs w:val="24"/>
        </w:rPr>
        <w:t>that he</w:t>
      </w:r>
      <w:r w:rsidRPr="009528A8">
        <w:rPr>
          <w:rFonts w:eastAsia="Arial"/>
          <w:szCs w:val="24"/>
        </w:rPr>
        <w:t xml:space="preserve"> </w:t>
      </w:r>
      <w:r w:rsidR="002E5351" w:rsidRPr="009528A8">
        <w:rPr>
          <w:rFonts w:eastAsia="Arial"/>
          <w:szCs w:val="24"/>
        </w:rPr>
        <w:t>makes a joint allegation of violation of Articles 2, 3, and 7(1) of the Charter. It is indeed the Applicant’s contention that the domestic courts did not uphold his rights to non-discrimination, equality before the law, equal protection of the law, and to have his cause heard while examining issues related to identification and evidence. The Court will examine the</w:t>
      </w:r>
      <w:r w:rsidR="009E5695" w:rsidRPr="009528A8">
        <w:rPr>
          <w:rFonts w:eastAsia="Arial"/>
          <w:szCs w:val="24"/>
        </w:rPr>
        <w:t>se</w:t>
      </w:r>
      <w:r w:rsidR="002E5351" w:rsidRPr="009528A8">
        <w:rPr>
          <w:rFonts w:eastAsia="Arial"/>
          <w:szCs w:val="24"/>
        </w:rPr>
        <w:t xml:space="preserve"> allegations jointly. </w:t>
      </w:r>
    </w:p>
    <w:p w14:paraId="6B741D16" w14:textId="77777777" w:rsidR="002E5351" w:rsidRPr="009528A8" w:rsidRDefault="002E5351" w:rsidP="002634E9">
      <w:pPr>
        <w:rPr>
          <w:rFonts w:eastAsia="Arial"/>
          <w:szCs w:val="24"/>
        </w:rPr>
      </w:pPr>
    </w:p>
    <w:p w14:paraId="315F1A78" w14:textId="45FC9B2E" w:rsidR="00EB600F" w:rsidRPr="009528A8" w:rsidRDefault="00EB600F" w:rsidP="002634E9">
      <w:pPr>
        <w:rPr>
          <w:rFonts w:eastAsia="Arial"/>
          <w:szCs w:val="24"/>
        </w:rPr>
      </w:pPr>
      <w:r w:rsidRPr="009528A8">
        <w:rPr>
          <w:rFonts w:eastAsia="Arial"/>
          <w:szCs w:val="24"/>
        </w:rPr>
        <w:t xml:space="preserve">Article 2 of </w:t>
      </w:r>
      <w:r w:rsidRPr="009528A8">
        <w:rPr>
          <w:szCs w:val="24"/>
          <w:lang w:val="en-ZA"/>
        </w:rPr>
        <w:t>the</w:t>
      </w:r>
      <w:r w:rsidRPr="009528A8">
        <w:rPr>
          <w:rFonts w:eastAsia="Arial"/>
          <w:szCs w:val="24"/>
        </w:rPr>
        <w:t xml:space="preserve"> Charter provides that:</w:t>
      </w:r>
    </w:p>
    <w:p w14:paraId="788CFD1D" w14:textId="77777777" w:rsidR="00EB600F" w:rsidRPr="009528A8" w:rsidRDefault="00EB600F" w:rsidP="002634E9">
      <w:pPr>
        <w:rPr>
          <w:rFonts w:eastAsia="Arial"/>
          <w:szCs w:val="24"/>
        </w:rPr>
      </w:pPr>
    </w:p>
    <w:p w14:paraId="649EEF1A" w14:textId="1C71C0F9" w:rsidR="00EB600F" w:rsidRPr="009528A8" w:rsidRDefault="00EB600F" w:rsidP="002634E9">
      <w:pPr>
        <w:rPr>
          <w:rFonts w:eastAsia="Arial"/>
        </w:rPr>
      </w:pPr>
      <w:r w:rsidRPr="009528A8">
        <w:rPr>
          <w:rFonts w:eastAsia="Arial"/>
        </w:rPr>
        <w:t>Every individual shall be entitled to the enjoyment of the rights and freedoms recognised and guaranteed in the present Charter without distinction of any kind such as race, ethnic group, colour, sex, language, religion, political or any other opinion, national and social origin, fortune, birth or any status.</w:t>
      </w:r>
    </w:p>
    <w:p w14:paraId="1D0C0286" w14:textId="77777777" w:rsidR="002923EE" w:rsidRPr="009528A8" w:rsidRDefault="002923EE" w:rsidP="002634E9">
      <w:pPr>
        <w:rPr>
          <w:rFonts w:eastAsia="Arial"/>
          <w:szCs w:val="24"/>
        </w:rPr>
      </w:pPr>
    </w:p>
    <w:p w14:paraId="7548BD58" w14:textId="78996FB3" w:rsidR="00EB600F" w:rsidRPr="009528A8" w:rsidRDefault="00EB600F" w:rsidP="002634E9">
      <w:pPr>
        <w:rPr>
          <w:rFonts w:eastAsia="Arial"/>
          <w:szCs w:val="24"/>
        </w:rPr>
      </w:pPr>
      <w:r w:rsidRPr="009528A8">
        <w:rPr>
          <w:rFonts w:eastAsia="Arial"/>
          <w:szCs w:val="24"/>
        </w:rPr>
        <w:t xml:space="preserve">Article 3 of the Charter provides that: </w:t>
      </w:r>
    </w:p>
    <w:p w14:paraId="3449C3DF" w14:textId="77777777" w:rsidR="00EB600F" w:rsidRPr="009528A8" w:rsidRDefault="00EB600F" w:rsidP="002634E9">
      <w:pPr>
        <w:rPr>
          <w:rFonts w:eastAsia="Arial"/>
          <w:szCs w:val="24"/>
        </w:rPr>
      </w:pPr>
    </w:p>
    <w:p w14:paraId="16E6561C" w14:textId="77777777" w:rsidR="00491BC6" w:rsidRPr="009528A8" w:rsidRDefault="00EB600F" w:rsidP="002634E9">
      <w:pPr>
        <w:rPr>
          <w:rFonts w:eastAsia="Arial"/>
        </w:rPr>
      </w:pPr>
      <w:r w:rsidRPr="009528A8">
        <w:rPr>
          <w:rFonts w:eastAsia="Arial"/>
        </w:rPr>
        <w:t xml:space="preserve">Every individual shall be equal before the law. </w:t>
      </w:r>
    </w:p>
    <w:p w14:paraId="745D5399" w14:textId="7A61ECF5" w:rsidR="00EB600F" w:rsidRPr="009528A8" w:rsidRDefault="00EB600F" w:rsidP="002634E9">
      <w:pPr>
        <w:rPr>
          <w:rFonts w:eastAsia="Arial"/>
        </w:rPr>
      </w:pPr>
      <w:r w:rsidRPr="009528A8">
        <w:rPr>
          <w:rFonts w:eastAsia="Arial"/>
        </w:rPr>
        <w:t>Every individual shall be entitled to equal protection of the law.</w:t>
      </w:r>
    </w:p>
    <w:p w14:paraId="19CC7E26" w14:textId="77777777" w:rsidR="002E5351" w:rsidRPr="009528A8" w:rsidRDefault="002E5351" w:rsidP="002634E9">
      <w:pPr>
        <w:rPr>
          <w:rFonts w:eastAsia="Arial"/>
        </w:rPr>
      </w:pPr>
    </w:p>
    <w:p w14:paraId="4D1C7F19" w14:textId="10CD184D" w:rsidR="00016641" w:rsidRPr="009528A8" w:rsidRDefault="00016641" w:rsidP="002634E9">
      <w:pPr>
        <w:rPr>
          <w:rFonts w:eastAsia="Arial"/>
          <w:szCs w:val="24"/>
        </w:rPr>
      </w:pPr>
      <w:r w:rsidRPr="009528A8">
        <w:rPr>
          <w:rFonts w:eastAsia="Arial"/>
          <w:szCs w:val="24"/>
        </w:rPr>
        <w:t xml:space="preserve">Article 7(1) of the </w:t>
      </w:r>
      <w:r w:rsidRPr="009528A8">
        <w:rPr>
          <w:szCs w:val="24"/>
          <w:lang w:val="en-ZA"/>
        </w:rPr>
        <w:t>Charter</w:t>
      </w:r>
      <w:r w:rsidRPr="009528A8">
        <w:rPr>
          <w:rFonts w:eastAsia="Arial"/>
          <w:szCs w:val="24"/>
        </w:rPr>
        <w:t xml:space="preserve"> provides that:</w:t>
      </w:r>
    </w:p>
    <w:p w14:paraId="49FC712B" w14:textId="77777777" w:rsidR="00ED28D7" w:rsidRPr="009528A8" w:rsidRDefault="00ED28D7" w:rsidP="002634E9">
      <w:pPr>
        <w:rPr>
          <w:rFonts w:eastAsia="Arial"/>
          <w:szCs w:val="24"/>
        </w:rPr>
      </w:pPr>
    </w:p>
    <w:p w14:paraId="2B279A89" w14:textId="4A3A5E7D" w:rsidR="0070009C" w:rsidRPr="009528A8" w:rsidRDefault="00ED28D7" w:rsidP="002634E9">
      <w:pPr>
        <w:rPr>
          <w:rFonts w:eastAsia="Arial"/>
        </w:rPr>
      </w:pPr>
      <w:r w:rsidRPr="009528A8">
        <w:rPr>
          <w:rFonts w:eastAsia="Arial"/>
        </w:rPr>
        <w:t>Every individual shall have the right to have his cause heard.</w:t>
      </w:r>
    </w:p>
    <w:p w14:paraId="3C9E2FEE" w14:textId="77777777" w:rsidR="00557B6E" w:rsidRPr="009528A8" w:rsidRDefault="00557B6E" w:rsidP="002634E9">
      <w:pPr>
        <w:rPr>
          <w:rFonts w:eastAsia="Arial"/>
        </w:rPr>
      </w:pPr>
    </w:p>
    <w:p w14:paraId="19FEB581" w14:textId="0A44284C" w:rsidR="00537650" w:rsidRPr="009528A8" w:rsidRDefault="00863649" w:rsidP="002634E9">
      <w:pPr>
        <w:rPr>
          <w:szCs w:val="24"/>
          <w:lang w:val="en-ZA"/>
        </w:rPr>
      </w:pPr>
      <w:r w:rsidRPr="009528A8">
        <w:rPr>
          <w:szCs w:val="24"/>
        </w:rPr>
        <w:t>Regarding the right to non-discrimination</w:t>
      </w:r>
      <w:r w:rsidR="00612919" w:rsidRPr="009528A8">
        <w:rPr>
          <w:szCs w:val="24"/>
        </w:rPr>
        <w:t xml:space="preserve"> </w:t>
      </w:r>
      <w:r w:rsidR="009E5695" w:rsidRPr="009528A8">
        <w:rPr>
          <w:szCs w:val="24"/>
        </w:rPr>
        <w:t xml:space="preserve">as </w:t>
      </w:r>
      <w:r w:rsidR="00612919" w:rsidRPr="009528A8">
        <w:rPr>
          <w:szCs w:val="24"/>
        </w:rPr>
        <w:t>protected under Article 2 of the Charter</w:t>
      </w:r>
      <w:r w:rsidRPr="009528A8">
        <w:rPr>
          <w:szCs w:val="24"/>
        </w:rPr>
        <w:t xml:space="preserve">, </w:t>
      </w:r>
      <w:r w:rsidR="007A7056" w:rsidRPr="009528A8">
        <w:rPr>
          <w:szCs w:val="24"/>
          <w:lang w:val="en-ZA"/>
        </w:rPr>
        <w:t>the Court recalls that</w:t>
      </w:r>
      <w:r w:rsidR="003E34D1" w:rsidRPr="009528A8">
        <w:rPr>
          <w:szCs w:val="24"/>
          <w:lang w:val="en-ZA"/>
        </w:rPr>
        <w:t>, as it held</w:t>
      </w:r>
      <w:r w:rsidR="007A7056" w:rsidRPr="009528A8">
        <w:rPr>
          <w:szCs w:val="24"/>
          <w:lang w:val="en-ZA"/>
        </w:rPr>
        <w:t xml:space="preserve"> in </w:t>
      </w:r>
      <w:r w:rsidR="007A7056" w:rsidRPr="009528A8">
        <w:rPr>
          <w:i/>
          <w:iCs/>
          <w:szCs w:val="24"/>
          <w:lang w:val="en-ZA"/>
        </w:rPr>
        <w:t>A</w:t>
      </w:r>
      <w:r w:rsidR="003E34D1" w:rsidRPr="009528A8">
        <w:rPr>
          <w:i/>
          <w:iCs/>
          <w:szCs w:val="24"/>
          <w:lang w:val="en-ZA"/>
        </w:rPr>
        <w:t xml:space="preserve">ction pour la </w:t>
      </w:r>
      <w:r w:rsidR="007A7056" w:rsidRPr="009528A8">
        <w:rPr>
          <w:i/>
          <w:iCs/>
          <w:szCs w:val="24"/>
          <w:lang w:val="en-ZA"/>
        </w:rPr>
        <w:t>P</w:t>
      </w:r>
      <w:r w:rsidR="003E34D1" w:rsidRPr="009528A8">
        <w:rPr>
          <w:i/>
          <w:iCs/>
          <w:szCs w:val="24"/>
          <w:lang w:val="en-ZA"/>
        </w:rPr>
        <w:t xml:space="preserve">rotection des </w:t>
      </w:r>
      <w:r w:rsidR="007A7056" w:rsidRPr="009528A8">
        <w:rPr>
          <w:i/>
          <w:iCs/>
          <w:szCs w:val="24"/>
          <w:lang w:val="en-ZA"/>
        </w:rPr>
        <w:t>D</w:t>
      </w:r>
      <w:r w:rsidR="003E34D1" w:rsidRPr="009528A8">
        <w:rPr>
          <w:i/>
          <w:iCs/>
          <w:szCs w:val="24"/>
          <w:lang w:val="en-ZA"/>
        </w:rPr>
        <w:t>roits de l</w:t>
      </w:r>
      <w:r w:rsidR="00E857F7" w:rsidRPr="009528A8">
        <w:rPr>
          <w:i/>
          <w:iCs/>
          <w:szCs w:val="24"/>
          <w:lang w:val="en-ZA"/>
        </w:rPr>
        <w:t>’</w:t>
      </w:r>
      <w:r w:rsidR="007A7056" w:rsidRPr="009528A8">
        <w:rPr>
          <w:i/>
          <w:iCs/>
          <w:szCs w:val="24"/>
          <w:lang w:val="en-ZA"/>
        </w:rPr>
        <w:t>H</w:t>
      </w:r>
      <w:r w:rsidR="003E34D1" w:rsidRPr="009528A8">
        <w:rPr>
          <w:i/>
          <w:iCs/>
          <w:szCs w:val="24"/>
          <w:lang w:val="en-ZA"/>
        </w:rPr>
        <w:t>omme</w:t>
      </w:r>
      <w:r w:rsidR="007A7056" w:rsidRPr="009528A8">
        <w:rPr>
          <w:i/>
          <w:iCs/>
          <w:szCs w:val="24"/>
          <w:lang w:val="en-ZA"/>
        </w:rPr>
        <w:t xml:space="preserve"> </w:t>
      </w:r>
      <w:r w:rsidR="006C5D23" w:rsidRPr="009528A8">
        <w:rPr>
          <w:i/>
          <w:iCs/>
          <w:szCs w:val="24"/>
          <w:lang w:val="en-ZA"/>
        </w:rPr>
        <w:t xml:space="preserve">(APDH) </w:t>
      </w:r>
      <w:r w:rsidR="007A7056" w:rsidRPr="009528A8">
        <w:rPr>
          <w:i/>
          <w:iCs/>
          <w:szCs w:val="24"/>
          <w:lang w:val="en-ZA"/>
        </w:rPr>
        <w:t>v</w:t>
      </w:r>
      <w:r w:rsidR="003E34D1" w:rsidRPr="009528A8">
        <w:rPr>
          <w:i/>
          <w:iCs/>
          <w:szCs w:val="24"/>
          <w:lang w:val="en-ZA"/>
        </w:rPr>
        <w:t>.</w:t>
      </w:r>
      <w:r w:rsidR="007A7056" w:rsidRPr="009528A8">
        <w:rPr>
          <w:i/>
          <w:iCs/>
          <w:szCs w:val="24"/>
          <w:lang w:val="en-ZA"/>
        </w:rPr>
        <w:t xml:space="preserve"> </w:t>
      </w:r>
      <w:r w:rsidR="00454A76" w:rsidRPr="009528A8">
        <w:rPr>
          <w:i/>
          <w:iCs/>
          <w:szCs w:val="24"/>
          <w:lang w:val="en-ZA"/>
        </w:rPr>
        <w:t xml:space="preserve">Republic of </w:t>
      </w:r>
      <w:r w:rsidR="007A7056" w:rsidRPr="009528A8">
        <w:rPr>
          <w:i/>
          <w:iCs/>
          <w:szCs w:val="24"/>
          <w:lang w:val="en-ZA"/>
        </w:rPr>
        <w:t>C</w:t>
      </w:r>
      <w:r w:rsidR="003E34D1" w:rsidRPr="009528A8">
        <w:rPr>
          <w:i/>
          <w:iCs/>
          <w:szCs w:val="24"/>
          <w:lang w:val="en-ZA"/>
        </w:rPr>
        <w:t>ô</w:t>
      </w:r>
      <w:r w:rsidR="007A7056" w:rsidRPr="009528A8">
        <w:rPr>
          <w:i/>
          <w:iCs/>
          <w:szCs w:val="24"/>
          <w:lang w:val="en-ZA"/>
        </w:rPr>
        <w:t>te d</w:t>
      </w:r>
      <w:r w:rsidR="00E857F7" w:rsidRPr="009528A8">
        <w:rPr>
          <w:i/>
          <w:iCs/>
          <w:szCs w:val="24"/>
          <w:lang w:val="en-ZA"/>
        </w:rPr>
        <w:t>’</w:t>
      </w:r>
      <w:r w:rsidR="007A7056" w:rsidRPr="009528A8">
        <w:rPr>
          <w:i/>
          <w:iCs/>
          <w:szCs w:val="24"/>
          <w:lang w:val="en-ZA"/>
        </w:rPr>
        <w:t>Ivoire</w:t>
      </w:r>
      <w:r w:rsidR="007A7056" w:rsidRPr="009528A8">
        <w:rPr>
          <w:szCs w:val="24"/>
          <w:lang w:val="en-ZA"/>
        </w:rPr>
        <w:t>, discrimination is “a differentiation of persons or situations on the basis of one or several unlawful criterion/criteria.”</w:t>
      </w:r>
      <w:r w:rsidR="007A7056" w:rsidRPr="009528A8">
        <w:rPr>
          <w:rStyle w:val="FootnoteReference"/>
          <w:rFonts w:ascii="Arial" w:hAnsi="Arial" w:cs="Arial"/>
          <w:sz w:val="24"/>
          <w:szCs w:val="24"/>
          <w:lang w:val="en-ZA"/>
        </w:rPr>
        <w:footnoteReference w:id="22"/>
      </w:r>
      <w:r w:rsidR="007A7056" w:rsidRPr="009528A8">
        <w:rPr>
          <w:szCs w:val="24"/>
        </w:rPr>
        <w:t xml:space="preserve"> </w:t>
      </w:r>
    </w:p>
    <w:p w14:paraId="383BECC0" w14:textId="77777777" w:rsidR="00537650" w:rsidRPr="009528A8" w:rsidRDefault="00537650" w:rsidP="002634E9">
      <w:pPr>
        <w:rPr>
          <w:szCs w:val="24"/>
          <w:lang w:val="en-ZA"/>
        </w:rPr>
      </w:pPr>
    </w:p>
    <w:p w14:paraId="146350D7" w14:textId="3B0C1516" w:rsidR="00AE031F" w:rsidRPr="009528A8" w:rsidRDefault="003E34D1" w:rsidP="002634E9">
      <w:pPr>
        <w:rPr>
          <w:szCs w:val="24"/>
          <w:lang w:val="en-ZA"/>
        </w:rPr>
      </w:pPr>
      <w:r w:rsidRPr="009528A8">
        <w:rPr>
          <w:szCs w:val="24"/>
        </w:rPr>
        <w:t xml:space="preserve">With respect to </w:t>
      </w:r>
      <w:r w:rsidR="00586612" w:rsidRPr="009528A8">
        <w:rPr>
          <w:szCs w:val="24"/>
          <w:lang w:val="en-ZA"/>
        </w:rPr>
        <w:t>Article</w:t>
      </w:r>
      <w:r w:rsidR="00586612" w:rsidRPr="009528A8">
        <w:rPr>
          <w:szCs w:val="24"/>
        </w:rPr>
        <w:t xml:space="preserve"> 3, </w:t>
      </w:r>
      <w:r w:rsidR="0070009C" w:rsidRPr="009528A8">
        <w:rPr>
          <w:szCs w:val="24"/>
        </w:rPr>
        <w:t>equal</w:t>
      </w:r>
      <w:r w:rsidRPr="009528A8">
        <w:rPr>
          <w:szCs w:val="24"/>
        </w:rPr>
        <w:t>ity before the law, and equal</w:t>
      </w:r>
      <w:r w:rsidR="0070009C" w:rsidRPr="009528A8">
        <w:rPr>
          <w:szCs w:val="24"/>
        </w:rPr>
        <w:t xml:space="preserve"> protection of the law presuppose that the law protects everyone without discrimination</w:t>
      </w:r>
      <w:r w:rsidRPr="009528A8">
        <w:rPr>
          <w:szCs w:val="24"/>
        </w:rPr>
        <w:t xml:space="preserve"> whether in its provisions or in its application.</w:t>
      </w:r>
      <w:r w:rsidR="0070009C" w:rsidRPr="009528A8">
        <w:rPr>
          <w:rStyle w:val="FootnoteReference"/>
          <w:rFonts w:ascii="Arial" w:hAnsi="Arial" w:cs="Arial"/>
          <w:sz w:val="24"/>
          <w:szCs w:val="24"/>
        </w:rPr>
        <w:footnoteReference w:id="23"/>
      </w:r>
      <w:r w:rsidR="0070009C" w:rsidRPr="009528A8">
        <w:rPr>
          <w:szCs w:val="24"/>
        </w:rPr>
        <w:t xml:space="preserve"> </w:t>
      </w:r>
      <w:r w:rsidRPr="009528A8">
        <w:rPr>
          <w:szCs w:val="24"/>
        </w:rPr>
        <w:t xml:space="preserve">Consequently, </w:t>
      </w:r>
      <w:r w:rsidR="003302B5" w:rsidRPr="009528A8">
        <w:rPr>
          <w:szCs w:val="24"/>
        </w:rPr>
        <w:t>a</w:t>
      </w:r>
      <w:r w:rsidR="007D3C83" w:rsidRPr="009528A8">
        <w:rPr>
          <w:szCs w:val="24"/>
        </w:rPr>
        <w:t>s this Court has previously held,</w:t>
      </w:r>
      <w:r w:rsidR="003302B5" w:rsidRPr="009528A8">
        <w:rPr>
          <w:szCs w:val="24"/>
        </w:rPr>
        <w:t xml:space="preserve"> </w:t>
      </w:r>
      <w:r w:rsidR="0070009C" w:rsidRPr="009528A8">
        <w:rPr>
          <w:szCs w:val="24"/>
        </w:rPr>
        <w:t>breach</w:t>
      </w:r>
      <w:r w:rsidR="00B06047" w:rsidRPr="009528A8">
        <w:rPr>
          <w:szCs w:val="24"/>
        </w:rPr>
        <w:t xml:space="preserve"> of Article 3 of the Charter</w:t>
      </w:r>
      <w:r w:rsidR="0070009C" w:rsidRPr="009528A8">
        <w:rPr>
          <w:szCs w:val="24"/>
        </w:rPr>
        <w:t xml:space="preserve"> </w:t>
      </w:r>
      <w:r w:rsidR="00B06047" w:rsidRPr="009528A8">
        <w:rPr>
          <w:szCs w:val="24"/>
        </w:rPr>
        <w:t>is</w:t>
      </w:r>
      <w:r w:rsidR="0070009C" w:rsidRPr="009528A8">
        <w:rPr>
          <w:szCs w:val="24"/>
        </w:rPr>
        <w:t xml:space="preserve"> established when </w:t>
      </w:r>
      <w:r w:rsidR="0070009C" w:rsidRPr="009528A8">
        <w:rPr>
          <w:szCs w:val="24"/>
        </w:rPr>
        <w:lastRenderedPageBreak/>
        <w:t>there is evidence showing that the Applicant was treated differently as compared to other persons who were in a situation similar to his.</w:t>
      </w:r>
      <w:r w:rsidR="0070009C" w:rsidRPr="009528A8">
        <w:rPr>
          <w:rStyle w:val="FootnoteReference"/>
          <w:rFonts w:ascii="Arial" w:hAnsi="Arial" w:cs="Arial"/>
          <w:sz w:val="24"/>
          <w:szCs w:val="24"/>
        </w:rPr>
        <w:footnoteReference w:id="24"/>
      </w:r>
    </w:p>
    <w:p w14:paraId="41210DF0" w14:textId="77777777" w:rsidR="00AE031F" w:rsidRPr="009528A8" w:rsidRDefault="00AE031F" w:rsidP="002634E9">
      <w:pPr>
        <w:rPr>
          <w:szCs w:val="24"/>
          <w:lang w:val="en-ZA"/>
        </w:rPr>
      </w:pPr>
    </w:p>
    <w:p w14:paraId="056E34DB" w14:textId="15AD1FCE" w:rsidR="00831CF8" w:rsidRPr="009528A8" w:rsidRDefault="00612919" w:rsidP="002634E9">
      <w:pPr>
        <w:rPr>
          <w:szCs w:val="24"/>
        </w:rPr>
      </w:pPr>
      <w:r w:rsidRPr="009528A8">
        <w:rPr>
          <w:szCs w:val="24"/>
        </w:rPr>
        <w:t>As far as the right to have one</w:t>
      </w:r>
      <w:r w:rsidR="00E857F7" w:rsidRPr="009528A8">
        <w:rPr>
          <w:szCs w:val="24"/>
        </w:rPr>
        <w:t>’</w:t>
      </w:r>
      <w:r w:rsidRPr="009528A8">
        <w:rPr>
          <w:szCs w:val="24"/>
        </w:rPr>
        <w:t>s cause heard</w:t>
      </w:r>
      <w:r w:rsidR="00AE031F" w:rsidRPr="009528A8">
        <w:rPr>
          <w:szCs w:val="24"/>
        </w:rPr>
        <w:t xml:space="preserve">, this Court has held </w:t>
      </w:r>
      <w:r w:rsidR="00831CF8" w:rsidRPr="009528A8">
        <w:rPr>
          <w:szCs w:val="24"/>
        </w:rPr>
        <w:t xml:space="preserve">in </w:t>
      </w:r>
      <w:r w:rsidR="00831CF8" w:rsidRPr="009528A8">
        <w:rPr>
          <w:i/>
          <w:iCs/>
          <w:szCs w:val="24"/>
        </w:rPr>
        <w:t xml:space="preserve">Jebra Kambole v. </w:t>
      </w:r>
      <w:r w:rsidR="00DE36D5" w:rsidRPr="009528A8">
        <w:rPr>
          <w:i/>
          <w:iCs/>
          <w:szCs w:val="24"/>
        </w:rPr>
        <w:t xml:space="preserve">United Republic of </w:t>
      </w:r>
      <w:r w:rsidR="00831CF8" w:rsidRPr="009528A8">
        <w:rPr>
          <w:i/>
          <w:iCs/>
          <w:szCs w:val="24"/>
        </w:rPr>
        <w:t>Tanzania</w:t>
      </w:r>
      <w:r w:rsidR="00831CF8" w:rsidRPr="009528A8">
        <w:rPr>
          <w:szCs w:val="24"/>
        </w:rPr>
        <w:t xml:space="preserve"> </w:t>
      </w:r>
      <w:r w:rsidR="00AE031F" w:rsidRPr="009528A8">
        <w:rPr>
          <w:szCs w:val="24"/>
        </w:rPr>
        <w:t>that this right</w:t>
      </w:r>
      <w:r w:rsidR="003302B5" w:rsidRPr="009528A8">
        <w:rPr>
          <w:szCs w:val="24"/>
        </w:rPr>
        <w:t>,</w:t>
      </w:r>
      <w:r w:rsidR="00AE031F" w:rsidRPr="009528A8">
        <w:rPr>
          <w:szCs w:val="24"/>
        </w:rPr>
        <w:t xml:space="preserve"> as enshrined under Article 7(1) of the Charter</w:t>
      </w:r>
      <w:r w:rsidR="003302B5" w:rsidRPr="009528A8">
        <w:rPr>
          <w:szCs w:val="24"/>
        </w:rPr>
        <w:t>,</w:t>
      </w:r>
      <w:r w:rsidR="00AE031F" w:rsidRPr="009528A8">
        <w:rPr>
          <w:szCs w:val="24"/>
        </w:rPr>
        <w:t xml:space="preserve"> bestows upon individuals a wide range of entitlements pertaining to due process of law</w:t>
      </w:r>
      <w:r w:rsidR="00831CF8" w:rsidRPr="009528A8">
        <w:rPr>
          <w:szCs w:val="24"/>
        </w:rPr>
        <w:t xml:space="preserve">. These include </w:t>
      </w:r>
      <w:r w:rsidR="00AE031F" w:rsidRPr="009528A8">
        <w:rPr>
          <w:szCs w:val="24"/>
        </w:rPr>
        <w:t>the right to be given an opportunity to express their views on matters and procedures affecting their right</w:t>
      </w:r>
      <w:r w:rsidR="00831CF8" w:rsidRPr="009528A8">
        <w:rPr>
          <w:szCs w:val="24"/>
        </w:rPr>
        <w:t>s; properly prepare a defence; present one</w:t>
      </w:r>
      <w:r w:rsidR="00E857F7" w:rsidRPr="009528A8">
        <w:rPr>
          <w:szCs w:val="24"/>
        </w:rPr>
        <w:t>’</w:t>
      </w:r>
      <w:r w:rsidR="00831CF8" w:rsidRPr="009528A8">
        <w:rPr>
          <w:szCs w:val="24"/>
        </w:rPr>
        <w:t>s arguments and evidence; and to respond to the arguments and evidence presented by the opposing side</w:t>
      </w:r>
      <w:r w:rsidR="00AE031F" w:rsidRPr="009528A8">
        <w:rPr>
          <w:szCs w:val="24"/>
        </w:rPr>
        <w:t>.</w:t>
      </w:r>
      <w:r w:rsidR="00AE031F" w:rsidRPr="009528A8">
        <w:rPr>
          <w:rStyle w:val="FootnoteReference"/>
          <w:rFonts w:ascii="Arial" w:hAnsi="Arial" w:cs="Arial"/>
          <w:sz w:val="24"/>
          <w:szCs w:val="24"/>
        </w:rPr>
        <w:footnoteReference w:id="25"/>
      </w:r>
      <w:r w:rsidR="00AE031F" w:rsidRPr="009528A8">
        <w:t xml:space="preserve"> </w:t>
      </w:r>
    </w:p>
    <w:p w14:paraId="6FEE6429" w14:textId="77777777" w:rsidR="00831CF8" w:rsidRPr="009528A8" w:rsidRDefault="00831CF8" w:rsidP="002634E9">
      <w:pPr>
        <w:rPr>
          <w:rFonts w:eastAsia="Arial"/>
          <w:szCs w:val="24"/>
        </w:rPr>
      </w:pPr>
    </w:p>
    <w:p w14:paraId="65A2173C" w14:textId="73CAB2CA" w:rsidR="0070009C" w:rsidRPr="009528A8" w:rsidRDefault="00A951A3" w:rsidP="002634E9">
      <w:pPr>
        <w:rPr>
          <w:szCs w:val="24"/>
        </w:rPr>
      </w:pPr>
      <w:r w:rsidRPr="009528A8">
        <w:rPr>
          <w:rFonts w:eastAsia="Arial"/>
          <w:szCs w:val="24"/>
        </w:rPr>
        <w:t>T</w:t>
      </w:r>
      <w:r w:rsidR="00863649" w:rsidRPr="009528A8">
        <w:rPr>
          <w:rFonts w:eastAsia="Arial"/>
          <w:szCs w:val="24"/>
        </w:rPr>
        <w:t xml:space="preserve">he </w:t>
      </w:r>
      <w:r w:rsidRPr="009528A8">
        <w:rPr>
          <w:rFonts w:eastAsia="Arial"/>
          <w:szCs w:val="24"/>
        </w:rPr>
        <w:t xml:space="preserve">Court notes that in the instant matter, the </w:t>
      </w:r>
      <w:r w:rsidR="00863649" w:rsidRPr="009528A8">
        <w:rPr>
          <w:rFonts w:eastAsia="Arial"/>
          <w:szCs w:val="24"/>
        </w:rPr>
        <w:t>Applicant</w:t>
      </w:r>
      <w:r w:rsidR="00E857F7" w:rsidRPr="009528A8">
        <w:rPr>
          <w:rFonts w:eastAsia="Arial"/>
          <w:szCs w:val="24"/>
        </w:rPr>
        <w:t>’</w:t>
      </w:r>
      <w:r w:rsidR="00863649" w:rsidRPr="009528A8">
        <w:rPr>
          <w:rFonts w:eastAsia="Arial"/>
          <w:szCs w:val="24"/>
        </w:rPr>
        <w:t>s allegation revolves around two main issues</w:t>
      </w:r>
      <w:r w:rsidR="00454A76" w:rsidRPr="009528A8">
        <w:rPr>
          <w:rFonts w:eastAsia="Arial"/>
          <w:szCs w:val="24"/>
        </w:rPr>
        <w:t>:i)</w:t>
      </w:r>
      <w:r w:rsidR="00863649" w:rsidRPr="009528A8">
        <w:rPr>
          <w:rFonts w:eastAsia="Arial"/>
          <w:szCs w:val="24"/>
        </w:rPr>
        <w:t xml:space="preserve"> </w:t>
      </w:r>
      <w:r w:rsidR="00885F80" w:rsidRPr="009528A8">
        <w:rPr>
          <w:rFonts w:eastAsia="Arial"/>
          <w:szCs w:val="24"/>
        </w:rPr>
        <w:t xml:space="preserve">whether </w:t>
      </w:r>
      <w:r w:rsidR="0041159E" w:rsidRPr="009528A8">
        <w:rPr>
          <w:rFonts w:eastAsia="Arial"/>
          <w:szCs w:val="24"/>
        </w:rPr>
        <w:t>he</w:t>
      </w:r>
      <w:r w:rsidR="00863649" w:rsidRPr="009528A8">
        <w:rPr>
          <w:rFonts w:eastAsia="Arial"/>
          <w:szCs w:val="24"/>
        </w:rPr>
        <w:t xml:space="preserve"> </w:t>
      </w:r>
      <w:r w:rsidR="0089375C" w:rsidRPr="009528A8">
        <w:rPr>
          <w:rFonts w:eastAsia="Arial"/>
          <w:szCs w:val="24"/>
        </w:rPr>
        <w:t xml:space="preserve">was properly identified at the scene of the crime </w:t>
      </w:r>
      <w:r w:rsidR="007A7631" w:rsidRPr="009528A8">
        <w:rPr>
          <w:rFonts w:eastAsia="Arial"/>
          <w:szCs w:val="24"/>
        </w:rPr>
        <w:t>and</w:t>
      </w:r>
      <w:r w:rsidR="00454A76" w:rsidRPr="009528A8">
        <w:rPr>
          <w:rFonts w:eastAsia="Arial"/>
          <w:szCs w:val="24"/>
        </w:rPr>
        <w:t>; ii)</w:t>
      </w:r>
      <w:r w:rsidR="00885F80" w:rsidRPr="009528A8">
        <w:rPr>
          <w:rFonts w:eastAsia="Arial"/>
          <w:szCs w:val="24"/>
        </w:rPr>
        <w:t xml:space="preserve"> whether</w:t>
      </w:r>
      <w:r w:rsidR="0089375C" w:rsidRPr="009528A8">
        <w:rPr>
          <w:rFonts w:eastAsia="Arial"/>
          <w:szCs w:val="24"/>
        </w:rPr>
        <w:t xml:space="preserve"> he </w:t>
      </w:r>
      <w:r w:rsidR="00863649" w:rsidRPr="009528A8">
        <w:rPr>
          <w:rFonts w:eastAsia="Arial"/>
          <w:szCs w:val="24"/>
        </w:rPr>
        <w:t>was convicted against the weight of the evidence on record.</w:t>
      </w:r>
      <w:r w:rsidR="00DF70E5" w:rsidRPr="009528A8">
        <w:rPr>
          <w:rFonts w:eastAsia="Arial"/>
          <w:szCs w:val="24"/>
        </w:rPr>
        <w:t xml:space="preserve"> </w:t>
      </w:r>
      <w:r w:rsidR="00454A76" w:rsidRPr="009528A8">
        <w:rPr>
          <w:rFonts w:eastAsia="Arial"/>
          <w:szCs w:val="24"/>
        </w:rPr>
        <w:t>The Court will examine the joint allegation of violation of the right to non-discrimination, equality before the law, and to have one’s cause heard in respect of each of these two issues</w:t>
      </w:r>
      <w:r w:rsidR="006B5F9E" w:rsidRPr="009528A8">
        <w:rPr>
          <w:rFonts w:eastAsia="Arial"/>
          <w:szCs w:val="24"/>
        </w:rPr>
        <w:t>.</w:t>
      </w:r>
    </w:p>
    <w:p w14:paraId="26AD949F" w14:textId="77777777" w:rsidR="004477C9" w:rsidRPr="009528A8" w:rsidRDefault="004477C9" w:rsidP="002634E9">
      <w:pPr>
        <w:rPr>
          <w:rFonts w:eastAsia="Arial"/>
          <w:szCs w:val="24"/>
        </w:rPr>
      </w:pPr>
    </w:p>
    <w:p w14:paraId="6F378942" w14:textId="30F3F985" w:rsidR="004477C9" w:rsidRPr="009528A8" w:rsidRDefault="004477C9" w:rsidP="002634E9">
      <w:pPr>
        <w:rPr>
          <w:bCs/>
        </w:rPr>
      </w:pPr>
      <w:bookmarkStart w:id="45" w:name="_Toc143594943"/>
      <w:r w:rsidRPr="009528A8">
        <w:rPr>
          <w:bCs/>
        </w:rPr>
        <w:t>Allegation that the Applicant was not properly identified</w:t>
      </w:r>
      <w:bookmarkEnd w:id="45"/>
    </w:p>
    <w:p w14:paraId="7CEE4252" w14:textId="77777777" w:rsidR="0082472C" w:rsidRPr="009528A8" w:rsidRDefault="0082472C" w:rsidP="002634E9">
      <w:pPr>
        <w:rPr>
          <w:rFonts w:eastAsia="Arial"/>
          <w:szCs w:val="24"/>
        </w:rPr>
      </w:pPr>
    </w:p>
    <w:p w14:paraId="1FB01E2C" w14:textId="1796975F" w:rsidR="00D4230D" w:rsidRPr="009528A8" w:rsidRDefault="00885F80" w:rsidP="002634E9">
      <w:pPr>
        <w:rPr>
          <w:rFonts w:eastAsia="Arial"/>
          <w:szCs w:val="24"/>
        </w:rPr>
      </w:pPr>
      <w:r w:rsidRPr="009528A8">
        <w:rPr>
          <w:rFonts w:eastAsia="Arial"/>
          <w:szCs w:val="24"/>
        </w:rPr>
        <w:t>T</w:t>
      </w:r>
      <w:r w:rsidR="002C6465" w:rsidRPr="009528A8">
        <w:rPr>
          <w:rFonts w:eastAsia="Arial"/>
          <w:szCs w:val="24"/>
        </w:rPr>
        <w:t xml:space="preserve">he Applicant </w:t>
      </w:r>
      <w:r w:rsidRPr="009528A8">
        <w:rPr>
          <w:rFonts w:eastAsia="Arial"/>
          <w:szCs w:val="24"/>
        </w:rPr>
        <w:t xml:space="preserve">alleges </w:t>
      </w:r>
      <w:r w:rsidR="002C6465" w:rsidRPr="009528A8">
        <w:rPr>
          <w:rFonts w:eastAsia="Arial"/>
          <w:szCs w:val="24"/>
        </w:rPr>
        <w:t xml:space="preserve">that he was </w:t>
      </w:r>
      <w:r w:rsidR="0050634D" w:rsidRPr="009528A8">
        <w:rPr>
          <w:rFonts w:eastAsia="Arial"/>
          <w:szCs w:val="24"/>
        </w:rPr>
        <w:t xml:space="preserve">convicted on fabricated evidence as he was </w:t>
      </w:r>
      <w:r w:rsidR="002C6465" w:rsidRPr="009528A8">
        <w:rPr>
          <w:rFonts w:eastAsia="Arial"/>
          <w:szCs w:val="24"/>
        </w:rPr>
        <w:t xml:space="preserve">not properly identified by </w:t>
      </w:r>
      <w:r w:rsidR="00202EA9" w:rsidRPr="009528A8">
        <w:rPr>
          <w:rFonts w:eastAsia="Arial"/>
          <w:szCs w:val="24"/>
        </w:rPr>
        <w:t>the Prosecution Witness 1 (</w:t>
      </w:r>
      <w:r w:rsidR="002C6465" w:rsidRPr="009528A8">
        <w:rPr>
          <w:rFonts w:eastAsia="Arial"/>
          <w:szCs w:val="24"/>
        </w:rPr>
        <w:t>PW1</w:t>
      </w:r>
      <w:r w:rsidR="00202EA9" w:rsidRPr="009528A8">
        <w:rPr>
          <w:rFonts w:eastAsia="Arial"/>
          <w:szCs w:val="24"/>
        </w:rPr>
        <w:t>)</w:t>
      </w:r>
      <w:r w:rsidR="002C6465" w:rsidRPr="009528A8">
        <w:rPr>
          <w:rFonts w:eastAsia="Arial"/>
          <w:szCs w:val="24"/>
        </w:rPr>
        <w:t xml:space="preserve"> at the scene of the crime</w:t>
      </w:r>
      <w:r w:rsidRPr="009528A8">
        <w:rPr>
          <w:rFonts w:eastAsia="Arial"/>
          <w:szCs w:val="24"/>
        </w:rPr>
        <w:t>. According to the Applicant</w:t>
      </w:r>
      <w:r w:rsidR="00560E0E" w:rsidRPr="009528A8">
        <w:rPr>
          <w:rFonts w:eastAsia="Arial"/>
          <w:szCs w:val="24"/>
        </w:rPr>
        <w:t>,</w:t>
      </w:r>
      <w:r w:rsidRPr="009528A8">
        <w:rPr>
          <w:rFonts w:eastAsia="Arial"/>
          <w:szCs w:val="24"/>
        </w:rPr>
        <w:t xml:space="preserve"> this failure</w:t>
      </w:r>
      <w:r w:rsidR="0050634D" w:rsidRPr="009528A8">
        <w:rPr>
          <w:rFonts w:eastAsia="Arial"/>
          <w:szCs w:val="24"/>
        </w:rPr>
        <w:t xml:space="preserve"> </w:t>
      </w:r>
      <w:r w:rsidR="006D4A19" w:rsidRPr="009528A8">
        <w:rPr>
          <w:rFonts w:eastAsia="Arial"/>
          <w:szCs w:val="24"/>
        </w:rPr>
        <w:t>amount</w:t>
      </w:r>
      <w:r w:rsidRPr="009528A8">
        <w:rPr>
          <w:rFonts w:eastAsia="Arial"/>
          <w:szCs w:val="24"/>
        </w:rPr>
        <w:t>ed</w:t>
      </w:r>
      <w:r w:rsidR="006D4A19" w:rsidRPr="009528A8">
        <w:rPr>
          <w:rFonts w:eastAsia="Arial"/>
          <w:szCs w:val="24"/>
        </w:rPr>
        <w:t xml:space="preserve"> to a violation of his right to non-discrimination, equality before the law, equal protection of the law and the right to </w:t>
      </w:r>
      <w:r w:rsidRPr="009528A8">
        <w:rPr>
          <w:rFonts w:eastAsia="Arial"/>
          <w:szCs w:val="24"/>
        </w:rPr>
        <w:t>have his cause heard</w:t>
      </w:r>
      <w:r w:rsidR="006D4A19" w:rsidRPr="009528A8">
        <w:rPr>
          <w:rFonts w:eastAsia="Arial"/>
          <w:szCs w:val="24"/>
        </w:rPr>
        <w:t>.</w:t>
      </w:r>
      <w:r w:rsidR="0082472C" w:rsidRPr="009528A8">
        <w:rPr>
          <w:rFonts w:eastAsia="Arial"/>
          <w:szCs w:val="24"/>
        </w:rPr>
        <w:t xml:space="preserve"> </w:t>
      </w:r>
    </w:p>
    <w:p w14:paraId="142CED80" w14:textId="77777777" w:rsidR="0050634D" w:rsidRPr="009528A8" w:rsidRDefault="0050634D" w:rsidP="002634E9">
      <w:pPr>
        <w:rPr>
          <w:rFonts w:eastAsia="Arial"/>
          <w:szCs w:val="24"/>
        </w:rPr>
      </w:pPr>
    </w:p>
    <w:p w14:paraId="5D441BCB" w14:textId="1B556346" w:rsidR="00EC2BD6" w:rsidRPr="009528A8" w:rsidRDefault="00B24614" w:rsidP="002634E9">
      <w:pPr>
        <w:rPr>
          <w:rFonts w:eastAsia="Arial"/>
          <w:szCs w:val="24"/>
        </w:rPr>
      </w:pPr>
      <w:r w:rsidRPr="009528A8">
        <w:rPr>
          <w:rFonts w:eastAsia="Arial"/>
          <w:szCs w:val="24"/>
        </w:rPr>
        <w:t>The Respondent State</w:t>
      </w:r>
      <w:r w:rsidR="00885F80" w:rsidRPr="009528A8">
        <w:rPr>
          <w:rFonts w:eastAsia="Arial"/>
          <w:szCs w:val="24"/>
        </w:rPr>
        <w:t xml:space="preserve"> </w:t>
      </w:r>
      <w:r w:rsidR="00885F80" w:rsidRPr="009528A8">
        <w:rPr>
          <w:szCs w:val="24"/>
          <w:lang w:val="en-ZA"/>
        </w:rPr>
        <w:t>refutes</w:t>
      </w:r>
      <w:r w:rsidR="00885F80" w:rsidRPr="009528A8">
        <w:rPr>
          <w:rFonts w:eastAsia="Arial"/>
          <w:szCs w:val="24"/>
        </w:rPr>
        <w:t xml:space="preserve"> this allegation and</w:t>
      </w:r>
      <w:r w:rsidRPr="009528A8">
        <w:rPr>
          <w:rFonts w:eastAsia="Arial"/>
          <w:szCs w:val="24"/>
        </w:rPr>
        <w:t xml:space="preserve"> avers that the Court of Appeal considered the identification of the </w:t>
      </w:r>
      <w:r w:rsidR="00A4601A" w:rsidRPr="009528A8">
        <w:rPr>
          <w:rFonts w:eastAsia="Arial"/>
          <w:szCs w:val="24"/>
        </w:rPr>
        <w:t>Applicant and</w:t>
      </w:r>
      <w:r w:rsidRPr="009528A8">
        <w:rPr>
          <w:rFonts w:eastAsia="Arial"/>
          <w:szCs w:val="24"/>
        </w:rPr>
        <w:t xml:space="preserve"> held that he was properly identified. </w:t>
      </w:r>
      <w:r w:rsidR="00D4230D" w:rsidRPr="009528A8">
        <w:rPr>
          <w:rFonts w:eastAsia="Arial"/>
          <w:szCs w:val="24"/>
        </w:rPr>
        <w:t xml:space="preserve">The Respondent State further submits that </w:t>
      </w:r>
      <w:bookmarkStart w:id="46" w:name="_Hlk133225120"/>
      <w:r w:rsidR="00D4230D" w:rsidRPr="009528A8">
        <w:rPr>
          <w:rFonts w:eastAsia="Arial"/>
          <w:szCs w:val="24"/>
        </w:rPr>
        <w:t xml:space="preserve">the </w:t>
      </w:r>
      <w:r w:rsidR="00A4601A" w:rsidRPr="009528A8">
        <w:rPr>
          <w:rFonts w:eastAsia="Arial"/>
          <w:szCs w:val="24"/>
        </w:rPr>
        <w:t>victim named</w:t>
      </w:r>
      <w:r w:rsidR="00D4230D" w:rsidRPr="009528A8">
        <w:rPr>
          <w:rFonts w:eastAsia="Arial"/>
          <w:szCs w:val="24"/>
        </w:rPr>
        <w:t xml:space="preserve"> the </w:t>
      </w:r>
      <w:r w:rsidR="00A4601A" w:rsidRPr="009528A8">
        <w:rPr>
          <w:rFonts w:eastAsia="Arial"/>
          <w:szCs w:val="24"/>
        </w:rPr>
        <w:t xml:space="preserve">Applicant </w:t>
      </w:r>
      <w:r w:rsidR="00D4230D" w:rsidRPr="009528A8">
        <w:rPr>
          <w:rFonts w:eastAsia="Arial"/>
          <w:szCs w:val="24"/>
        </w:rPr>
        <w:t>at the earliest possible time</w:t>
      </w:r>
      <w:r w:rsidR="00FB1F5A" w:rsidRPr="009528A8">
        <w:rPr>
          <w:rFonts w:eastAsia="Arial"/>
          <w:szCs w:val="24"/>
        </w:rPr>
        <w:t xml:space="preserve"> </w:t>
      </w:r>
      <w:r w:rsidR="00D4230D" w:rsidRPr="009528A8">
        <w:rPr>
          <w:rFonts w:eastAsia="Arial"/>
          <w:szCs w:val="24"/>
        </w:rPr>
        <w:t>to her friend</w:t>
      </w:r>
      <w:r w:rsidR="00202EA9" w:rsidRPr="009528A8">
        <w:rPr>
          <w:rFonts w:eastAsia="Arial"/>
          <w:szCs w:val="24"/>
        </w:rPr>
        <w:t>, the Prosecution Witness</w:t>
      </w:r>
      <w:r w:rsidR="00FB1F5A" w:rsidRPr="009528A8">
        <w:rPr>
          <w:rFonts w:eastAsia="Arial"/>
          <w:szCs w:val="24"/>
        </w:rPr>
        <w:t xml:space="preserve"> </w:t>
      </w:r>
      <w:r w:rsidR="00202EA9" w:rsidRPr="009528A8">
        <w:rPr>
          <w:rFonts w:eastAsia="Arial"/>
          <w:szCs w:val="24"/>
        </w:rPr>
        <w:t>2 (</w:t>
      </w:r>
      <w:r w:rsidR="00D4230D" w:rsidRPr="009528A8">
        <w:rPr>
          <w:rFonts w:eastAsia="Arial"/>
          <w:szCs w:val="24"/>
        </w:rPr>
        <w:t>PW2</w:t>
      </w:r>
      <w:r w:rsidR="00202EA9" w:rsidRPr="009528A8">
        <w:rPr>
          <w:rFonts w:eastAsia="Arial"/>
          <w:szCs w:val="24"/>
        </w:rPr>
        <w:t>)</w:t>
      </w:r>
      <w:r w:rsidR="00D4230D" w:rsidRPr="009528A8">
        <w:rPr>
          <w:rFonts w:eastAsia="Arial"/>
          <w:szCs w:val="24"/>
        </w:rPr>
        <w:t xml:space="preserve"> </w:t>
      </w:r>
      <w:r w:rsidR="00320C2A" w:rsidRPr="009528A8">
        <w:rPr>
          <w:rFonts w:eastAsia="Arial"/>
          <w:szCs w:val="24"/>
        </w:rPr>
        <w:t xml:space="preserve">as well as </w:t>
      </w:r>
      <w:r w:rsidR="00D4230D" w:rsidRPr="009528A8">
        <w:rPr>
          <w:rFonts w:eastAsia="Arial"/>
          <w:szCs w:val="24"/>
        </w:rPr>
        <w:t>to the police</w:t>
      </w:r>
      <w:r w:rsidR="007524BC" w:rsidRPr="009528A8">
        <w:rPr>
          <w:rFonts w:eastAsia="Arial"/>
          <w:szCs w:val="24"/>
        </w:rPr>
        <w:t xml:space="preserve"> and that this </w:t>
      </w:r>
      <w:r w:rsidR="006C5D23" w:rsidRPr="009528A8">
        <w:rPr>
          <w:rFonts w:eastAsia="Arial"/>
          <w:szCs w:val="24"/>
        </w:rPr>
        <w:t xml:space="preserve">fact carried </w:t>
      </w:r>
      <w:r w:rsidR="007524BC" w:rsidRPr="009528A8">
        <w:rPr>
          <w:rFonts w:eastAsia="Arial"/>
          <w:szCs w:val="24"/>
        </w:rPr>
        <w:t xml:space="preserve">significant </w:t>
      </w:r>
      <w:r w:rsidR="006C5D23" w:rsidRPr="009528A8">
        <w:rPr>
          <w:rFonts w:eastAsia="Arial"/>
          <w:szCs w:val="24"/>
        </w:rPr>
        <w:t xml:space="preserve">weight given </w:t>
      </w:r>
      <w:r w:rsidR="007524BC" w:rsidRPr="009528A8">
        <w:rPr>
          <w:rFonts w:eastAsia="Arial"/>
          <w:szCs w:val="24"/>
        </w:rPr>
        <w:t xml:space="preserve">that </w:t>
      </w:r>
      <w:r w:rsidR="006C5D23" w:rsidRPr="009528A8">
        <w:rPr>
          <w:rFonts w:eastAsia="Arial"/>
          <w:szCs w:val="24"/>
        </w:rPr>
        <w:t>PW2</w:t>
      </w:r>
      <w:r w:rsidR="007524BC" w:rsidRPr="009528A8">
        <w:rPr>
          <w:rFonts w:eastAsia="Arial"/>
          <w:szCs w:val="24"/>
        </w:rPr>
        <w:t xml:space="preserve"> was a reliable witness</w:t>
      </w:r>
      <w:bookmarkEnd w:id="46"/>
      <w:r w:rsidR="007524BC" w:rsidRPr="009528A8">
        <w:rPr>
          <w:rFonts w:eastAsia="Arial"/>
          <w:szCs w:val="24"/>
        </w:rPr>
        <w:t>.</w:t>
      </w:r>
    </w:p>
    <w:p w14:paraId="4B8DF6DB" w14:textId="77777777" w:rsidR="00D678B7" w:rsidRPr="009528A8" w:rsidRDefault="00D678B7" w:rsidP="002634E9">
      <w:pPr>
        <w:rPr>
          <w:rFonts w:eastAsia="Arial"/>
          <w:szCs w:val="24"/>
        </w:rPr>
      </w:pPr>
    </w:p>
    <w:p w14:paraId="18EB31A9" w14:textId="7E6F8E98" w:rsidR="00EC2BD6" w:rsidRPr="009528A8" w:rsidRDefault="00EC2BD6" w:rsidP="002634E9">
      <w:pPr>
        <w:rPr>
          <w:rFonts w:eastAsia="Arial"/>
          <w:szCs w:val="24"/>
        </w:rPr>
      </w:pPr>
      <w:r w:rsidRPr="009528A8">
        <w:rPr>
          <w:rFonts w:eastAsia="Arial"/>
          <w:szCs w:val="24"/>
        </w:rPr>
        <w:t>***</w:t>
      </w:r>
    </w:p>
    <w:p w14:paraId="1E9FA584" w14:textId="77777777" w:rsidR="008F3545" w:rsidRPr="009528A8" w:rsidRDefault="008F3545" w:rsidP="002634E9">
      <w:pPr>
        <w:rPr>
          <w:rFonts w:eastAsia="Arial"/>
          <w:szCs w:val="24"/>
        </w:rPr>
      </w:pPr>
    </w:p>
    <w:p w14:paraId="4E9DBF06" w14:textId="5957EF5C" w:rsidR="00FE4CB0" w:rsidRPr="009528A8" w:rsidRDefault="00FE4CB0" w:rsidP="002634E9">
      <w:pPr>
        <w:rPr>
          <w:rFonts w:eastAsia="Arial"/>
          <w:szCs w:val="24"/>
        </w:rPr>
      </w:pPr>
      <w:r w:rsidRPr="009528A8">
        <w:rPr>
          <w:rFonts w:eastAsia="Arial"/>
          <w:szCs w:val="24"/>
        </w:rPr>
        <w:t xml:space="preserve">The Court notes that while the </w:t>
      </w:r>
      <w:r w:rsidR="00EB1B11" w:rsidRPr="009528A8">
        <w:rPr>
          <w:rFonts w:eastAsia="Arial"/>
          <w:szCs w:val="24"/>
        </w:rPr>
        <w:t xml:space="preserve">Applicant raises an </w:t>
      </w:r>
      <w:r w:rsidR="00EF2053" w:rsidRPr="009528A8">
        <w:rPr>
          <w:rFonts w:eastAsia="Arial"/>
          <w:szCs w:val="24"/>
        </w:rPr>
        <w:t xml:space="preserve">issue </w:t>
      </w:r>
      <w:r w:rsidR="00EB1B11" w:rsidRPr="009528A8">
        <w:rPr>
          <w:rFonts w:eastAsia="Arial"/>
          <w:szCs w:val="24"/>
        </w:rPr>
        <w:t>of proper identification,</w:t>
      </w:r>
      <w:r w:rsidR="000D368B" w:rsidRPr="009528A8">
        <w:rPr>
          <w:rFonts w:eastAsia="Arial"/>
          <w:szCs w:val="24"/>
        </w:rPr>
        <w:t xml:space="preserve"> </w:t>
      </w:r>
      <w:r w:rsidRPr="009528A8">
        <w:rPr>
          <w:rFonts w:eastAsia="Arial"/>
          <w:szCs w:val="24"/>
        </w:rPr>
        <w:t xml:space="preserve">his allegation is that the </w:t>
      </w:r>
      <w:r w:rsidRPr="009528A8">
        <w:rPr>
          <w:szCs w:val="24"/>
          <w:lang w:val="en-ZA"/>
        </w:rPr>
        <w:t>manner</w:t>
      </w:r>
      <w:r w:rsidRPr="009528A8">
        <w:rPr>
          <w:rFonts w:eastAsia="Arial"/>
          <w:szCs w:val="24"/>
        </w:rPr>
        <w:t xml:space="preserve"> in which this issue was examined led to a violation of his rights to non-discrimination, equality before the law and an equal protection of the law</w:t>
      </w:r>
      <w:r w:rsidR="000D368B" w:rsidRPr="009528A8">
        <w:rPr>
          <w:rFonts w:eastAsia="Arial"/>
          <w:szCs w:val="24"/>
        </w:rPr>
        <w:t xml:space="preserve"> and the right to have his cause heard</w:t>
      </w:r>
      <w:r w:rsidRPr="009528A8">
        <w:rPr>
          <w:rFonts w:eastAsia="Arial"/>
          <w:szCs w:val="24"/>
        </w:rPr>
        <w:t xml:space="preserve">. </w:t>
      </w:r>
      <w:r w:rsidR="000D368B" w:rsidRPr="009528A8">
        <w:rPr>
          <w:rFonts w:eastAsia="Arial"/>
          <w:szCs w:val="24"/>
        </w:rPr>
        <w:t xml:space="preserve">Noting that the alleged violation relates to the right to a fair trial, </w:t>
      </w:r>
      <w:r w:rsidRPr="009528A8">
        <w:rPr>
          <w:rFonts w:eastAsia="Arial"/>
          <w:szCs w:val="24"/>
        </w:rPr>
        <w:t xml:space="preserve">the Court will first examine </w:t>
      </w:r>
      <w:r w:rsidRPr="009528A8">
        <w:rPr>
          <w:rFonts w:eastAsia="Arial"/>
          <w:szCs w:val="24"/>
        </w:rPr>
        <w:lastRenderedPageBreak/>
        <w:t xml:space="preserve">whether the proceedings in the instant case were conducted in accordance with Article 7(1) of the Charter before assessing </w:t>
      </w:r>
      <w:r w:rsidR="00685A9C" w:rsidRPr="009528A8">
        <w:rPr>
          <w:rFonts w:eastAsia="Arial"/>
          <w:szCs w:val="24"/>
        </w:rPr>
        <w:t xml:space="preserve">the alleged </w:t>
      </w:r>
      <w:r w:rsidRPr="009528A8">
        <w:rPr>
          <w:rFonts w:eastAsia="Arial"/>
          <w:szCs w:val="24"/>
        </w:rPr>
        <w:t xml:space="preserve">violations relating to Articles 2 and 3 of the Charter. </w:t>
      </w:r>
    </w:p>
    <w:p w14:paraId="6A2AEFFB" w14:textId="77777777" w:rsidR="005C37D5" w:rsidRPr="009528A8" w:rsidRDefault="005C37D5" w:rsidP="002634E9">
      <w:pPr>
        <w:rPr>
          <w:rFonts w:eastAsia="Arial"/>
          <w:szCs w:val="24"/>
        </w:rPr>
      </w:pPr>
    </w:p>
    <w:p w14:paraId="4DB048E9" w14:textId="7728DF3C" w:rsidR="005C37D5" w:rsidRPr="009528A8" w:rsidRDefault="005C37D5" w:rsidP="002634E9">
      <w:pPr>
        <w:rPr>
          <w:rFonts w:eastAsia="Arial"/>
          <w:szCs w:val="24"/>
        </w:rPr>
      </w:pPr>
      <w:r w:rsidRPr="009528A8">
        <w:rPr>
          <w:rFonts w:eastAsia="Arial"/>
          <w:szCs w:val="24"/>
        </w:rPr>
        <w:t xml:space="preserve">This Court has previously stated that when visual or voice identification is used as evidence to convict a person, all circumstances of possible mistakes should be ruled out and the </w:t>
      </w:r>
      <w:r w:rsidRPr="009528A8">
        <w:rPr>
          <w:szCs w:val="24"/>
          <w:lang w:val="en-ZA"/>
        </w:rPr>
        <w:t>identity</w:t>
      </w:r>
      <w:r w:rsidRPr="009528A8">
        <w:rPr>
          <w:rFonts w:eastAsia="Arial"/>
          <w:szCs w:val="24"/>
        </w:rPr>
        <w:t xml:space="preserve"> of the suspect should be established with certitude. </w:t>
      </w:r>
      <w:r w:rsidR="00AA0E52" w:rsidRPr="009528A8">
        <w:rPr>
          <w:rFonts w:eastAsia="Arial"/>
          <w:szCs w:val="24"/>
        </w:rPr>
        <w:t xml:space="preserve">Resultantly, </w:t>
      </w:r>
      <w:r w:rsidRPr="009528A8">
        <w:rPr>
          <w:rFonts w:eastAsia="Arial"/>
          <w:szCs w:val="24"/>
        </w:rPr>
        <w:t>the identification should be corroborated by other circumstantial evidence and must be part of a coherent and consistent account of the scene of the crime.</w:t>
      </w:r>
      <w:r w:rsidRPr="009528A8">
        <w:rPr>
          <w:rStyle w:val="FootnoteReference"/>
          <w:rFonts w:ascii="Arial" w:eastAsia="Arial" w:hAnsi="Arial" w:cs="Arial"/>
          <w:sz w:val="24"/>
          <w:szCs w:val="24"/>
        </w:rPr>
        <w:footnoteReference w:id="26"/>
      </w:r>
    </w:p>
    <w:p w14:paraId="7EE9E2E4" w14:textId="77777777" w:rsidR="005C37D5" w:rsidRPr="009528A8" w:rsidRDefault="005C37D5" w:rsidP="002634E9"/>
    <w:p w14:paraId="6DB23345" w14:textId="0E96F3E0" w:rsidR="005C37D5" w:rsidRPr="009528A8" w:rsidRDefault="005C37D5" w:rsidP="002634E9">
      <w:pPr>
        <w:rPr>
          <w:rFonts w:eastAsia="Arial"/>
          <w:szCs w:val="24"/>
        </w:rPr>
      </w:pPr>
      <w:r w:rsidRPr="009528A8">
        <w:rPr>
          <w:rFonts w:eastAsia="Arial"/>
          <w:szCs w:val="24"/>
        </w:rPr>
        <w:t xml:space="preserve">In the instant case, the </w:t>
      </w:r>
      <w:r w:rsidR="00685A9C" w:rsidRPr="009528A8">
        <w:rPr>
          <w:rFonts w:eastAsia="Arial"/>
          <w:szCs w:val="24"/>
        </w:rPr>
        <w:t>C</w:t>
      </w:r>
      <w:r w:rsidR="00795F7D" w:rsidRPr="009528A8">
        <w:rPr>
          <w:rFonts w:eastAsia="Arial"/>
          <w:szCs w:val="24"/>
        </w:rPr>
        <w:t xml:space="preserve">ourt notes from the </w:t>
      </w:r>
      <w:r w:rsidR="00685A9C" w:rsidRPr="009528A8">
        <w:rPr>
          <w:rFonts w:eastAsia="Arial"/>
          <w:szCs w:val="24"/>
        </w:rPr>
        <w:t xml:space="preserve">record </w:t>
      </w:r>
      <w:r w:rsidRPr="009528A8">
        <w:rPr>
          <w:rFonts w:eastAsia="Arial"/>
          <w:szCs w:val="24"/>
        </w:rPr>
        <w:t xml:space="preserve">that the prosecution relied on four (4) witnesses to prove its case. </w:t>
      </w:r>
      <w:r w:rsidR="00795F7D" w:rsidRPr="009528A8">
        <w:rPr>
          <w:rFonts w:eastAsia="Arial"/>
          <w:szCs w:val="24"/>
        </w:rPr>
        <w:t>According to the judgments of the District Court, High Court and the Court of Appeal,</w:t>
      </w:r>
      <w:r w:rsidR="00795F7D" w:rsidRPr="009528A8">
        <w:rPr>
          <w:rStyle w:val="FootnoteReference"/>
          <w:rFonts w:ascii="Arial" w:eastAsia="Arial" w:hAnsi="Arial" w:cs="Arial"/>
          <w:sz w:val="24"/>
          <w:szCs w:val="24"/>
        </w:rPr>
        <w:footnoteReference w:id="27"/>
      </w:r>
      <w:r w:rsidR="00795F7D" w:rsidRPr="009528A8">
        <w:rPr>
          <w:rFonts w:eastAsia="Arial"/>
          <w:szCs w:val="24"/>
        </w:rPr>
        <w:t xml:space="preserve"> t</w:t>
      </w:r>
      <w:r w:rsidR="00FA4B06" w:rsidRPr="009528A8">
        <w:rPr>
          <w:rFonts w:eastAsia="Arial"/>
          <w:szCs w:val="24"/>
        </w:rPr>
        <w:t xml:space="preserve">he victim, PW1 </w:t>
      </w:r>
      <w:r w:rsidRPr="009528A8">
        <w:rPr>
          <w:rFonts w:eastAsia="Arial"/>
          <w:szCs w:val="24"/>
        </w:rPr>
        <w:t xml:space="preserve">testified that she was invaded by three </w:t>
      </w:r>
      <w:r w:rsidR="00202EA9" w:rsidRPr="009528A8">
        <w:rPr>
          <w:rFonts w:eastAsia="Arial"/>
          <w:szCs w:val="24"/>
        </w:rPr>
        <w:t xml:space="preserve">(3) </w:t>
      </w:r>
      <w:r w:rsidRPr="009528A8">
        <w:rPr>
          <w:rFonts w:eastAsia="Arial"/>
          <w:szCs w:val="24"/>
        </w:rPr>
        <w:t xml:space="preserve">people and upon entering the room, they put on the solar light. </w:t>
      </w:r>
      <w:r w:rsidR="00795F7D" w:rsidRPr="009528A8">
        <w:rPr>
          <w:rFonts w:eastAsia="Arial"/>
          <w:szCs w:val="24"/>
        </w:rPr>
        <w:t xml:space="preserve">The judgments of the three </w:t>
      </w:r>
      <w:r w:rsidR="00202EA9" w:rsidRPr="009528A8">
        <w:rPr>
          <w:rFonts w:eastAsia="Arial"/>
          <w:szCs w:val="24"/>
        </w:rPr>
        <w:t xml:space="preserve">(3) </w:t>
      </w:r>
      <w:r w:rsidR="00795F7D" w:rsidRPr="009528A8">
        <w:rPr>
          <w:rFonts w:eastAsia="Arial"/>
          <w:szCs w:val="24"/>
        </w:rPr>
        <w:t xml:space="preserve">domestic courts also show that </w:t>
      </w:r>
      <w:r w:rsidRPr="009528A8">
        <w:rPr>
          <w:rFonts w:eastAsia="Arial"/>
          <w:szCs w:val="24"/>
        </w:rPr>
        <w:t xml:space="preserve">PW1 </w:t>
      </w:r>
      <w:r w:rsidR="00795F7D" w:rsidRPr="009528A8">
        <w:rPr>
          <w:rFonts w:eastAsia="Arial"/>
          <w:szCs w:val="24"/>
        </w:rPr>
        <w:t>gave a clear account of what transpired when the Applicant and the other two persons entered the room</w:t>
      </w:r>
      <w:r w:rsidR="00795F7D" w:rsidRPr="009528A8" w:rsidDel="00795F7D">
        <w:rPr>
          <w:rFonts w:eastAsia="Arial"/>
          <w:szCs w:val="24"/>
        </w:rPr>
        <w:t xml:space="preserve"> </w:t>
      </w:r>
      <w:r w:rsidR="006C3B1E" w:rsidRPr="009528A8">
        <w:rPr>
          <w:rFonts w:eastAsia="Arial"/>
          <w:szCs w:val="24"/>
        </w:rPr>
        <w:t>and testified</w:t>
      </w:r>
      <w:r w:rsidRPr="009528A8">
        <w:rPr>
          <w:rFonts w:eastAsia="Arial"/>
          <w:szCs w:val="24"/>
        </w:rPr>
        <w:t xml:space="preserve"> that she clearly identified the Applicant who was her neighbour and well known to her.</w:t>
      </w:r>
      <w:r w:rsidR="00F24F07" w:rsidRPr="009528A8">
        <w:rPr>
          <w:rStyle w:val="FootnoteReference"/>
          <w:rFonts w:ascii="Arial" w:eastAsia="Arial" w:hAnsi="Arial" w:cs="Arial"/>
          <w:sz w:val="24"/>
          <w:szCs w:val="24"/>
        </w:rPr>
        <w:footnoteReference w:id="28"/>
      </w:r>
      <w:r w:rsidRPr="009528A8">
        <w:rPr>
          <w:rFonts w:eastAsia="Arial"/>
          <w:szCs w:val="24"/>
        </w:rPr>
        <w:t xml:space="preserve"> </w:t>
      </w:r>
      <w:r w:rsidR="00F24F07" w:rsidRPr="009528A8">
        <w:rPr>
          <w:rFonts w:eastAsia="Arial"/>
          <w:szCs w:val="24"/>
        </w:rPr>
        <w:t>Further, a</w:t>
      </w:r>
      <w:r w:rsidR="005A0D64" w:rsidRPr="009528A8">
        <w:rPr>
          <w:rFonts w:eastAsia="Arial"/>
          <w:szCs w:val="24"/>
        </w:rPr>
        <w:t xml:space="preserve">ccording to the record before the Court, </w:t>
      </w:r>
      <w:r w:rsidR="005651BE" w:rsidRPr="009528A8">
        <w:rPr>
          <w:rFonts w:eastAsia="Arial"/>
          <w:szCs w:val="24"/>
        </w:rPr>
        <w:t>PW</w:t>
      </w:r>
      <w:r w:rsidRPr="009528A8">
        <w:rPr>
          <w:rFonts w:eastAsia="Arial"/>
          <w:szCs w:val="24"/>
        </w:rPr>
        <w:t>1 named the Applicant at the earliest possible time to her friend</w:t>
      </w:r>
      <w:r w:rsidR="00EF5B11" w:rsidRPr="009528A8">
        <w:rPr>
          <w:rFonts w:eastAsia="Arial"/>
          <w:szCs w:val="24"/>
        </w:rPr>
        <w:t>,</w:t>
      </w:r>
      <w:r w:rsidRPr="009528A8">
        <w:rPr>
          <w:rFonts w:eastAsia="Arial"/>
          <w:szCs w:val="24"/>
        </w:rPr>
        <w:t xml:space="preserve"> PW2 and to the police. </w:t>
      </w:r>
    </w:p>
    <w:p w14:paraId="6E749921" w14:textId="77777777" w:rsidR="00EF5B11" w:rsidRPr="009528A8" w:rsidRDefault="00EF5B11" w:rsidP="002634E9"/>
    <w:p w14:paraId="4402B927" w14:textId="3B9D38AF" w:rsidR="008F0C1E" w:rsidRPr="009528A8" w:rsidRDefault="00320C2A" w:rsidP="002634E9">
      <w:pPr>
        <w:rPr>
          <w:rFonts w:eastAsia="Arial"/>
          <w:szCs w:val="24"/>
        </w:rPr>
      </w:pPr>
      <w:r w:rsidRPr="009528A8">
        <w:rPr>
          <w:rFonts w:eastAsia="Arial"/>
          <w:szCs w:val="24"/>
        </w:rPr>
        <w:t>It follows from the foregoing that t</w:t>
      </w:r>
      <w:r w:rsidR="005C37D5" w:rsidRPr="009528A8">
        <w:rPr>
          <w:rFonts w:eastAsia="Arial"/>
          <w:szCs w:val="24"/>
        </w:rPr>
        <w:t xml:space="preserve">he </w:t>
      </w:r>
      <w:r w:rsidRPr="009528A8">
        <w:rPr>
          <w:rFonts w:eastAsia="Arial"/>
          <w:szCs w:val="24"/>
        </w:rPr>
        <w:t xml:space="preserve">domestic </w:t>
      </w:r>
      <w:r w:rsidR="005C37D5" w:rsidRPr="009528A8">
        <w:rPr>
          <w:rFonts w:eastAsia="Arial"/>
          <w:szCs w:val="24"/>
        </w:rPr>
        <w:t xml:space="preserve">courts assessed the circumstances in which </w:t>
      </w:r>
      <w:r w:rsidR="005C37D5" w:rsidRPr="009528A8">
        <w:rPr>
          <w:szCs w:val="24"/>
          <w:lang w:val="en-ZA"/>
        </w:rPr>
        <w:t>the</w:t>
      </w:r>
      <w:r w:rsidR="005C37D5" w:rsidRPr="009528A8">
        <w:rPr>
          <w:rFonts w:eastAsia="Arial"/>
          <w:szCs w:val="24"/>
        </w:rPr>
        <w:t xml:space="preserve"> crime was committed, to eliminate possible mistaken identity and they found that the Applicant was positively identified as having committed the crime.</w:t>
      </w:r>
    </w:p>
    <w:p w14:paraId="34771513" w14:textId="77777777" w:rsidR="00FA4B06" w:rsidRPr="009528A8" w:rsidRDefault="00FA4B06" w:rsidP="002634E9">
      <w:pPr>
        <w:rPr>
          <w:rFonts w:eastAsia="Arial"/>
          <w:szCs w:val="24"/>
        </w:rPr>
      </w:pPr>
    </w:p>
    <w:p w14:paraId="617A03ED" w14:textId="2768AE24" w:rsidR="00FA4B06" w:rsidRPr="009528A8" w:rsidRDefault="00FA4B06" w:rsidP="002634E9">
      <w:pPr>
        <w:rPr>
          <w:rFonts w:eastAsia="Arial"/>
          <w:szCs w:val="24"/>
        </w:rPr>
      </w:pPr>
      <w:r w:rsidRPr="009528A8">
        <w:rPr>
          <w:rFonts w:eastAsia="Arial"/>
          <w:szCs w:val="24"/>
        </w:rPr>
        <w:t xml:space="preserve">It is worth noting that in the present </w:t>
      </w:r>
      <w:r w:rsidR="000B7014" w:rsidRPr="009528A8">
        <w:rPr>
          <w:rFonts w:eastAsia="Arial"/>
          <w:szCs w:val="24"/>
        </w:rPr>
        <w:t>a</w:t>
      </w:r>
      <w:r w:rsidRPr="009528A8">
        <w:rPr>
          <w:rFonts w:eastAsia="Arial"/>
          <w:szCs w:val="24"/>
        </w:rPr>
        <w:t xml:space="preserve">pplication, </w:t>
      </w:r>
      <w:bookmarkStart w:id="48" w:name="_Hlk132589829"/>
      <w:r w:rsidRPr="009528A8">
        <w:rPr>
          <w:rFonts w:eastAsia="Arial"/>
          <w:szCs w:val="24"/>
        </w:rPr>
        <w:t xml:space="preserve">the Applicant has not provided evidence that any law or </w:t>
      </w:r>
      <w:r w:rsidRPr="009528A8">
        <w:rPr>
          <w:szCs w:val="24"/>
          <w:lang w:val="en-ZA"/>
        </w:rPr>
        <w:t>statute</w:t>
      </w:r>
      <w:r w:rsidRPr="009528A8">
        <w:rPr>
          <w:rFonts w:eastAsia="Arial"/>
          <w:szCs w:val="24"/>
        </w:rPr>
        <w:t xml:space="preserve"> applied in the proceedings </w:t>
      </w:r>
      <w:bookmarkStart w:id="49" w:name="_Hlk132589364"/>
      <w:r w:rsidRPr="009528A8">
        <w:rPr>
          <w:rFonts w:eastAsia="Arial"/>
          <w:szCs w:val="24"/>
        </w:rPr>
        <w:t>involving him runs counter to the right to non-discrimination, equality before the law and equal protection of the law</w:t>
      </w:r>
      <w:bookmarkEnd w:id="49"/>
      <w:r w:rsidRPr="009528A8">
        <w:rPr>
          <w:rFonts w:eastAsia="Arial"/>
          <w:szCs w:val="24"/>
        </w:rPr>
        <w:t>.</w:t>
      </w:r>
      <w:r w:rsidRPr="009528A8">
        <w:rPr>
          <w:szCs w:val="24"/>
        </w:rPr>
        <w:t xml:space="preserve"> </w:t>
      </w:r>
      <w:bookmarkEnd w:id="48"/>
      <w:r w:rsidRPr="009528A8">
        <w:rPr>
          <w:szCs w:val="24"/>
        </w:rPr>
        <w:t>Further, the Applicant has not shown that he was treated differently as compared to other persons who were in a situation similar to his.</w:t>
      </w:r>
      <w:r w:rsidRPr="009528A8">
        <w:rPr>
          <w:rFonts w:eastAsia="Arial"/>
          <w:szCs w:val="24"/>
        </w:rPr>
        <w:t xml:space="preserve"> The Court also notes, from the record, that there is no evidence to the effect that domestic proceedings were conducted based on any law or statute, </w:t>
      </w:r>
      <w:bookmarkStart w:id="50" w:name="_Hlk132589534"/>
      <w:r w:rsidRPr="009528A8">
        <w:rPr>
          <w:rFonts w:eastAsia="Arial"/>
          <w:szCs w:val="24"/>
        </w:rPr>
        <w:t xml:space="preserve">which includes different provisions in respect of the Applicant as opposed to other litigants regarding the </w:t>
      </w:r>
      <w:bookmarkEnd w:id="50"/>
      <w:r w:rsidRPr="009528A8">
        <w:rPr>
          <w:rFonts w:eastAsia="Arial"/>
          <w:szCs w:val="24"/>
        </w:rPr>
        <w:t>right to</w:t>
      </w:r>
      <w:r w:rsidR="005651BE" w:rsidRPr="009528A8">
        <w:rPr>
          <w:rFonts w:eastAsia="Arial"/>
          <w:szCs w:val="24"/>
        </w:rPr>
        <w:t xml:space="preserve"> have his cause heard.</w:t>
      </w:r>
      <w:r w:rsidR="00E857F7" w:rsidRPr="009528A8">
        <w:rPr>
          <w:rFonts w:eastAsia="Arial"/>
          <w:szCs w:val="24"/>
        </w:rPr>
        <w:t xml:space="preserve"> </w:t>
      </w:r>
    </w:p>
    <w:p w14:paraId="7D626D29" w14:textId="77777777" w:rsidR="008F0C1E" w:rsidRPr="009528A8" w:rsidRDefault="008F0C1E" w:rsidP="002634E9">
      <w:pPr>
        <w:rPr>
          <w:rFonts w:eastAsia="Arial"/>
          <w:szCs w:val="24"/>
        </w:rPr>
      </w:pPr>
    </w:p>
    <w:p w14:paraId="4071B1B1" w14:textId="40DCBDB4" w:rsidR="00C73DBE" w:rsidRPr="009528A8" w:rsidRDefault="00EF5B11" w:rsidP="002634E9">
      <w:pPr>
        <w:rPr>
          <w:rFonts w:eastAsia="Arial"/>
          <w:bCs/>
          <w:szCs w:val="24"/>
        </w:rPr>
      </w:pPr>
      <w:bookmarkStart w:id="51" w:name="_Hlk133164068"/>
      <w:r w:rsidRPr="009528A8">
        <w:rPr>
          <w:rFonts w:eastAsia="Arial"/>
          <w:szCs w:val="24"/>
        </w:rPr>
        <w:t>In light of the foregoing, the Court dismisses the Applicant</w:t>
      </w:r>
      <w:r w:rsidR="00E857F7" w:rsidRPr="009528A8">
        <w:rPr>
          <w:rFonts w:eastAsia="Arial"/>
          <w:szCs w:val="24"/>
        </w:rPr>
        <w:t>’</w:t>
      </w:r>
      <w:r w:rsidR="0039696F" w:rsidRPr="009528A8">
        <w:rPr>
          <w:rFonts w:eastAsia="Arial"/>
          <w:szCs w:val="24"/>
        </w:rPr>
        <w:t>s</w:t>
      </w:r>
      <w:r w:rsidRPr="009528A8">
        <w:rPr>
          <w:rFonts w:eastAsia="Arial"/>
          <w:szCs w:val="24"/>
        </w:rPr>
        <w:t xml:space="preserve"> allegation</w:t>
      </w:r>
      <w:r w:rsidR="002563B7" w:rsidRPr="009528A8">
        <w:rPr>
          <w:rFonts w:eastAsia="Arial"/>
          <w:szCs w:val="24"/>
        </w:rPr>
        <w:t>s</w:t>
      </w:r>
      <w:r w:rsidRPr="009528A8">
        <w:rPr>
          <w:rFonts w:eastAsia="Arial"/>
          <w:szCs w:val="24"/>
        </w:rPr>
        <w:t xml:space="preserve"> that </w:t>
      </w:r>
      <w:r w:rsidR="008D7C5B" w:rsidRPr="009528A8">
        <w:rPr>
          <w:rFonts w:eastAsia="Arial"/>
          <w:szCs w:val="24"/>
        </w:rPr>
        <w:t>he was not properly identified</w:t>
      </w:r>
      <w:r w:rsidR="002563B7" w:rsidRPr="009528A8">
        <w:rPr>
          <w:rFonts w:eastAsia="Arial"/>
          <w:szCs w:val="24"/>
        </w:rPr>
        <w:t xml:space="preserve"> and that he was subjected to discrimination and unequal treatment in the </w:t>
      </w:r>
      <w:r w:rsidR="002563B7" w:rsidRPr="009528A8">
        <w:rPr>
          <w:szCs w:val="24"/>
          <w:lang w:val="en-ZA"/>
        </w:rPr>
        <w:t>proceedings</w:t>
      </w:r>
      <w:r w:rsidR="002563B7" w:rsidRPr="009528A8">
        <w:rPr>
          <w:rFonts w:eastAsia="Arial"/>
          <w:szCs w:val="24"/>
        </w:rPr>
        <w:t xml:space="preserve"> before domestic courts</w:t>
      </w:r>
      <w:r w:rsidR="008D7C5B" w:rsidRPr="009528A8">
        <w:rPr>
          <w:rFonts w:eastAsia="Arial"/>
          <w:szCs w:val="24"/>
        </w:rPr>
        <w:t>. The Court</w:t>
      </w:r>
      <w:r w:rsidR="00C61F8F" w:rsidRPr="009528A8">
        <w:rPr>
          <w:rFonts w:eastAsia="Arial"/>
          <w:szCs w:val="24"/>
        </w:rPr>
        <w:t>,</w:t>
      </w:r>
      <w:r w:rsidR="008D7C5B" w:rsidRPr="009528A8">
        <w:rPr>
          <w:rFonts w:eastAsia="Arial"/>
          <w:szCs w:val="24"/>
        </w:rPr>
        <w:t xml:space="preserve"> </w:t>
      </w:r>
      <w:r w:rsidR="006C5D23" w:rsidRPr="009528A8">
        <w:rPr>
          <w:rFonts w:eastAsia="Arial"/>
          <w:szCs w:val="24"/>
        </w:rPr>
        <w:t>therefore</w:t>
      </w:r>
      <w:r w:rsidR="00C61F8F" w:rsidRPr="009528A8">
        <w:rPr>
          <w:rFonts w:eastAsia="Arial"/>
          <w:szCs w:val="24"/>
        </w:rPr>
        <w:t>,</w:t>
      </w:r>
      <w:r w:rsidR="006C5D23" w:rsidRPr="009528A8">
        <w:rPr>
          <w:rFonts w:eastAsia="Arial"/>
          <w:szCs w:val="24"/>
        </w:rPr>
        <w:t xml:space="preserve"> </w:t>
      </w:r>
      <w:r w:rsidR="008D7C5B" w:rsidRPr="009528A8">
        <w:rPr>
          <w:rFonts w:eastAsia="Arial"/>
          <w:szCs w:val="24"/>
        </w:rPr>
        <w:t xml:space="preserve">finds that </w:t>
      </w:r>
      <w:r w:rsidRPr="009528A8">
        <w:rPr>
          <w:rFonts w:eastAsia="Arial"/>
          <w:szCs w:val="24"/>
        </w:rPr>
        <w:t xml:space="preserve">the Respondent State </w:t>
      </w:r>
      <w:r w:rsidR="008D7C5B" w:rsidRPr="009528A8">
        <w:rPr>
          <w:rFonts w:eastAsia="Arial"/>
          <w:szCs w:val="24"/>
        </w:rPr>
        <w:t xml:space="preserve">did not violate Articles </w:t>
      </w:r>
      <w:r w:rsidRPr="009528A8">
        <w:rPr>
          <w:rFonts w:eastAsia="Arial"/>
          <w:szCs w:val="24"/>
        </w:rPr>
        <w:t>2, 3 and 7(1) of the Charter</w:t>
      </w:r>
      <w:r w:rsidR="00454A76" w:rsidRPr="009528A8">
        <w:rPr>
          <w:rFonts w:eastAsia="Arial"/>
          <w:szCs w:val="24"/>
        </w:rPr>
        <w:t xml:space="preserve"> read jointly in respect of the Applicant’s identification</w:t>
      </w:r>
      <w:r w:rsidR="008D7C5B" w:rsidRPr="009528A8">
        <w:rPr>
          <w:rFonts w:eastAsia="Arial"/>
          <w:szCs w:val="24"/>
        </w:rPr>
        <w:t>.</w:t>
      </w:r>
      <w:r w:rsidRPr="009528A8">
        <w:rPr>
          <w:rFonts w:eastAsia="Arial"/>
          <w:szCs w:val="24"/>
        </w:rPr>
        <w:t xml:space="preserve"> </w:t>
      </w:r>
    </w:p>
    <w:p w14:paraId="76C02A43" w14:textId="19A267A8" w:rsidR="00A3644D" w:rsidRPr="009528A8" w:rsidRDefault="00A3644D" w:rsidP="002634E9">
      <w:pPr>
        <w:rPr>
          <w:rFonts w:eastAsia="Arial"/>
          <w:bCs/>
          <w:szCs w:val="24"/>
        </w:rPr>
      </w:pPr>
      <w:r w:rsidRPr="009528A8">
        <w:rPr>
          <w:rFonts w:eastAsia="Arial"/>
          <w:bCs/>
          <w:szCs w:val="24"/>
        </w:rPr>
        <w:lastRenderedPageBreak/>
        <w:br w:type="page"/>
      </w:r>
    </w:p>
    <w:p w14:paraId="55FB9302" w14:textId="5435DA81" w:rsidR="00C73DBE" w:rsidRPr="009528A8" w:rsidRDefault="00C73DBE" w:rsidP="002634E9">
      <w:pPr>
        <w:rPr>
          <w:bCs/>
        </w:rPr>
      </w:pPr>
      <w:bookmarkStart w:id="52" w:name="_Toc143594944"/>
      <w:bookmarkEnd w:id="51"/>
      <w:r w:rsidRPr="009528A8">
        <w:rPr>
          <w:bCs/>
        </w:rPr>
        <w:lastRenderedPageBreak/>
        <w:t xml:space="preserve">Allegation that the </w:t>
      </w:r>
      <w:r w:rsidR="00320C2A" w:rsidRPr="009528A8">
        <w:rPr>
          <w:bCs/>
        </w:rPr>
        <w:t>Applicant</w:t>
      </w:r>
      <w:r w:rsidR="00E857F7" w:rsidRPr="009528A8">
        <w:rPr>
          <w:bCs/>
        </w:rPr>
        <w:t>’</w:t>
      </w:r>
      <w:r w:rsidR="00320C2A" w:rsidRPr="009528A8">
        <w:rPr>
          <w:bCs/>
        </w:rPr>
        <w:t xml:space="preserve">s conviction was </w:t>
      </w:r>
      <w:r w:rsidRPr="009528A8">
        <w:rPr>
          <w:bCs/>
        </w:rPr>
        <w:t>against the weight of the evidence on record</w:t>
      </w:r>
      <w:bookmarkEnd w:id="52"/>
    </w:p>
    <w:p w14:paraId="4EC6A02B" w14:textId="77777777" w:rsidR="00134D0E" w:rsidRPr="009528A8" w:rsidRDefault="00134D0E" w:rsidP="002634E9">
      <w:pPr>
        <w:rPr>
          <w:rFonts w:eastAsia="Arial"/>
          <w:szCs w:val="24"/>
        </w:rPr>
      </w:pPr>
    </w:p>
    <w:p w14:paraId="3099C0FD" w14:textId="4E65AB46" w:rsidR="00134D0E" w:rsidRPr="009528A8" w:rsidRDefault="00320C2A" w:rsidP="002634E9">
      <w:pPr>
        <w:rPr>
          <w:rFonts w:eastAsia="Arial"/>
          <w:szCs w:val="24"/>
        </w:rPr>
      </w:pPr>
      <w:r w:rsidRPr="009528A8">
        <w:rPr>
          <w:rFonts w:eastAsia="Arial"/>
          <w:szCs w:val="24"/>
        </w:rPr>
        <w:t>T</w:t>
      </w:r>
      <w:r w:rsidR="00C073B9" w:rsidRPr="009528A8">
        <w:rPr>
          <w:rFonts w:eastAsia="Arial"/>
          <w:szCs w:val="24"/>
        </w:rPr>
        <w:t xml:space="preserve">he </w:t>
      </w:r>
      <w:r w:rsidR="00F801CF" w:rsidRPr="009528A8">
        <w:rPr>
          <w:rFonts w:eastAsia="Arial"/>
          <w:szCs w:val="24"/>
        </w:rPr>
        <w:t xml:space="preserve">Applicant alleges </w:t>
      </w:r>
      <w:r w:rsidR="00F801CF" w:rsidRPr="009528A8">
        <w:rPr>
          <w:szCs w:val="24"/>
          <w:lang w:val="en-ZA"/>
        </w:rPr>
        <w:t>that</w:t>
      </w:r>
      <w:r w:rsidR="00F801CF" w:rsidRPr="009528A8">
        <w:rPr>
          <w:rFonts w:eastAsia="Arial"/>
          <w:szCs w:val="24"/>
        </w:rPr>
        <w:t xml:space="preserve"> the </w:t>
      </w:r>
      <w:r w:rsidRPr="009528A8">
        <w:rPr>
          <w:rFonts w:eastAsia="Arial"/>
          <w:szCs w:val="24"/>
        </w:rPr>
        <w:t xml:space="preserve">domestic </w:t>
      </w:r>
      <w:r w:rsidR="00F801CF" w:rsidRPr="009528A8">
        <w:rPr>
          <w:rFonts w:eastAsia="Arial"/>
          <w:szCs w:val="24"/>
        </w:rPr>
        <w:t xml:space="preserve">courts relied upon </w:t>
      </w:r>
      <w:r w:rsidR="00C073B9" w:rsidRPr="009528A8">
        <w:rPr>
          <w:rFonts w:eastAsia="Arial"/>
          <w:szCs w:val="24"/>
        </w:rPr>
        <w:t xml:space="preserve">fabricated, contradictory, inadequate and devoid prosecution evidence to uphold his conviction. He avers that the domestic courts ignored crucial facts </w:t>
      </w:r>
      <w:r w:rsidR="00B50557" w:rsidRPr="009528A8">
        <w:rPr>
          <w:rFonts w:eastAsia="Arial"/>
          <w:szCs w:val="24"/>
        </w:rPr>
        <w:t>including that</w:t>
      </w:r>
      <w:r w:rsidR="00513901" w:rsidRPr="009528A8">
        <w:rPr>
          <w:rFonts w:eastAsia="Arial"/>
          <w:szCs w:val="24"/>
        </w:rPr>
        <w:t xml:space="preserve"> he was not found with any </w:t>
      </w:r>
      <w:bookmarkStart w:id="53" w:name="_Hlk133163509"/>
      <w:r w:rsidR="00513901" w:rsidRPr="009528A8">
        <w:rPr>
          <w:rFonts w:eastAsia="Arial"/>
          <w:szCs w:val="24"/>
        </w:rPr>
        <w:t>stolen items</w:t>
      </w:r>
      <w:r w:rsidR="00B50557" w:rsidRPr="009528A8">
        <w:rPr>
          <w:rFonts w:eastAsia="Arial"/>
          <w:szCs w:val="24"/>
        </w:rPr>
        <w:t xml:space="preserve">; </w:t>
      </w:r>
      <w:r w:rsidR="00513901" w:rsidRPr="009528A8">
        <w:rPr>
          <w:rFonts w:eastAsia="Arial"/>
          <w:szCs w:val="24"/>
        </w:rPr>
        <w:t>the prosecution failed to bring a witness to give corroborative evidence</w:t>
      </w:r>
      <w:r w:rsidR="00B50557" w:rsidRPr="009528A8">
        <w:rPr>
          <w:rFonts w:eastAsia="Arial"/>
          <w:szCs w:val="24"/>
        </w:rPr>
        <w:t xml:space="preserve">; </w:t>
      </w:r>
      <w:r w:rsidR="00513901" w:rsidRPr="009528A8">
        <w:rPr>
          <w:rFonts w:eastAsia="Arial"/>
          <w:szCs w:val="24"/>
        </w:rPr>
        <w:t>PW4 gave hearsay evidence when cross examined</w:t>
      </w:r>
      <w:r w:rsidR="00B50557" w:rsidRPr="009528A8">
        <w:rPr>
          <w:rFonts w:eastAsia="Arial"/>
          <w:szCs w:val="24"/>
        </w:rPr>
        <w:t xml:space="preserve">; </w:t>
      </w:r>
      <w:r w:rsidR="00274D12" w:rsidRPr="009528A8">
        <w:rPr>
          <w:rFonts w:eastAsia="Arial"/>
          <w:szCs w:val="24"/>
        </w:rPr>
        <w:t xml:space="preserve">and that </w:t>
      </w:r>
      <w:r w:rsidR="00513901" w:rsidRPr="009528A8">
        <w:rPr>
          <w:rFonts w:eastAsia="Arial"/>
          <w:szCs w:val="24"/>
        </w:rPr>
        <w:t>evidence of PW4 contradict</w:t>
      </w:r>
      <w:r w:rsidR="00B50557" w:rsidRPr="009528A8">
        <w:rPr>
          <w:rFonts w:eastAsia="Arial"/>
          <w:szCs w:val="24"/>
        </w:rPr>
        <w:t>ed</w:t>
      </w:r>
      <w:r w:rsidR="00513901" w:rsidRPr="009528A8">
        <w:rPr>
          <w:rFonts w:eastAsia="Arial"/>
          <w:szCs w:val="24"/>
        </w:rPr>
        <w:t xml:space="preserve"> evidence of PW3</w:t>
      </w:r>
      <w:r w:rsidR="00274D12" w:rsidRPr="009528A8">
        <w:rPr>
          <w:rFonts w:eastAsia="Arial"/>
          <w:szCs w:val="24"/>
        </w:rPr>
        <w:t>.</w:t>
      </w:r>
      <w:r w:rsidR="00513901" w:rsidRPr="009528A8">
        <w:rPr>
          <w:rFonts w:eastAsia="Arial"/>
          <w:szCs w:val="24"/>
        </w:rPr>
        <w:t xml:space="preserve"> </w:t>
      </w:r>
      <w:bookmarkEnd w:id="53"/>
    </w:p>
    <w:p w14:paraId="368AD889" w14:textId="77777777" w:rsidR="00193183" w:rsidRPr="009528A8" w:rsidRDefault="00193183" w:rsidP="002634E9">
      <w:pPr>
        <w:rPr>
          <w:rFonts w:eastAsia="Arial"/>
          <w:szCs w:val="24"/>
          <w:lang w:val="en-ZA"/>
        </w:rPr>
      </w:pPr>
    </w:p>
    <w:p w14:paraId="1C0A1DC5" w14:textId="322BCD0A" w:rsidR="006E3A53" w:rsidRPr="009528A8" w:rsidRDefault="00C93A44" w:rsidP="002634E9">
      <w:pPr>
        <w:rPr>
          <w:rFonts w:eastAsia="Arial"/>
          <w:szCs w:val="24"/>
        </w:rPr>
      </w:pPr>
      <w:r w:rsidRPr="009528A8">
        <w:rPr>
          <w:rFonts w:eastAsia="Arial"/>
          <w:szCs w:val="24"/>
        </w:rPr>
        <w:t xml:space="preserve">The Respondent State submits that </w:t>
      </w:r>
      <w:r w:rsidR="00193183" w:rsidRPr="009528A8">
        <w:rPr>
          <w:rFonts w:eastAsia="Arial"/>
          <w:szCs w:val="24"/>
        </w:rPr>
        <w:t>the Applicant</w:t>
      </w:r>
      <w:r w:rsidR="00E857F7" w:rsidRPr="009528A8">
        <w:rPr>
          <w:rFonts w:eastAsia="Arial"/>
          <w:szCs w:val="24"/>
        </w:rPr>
        <w:t>’</w:t>
      </w:r>
      <w:r w:rsidR="00193183" w:rsidRPr="009528A8">
        <w:rPr>
          <w:rFonts w:eastAsia="Arial"/>
          <w:szCs w:val="24"/>
        </w:rPr>
        <w:t>s allegation in this regard has no merit</w:t>
      </w:r>
      <w:r w:rsidR="00FF7DA2" w:rsidRPr="009528A8">
        <w:rPr>
          <w:rFonts w:eastAsia="Arial"/>
          <w:szCs w:val="24"/>
        </w:rPr>
        <w:t xml:space="preserve">; and </w:t>
      </w:r>
      <w:r w:rsidR="00193183" w:rsidRPr="009528A8">
        <w:rPr>
          <w:rFonts w:eastAsia="Arial"/>
          <w:szCs w:val="24"/>
        </w:rPr>
        <w:t xml:space="preserve">avers that the conviction of the </w:t>
      </w:r>
      <w:r w:rsidR="006E022A" w:rsidRPr="009528A8">
        <w:rPr>
          <w:rFonts w:eastAsia="Arial"/>
          <w:szCs w:val="24"/>
        </w:rPr>
        <w:t xml:space="preserve">Applicant </w:t>
      </w:r>
      <w:r w:rsidR="00193183" w:rsidRPr="009528A8">
        <w:rPr>
          <w:rFonts w:eastAsia="Arial"/>
          <w:szCs w:val="24"/>
        </w:rPr>
        <w:t xml:space="preserve">was based on the evidence of identification </w:t>
      </w:r>
      <w:r w:rsidR="00193183" w:rsidRPr="009528A8">
        <w:rPr>
          <w:szCs w:val="24"/>
          <w:lang w:val="en-ZA"/>
        </w:rPr>
        <w:t>and</w:t>
      </w:r>
      <w:r w:rsidR="00193183" w:rsidRPr="009528A8">
        <w:rPr>
          <w:rFonts w:eastAsia="Arial"/>
          <w:szCs w:val="24"/>
        </w:rPr>
        <w:t xml:space="preserve"> that it is clear from the evidence on the record that the App</w:t>
      </w:r>
      <w:r w:rsidR="006E022A" w:rsidRPr="009528A8">
        <w:rPr>
          <w:rFonts w:eastAsia="Arial"/>
          <w:szCs w:val="24"/>
        </w:rPr>
        <w:t>licant</w:t>
      </w:r>
      <w:r w:rsidR="00193183" w:rsidRPr="009528A8">
        <w:rPr>
          <w:rFonts w:eastAsia="Arial"/>
          <w:szCs w:val="24"/>
        </w:rPr>
        <w:t xml:space="preserve"> was properly identified. </w:t>
      </w:r>
      <w:r w:rsidR="00FF7DA2" w:rsidRPr="009528A8">
        <w:rPr>
          <w:rFonts w:eastAsia="Arial"/>
          <w:szCs w:val="24"/>
        </w:rPr>
        <w:t>It is also t</w:t>
      </w:r>
      <w:r w:rsidR="00AA1655" w:rsidRPr="009528A8">
        <w:rPr>
          <w:rFonts w:eastAsia="Arial"/>
          <w:szCs w:val="24"/>
        </w:rPr>
        <w:t>he Respondent State</w:t>
      </w:r>
      <w:r w:rsidR="00E857F7" w:rsidRPr="009528A8">
        <w:rPr>
          <w:rFonts w:eastAsia="Arial"/>
          <w:szCs w:val="24"/>
        </w:rPr>
        <w:t>’</w:t>
      </w:r>
      <w:r w:rsidR="00FF7DA2" w:rsidRPr="009528A8">
        <w:rPr>
          <w:rFonts w:eastAsia="Arial"/>
          <w:szCs w:val="24"/>
        </w:rPr>
        <w:t xml:space="preserve">s contention </w:t>
      </w:r>
      <w:r w:rsidR="00AA1655" w:rsidRPr="009528A8">
        <w:rPr>
          <w:rFonts w:eastAsia="Arial"/>
          <w:szCs w:val="24"/>
        </w:rPr>
        <w:t>that the Court of Appeal assessed all matter</w:t>
      </w:r>
      <w:r w:rsidR="00320C2A" w:rsidRPr="009528A8">
        <w:rPr>
          <w:rFonts w:eastAsia="Arial"/>
          <w:szCs w:val="24"/>
        </w:rPr>
        <w:t>s</w:t>
      </w:r>
      <w:r w:rsidR="00AA1655" w:rsidRPr="009528A8">
        <w:rPr>
          <w:rFonts w:eastAsia="Arial"/>
          <w:szCs w:val="24"/>
        </w:rPr>
        <w:t xml:space="preserve"> </w:t>
      </w:r>
      <w:r w:rsidR="00320C2A" w:rsidRPr="009528A8">
        <w:rPr>
          <w:rFonts w:eastAsia="Arial"/>
          <w:szCs w:val="24"/>
        </w:rPr>
        <w:t xml:space="preserve">of </w:t>
      </w:r>
      <w:r w:rsidR="00AA1655" w:rsidRPr="009528A8">
        <w:rPr>
          <w:rFonts w:eastAsia="Arial"/>
          <w:szCs w:val="24"/>
        </w:rPr>
        <w:t xml:space="preserve">fact </w:t>
      </w:r>
      <w:r w:rsidR="00320C2A" w:rsidRPr="009528A8">
        <w:rPr>
          <w:rFonts w:eastAsia="Arial"/>
          <w:szCs w:val="24"/>
        </w:rPr>
        <w:t xml:space="preserve">and </w:t>
      </w:r>
      <w:r w:rsidR="008D7C5B" w:rsidRPr="009528A8">
        <w:rPr>
          <w:rFonts w:eastAsia="Arial"/>
          <w:szCs w:val="24"/>
        </w:rPr>
        <w:t>law and</w:t>
      </w:r>
      <w:r w:rsidR="00AA1655" w:rsidRPr="009528A8">
        <w:rPr>
          <w:rFonts w:eastAsia="Arial"/>
          <w:szCs w:val="24"/>
        </w:rPr>
        <w:t xml:space="preserve"> </w:t>
      </w:r>
      <w:r w:rsidR="00320C2A" w:rsidRPr="009528A8">
        <w:rPr>
          <w:rFonts w:eastAsia="Arial"/>
          <w:szCs w:val="24"/>
        </w:rPr>
        <w:t xml:space="preserve">dismissed the </w:t>
      </w:r>
      <w:r w:rsidR="00AA1655" w:rsidRPr="009528A8">
        <w:rPr>
          <w:rFonts w:eastAsia="Arial"/>
          <w:szCs w:val="24"/>
        </w:rPr>
        <w:t>Applicant</w:t>
      </w:r>
      <w:r w:rsidR="00E857F7" w:rsidRPr="009528A8">
        <w:rPr>
          <w:rFonts w:eastAsia="Arial"/>
          <w:szCs w:val="24"/>
        </w:rPr>
        <w:t>’</w:t>
      </w:r>
      <w:r w:rsidR="00AA1655" w:rsidRPr="009528A8">
        <w:rPr>
          <w:rFonts w:eastAsia="Arial"/>
          <w:szCs w:val="24"/>
        </w:rPr>
        <w:t>s</w:t>
      </w:r>
      <w:r w:rsidR="00320C2A" w:rsidRPr="009528A8">
        <w:rPr>
          <w:rFonts w:eastAsia="Arial"/>
          <w:szCs w:val="24"/>
        </w:rPr>
        <w:t xml:space="preserve"> appeal </w:t>
      </w:r>
      <w:r w:rsidR="00FF7DA2" w:rsidRPr="009528A8">
        <w:rPr>
          <w:rFonts w:eastAsia="Arial"/>
          <w:szCs w:val="24"/>
        </w:rPr>
        <w:t xml:space="preserve">in its entirety </w:t>
      </w:r>
      <w:r w:rsidR="00320C2A" w:rsidRPr="009528A8">
        <w:rPr>
          <w:rFonts w:eastAsia="Arial"/>
          <w:szCs w:val="24"/>
        </w:rPr>
        <w:t xml:space="preserve">for lack of merit. </w:t>
      </w:r>
    </w:p>
    <w:p w14:paraId="7959C6A4" w14:textId="77777777" w:rsidR="00454A76" w:rsidRPr="009528A8" w:rsidRDefault="00454A76" w:rsidP="002634E9">
      <w:pPr>
        <w:rPr>
          <w:rFonts w:eastAsia="Arial"/>
          <w:szCs w:val="24"/>
        </w:rPr>
      </w:pPr>
    </w:p>
    <w:p w14:paraId="4B24DAB1" w14:textId="7162E0DF" w:rsidR="006E3A53" w:rsidRPr="009528A8" w:rsidRDefault="006E3A53" w:rsidP="002634E9">
      <w:pPr>
        <w:rPr>
          <w:rFonts w:eastAsia="Arial"/>
          <w:szCs w:val="24"/>
        </w:rPr>
      </w:pPr>
      <w:r w:rsidRPr="009528A8">
        <w:rPr>
          <w:rFonts w:eastAsia="Arial"/>
          <w:szCs w:val="24"/>
        </w:rPr>
        <w:t>***</w:t>
      </w:r>
    </w:p>
    <w:p w14:paraId="32807E89" w14:textId="77777777" w:rsidR="006E3A53" w:rsidRPr="009528A8" w:rsidRDefault="006E3A53" w:rsidP="002634E9">
      <w:pPr>
        <w:rPr>
          <w:rFonts w:eastAsia="Arial"/>
          <w:szCs w:val="24"/>
        </w:rPr>
      </w:pPr>
    </w:p>
    <w:p w14:paraId="6D2A4145" w14:textId="3CB00FFE" w:rsidR="00FC3CB7" w:rsidRPr="009528A8" w:rsidRDefault="00B41BF5" w:rsidP="002634E9">
      <w:pPr>
        <w:rPr>
          <w:rFonts w:eastAsia="Arial"/>
          <w:szCs w:val="24"/>
        </w:rPr>
      </w:pPr>
      <w:r w:rsidRPr="009528A8">
        <w:rPr>
          <w:rFonts w:eastAsia="Arial"/>
          <w:szCs w:val="24"/>
        </w:rPr>
        <w:t xml:space="preserve">The Court notes that while the </w:t>
      </w:r>
      <w:r w:rsidR="008E50B4" w:rsidRPr="009528A8">
        <w:rPr>
          <w:rFonts w:eastAsia="Arial"/>
          <w:szCs w:val="24"/>
        </w:rPr>
        <w:t xml:space="preserve">Applicant raises an issue relating to evidence </w:t>
      </w:r>
      <w:r w:rsidRPr="009528A8">
        <w:rPr>
          <w:rFonts w:eastAsia="Arial"/>
          <w:szCs w:val="24"/>
        </w:rPr>
        <w:t xml:space="preserve">in </w:t>
      </w:r>
      <w:r w:rsidR="00FF7DA2" w:rsidRPr="009528A8">
        <w:rPr>
          <w:rFonts w:eastAsia="Arial"/>
          <w:szCs w:val="24"/>
        </w:rPr>
        <w:t xml:space="preserve">the proceedings before </w:t>
      </w:r>
      <w:r w:rsidRPr="009528A8">
        <w:rPr>
          <w:rFonts w:eastAsia="Arial"/>
          <w:szCs w:val="24"/>
        </w:rPr>
        <w:t xml:space="preserve">domestic courts, </w:t>
      </w:r>
      <w:r w:rsidR="008E50B4" w:rsidRPr="009528A8">
        <w:rPr>
          <w:rFonts w:eastAsia="Arial"/>
          <w:szCs w:val="24"/>
        </w:rPr>
        <w:t>the basis of his</w:t>
      </w:r>
      <w:r w:rsidRPr="009528A8">
        <w:rPr>
          <w:rFonts w:eastAsia="Arial"/>
          <w:szCs w:val="24"/>
        </w:rPr>
        <w:t xml:space="preserve"> allegation is that the manner in which issues of evidence were examined led to a violation of his rights</w:t>
      </w:r>
      <w:r w:rsidR="00C71730" w:rsidRPr="009528A8">
        <w:rPr>
          <w:rFonts w:eastAsia="Arial"/>
          <w:szCs w:val="24"/>
        </w:rPr>
        <w:t xml:space="preserve"> to non-</w:t>
      </w:r>
      <w:r w:rsidR="00E0090B" w:rsidRPr="009528A8">
        <w:rPr>
          <w:rFonts w:eastAsia="Arial"/>
          <w:szCs w:val="24"/>
        </w:rPr>
        <w:t>discrimination, equality</w:t>
      </w:r>
      <w:r w:rsidRPr="009528A8">
        <w:rPr>
          <w:rFonts w:eastAsia="Arial"/>
          <w:szCs w:val="24"/>
        </w:rPr>
        <w:t xml:space="preserve"> before the law</w:t>
      </w:r>
      <w:r w:rsidR="00C71730" w:rsidRPr="009528A8">
        <w:rPr>
          <w:rFonts w:eastAsia="Arial"/>
          <w:szCs w:val="24"/>
        </w:rPr>
        <w:t xml:space="preserve">, </w:t>
      </w:r>
      <w:r w:rsidRPr="009528A8">
        <w:rPr>
          <w:rFonts w:eastAsia="Arial"/>
          <w:szCs w:val="24"/>
        </w:rPr>
        <w:t>equal protection of the law</w:t>
      </w:r>
      <w:r w:rsidR="00C71730" w:rsidRPr="009528A8">
        <w:rPr>
          <w:rFonts w:eastAsia="Arial"/>
          <w:szCs w:val="24"/>
        </w:rPr>
        <w:t xml:space="preserve"> and the right to </w:t>
      </w:r>
      <w:r w:rsidR="00EB1B11" w:rsidRPr="009528A8">
        <w:rPr>
          <w:rFonts w:eastAsia="Arial"/>
          <w:szCs w:val="24"/>
        </w:rPr>
        <w:t xml:space="preserve">have </w:t>
      </w:r>
      <w:r w:rsidR="00FF7DA2" w:rsidRPr="009528A8">
        <w:rPr>
          <w:rFonts w:eastAsia="Arial"/>
          <w:szCs w:val="24"/>
        </w:rPr>
        <w:t>one</w:t>
      </w:r>
      <w:r w:rsidR="00E857F7" w:rsidRPr="009528A8">
        <w:rPr>
          <w:rFonts w:eastAsia="Arial"/>
          <w:szCs w:val="24"/>
        </w:rPr>
        <w:t>’</w:t>
      </w:r>
      <w:r w:rsidR="00FF7DA2" w:rsidRPr="009528A8">
        <w:rPr>
          <w:rFonts w:eastAsia="Arial"/>
          <w:szCs w:val="24"/>
        </w:rPr>
        <w:t>s cause heard</w:t>
      </w:r>
      <w:r w:rsidR="00C71730" w:rsidRPr="009528A8">
        <w:rPr>
          <w:rFonts w:eastAsia="Arial"/>
          <w:szCs w:val="24"/>
        </w:rPr>
        <w:t xml:space="preserve">. </w:t>
      </w:r>
    </w:p>
    <w:p w14:paraId="166EDEC9" w14:textId="77777777" w:rsidR="00BA7F59" w:rsidRPr="009528A8" w:rsidRDefault="00BA7F59" w:rsidP="002634E9">
      <w:pPr>
        <w:rPr>
          <w:rFonts w:eastAsia="Arial"/>
          <w:szCs w:val="24"/>
        </w:rPr>
      </w:pPr>
    </w:p>
    <w:p w14:paraId="6F563384" w14:textId="6F8267F5" w:rsidR="000D5C50" w:rsidRPr="009528A8" w:rsidRDefault="000D5C50" w:rsidP="002634E9">
      <w:pPr>
        <w:rPr>
          <w:rFonts w:eastAsia="Arial"/>
          <w:szCs w:val="24"/>
        </w:rPr>
      </w:pPr>
      <w:r w:rsidRPr="009528A8">
        <w:rPr>
          <w:rFonts w:eastAsia="Arial"/>
          <w:szCs w:val="24"/>
        </w:rPr>
        <w:t xml:space="preserve">The Court </w:t>
      </w:r>
      <w:r w:rsidR="00BA7F59" w:rsidRPr="009528A8">
        <w:rPr>
          <w:rFonts w:eastAsia="Arial"/>
          <w:szCs w:val="24"/>
        </w:rPr>
        <w:t>r</w:t>
      </w:r>
      <w:r w:rsidRPr="009528A8">
        <w:rPr>
          <w:rFonts w:eastAsia="Arial"/>
          <w:szCs w:val="24"/>
        </w:rPr>
        <w:t xml:space="preserve">eiterates its position </w:t>
      </w:r>
      <w:r w:rsidR="00FC3CB7" w:rsidRPr="009528A8">
        <w:rPr>
          <w:rFonts w:eastAsia="Arial"/>
          <w:szCs w:val="24"/>
        </w:rPr>
        <w:t xml:space="preserve">as held </w:t>
      </w:r>
      <w:r w:rsidRPr="009528A8">
        <w:rPr>
          <w:rFonts w:eastAsia="Arial"/>
          <w:szCs w:val="24"/>
        </w:rPr>
        <w:t xml:space="preserve">in </w:t>
      </w:r>
      <w:r w:rsidRPr="009528A8">
        <w:rPr>
          <w:rFonts w:eastAsia="Arial"/>
          <w:i/>
          <w:iCs/>
          <w:szCs w:val="24"/>
        </w:rPr>
        <w:t>Kijiji Isiaga v</w:t>
      </w:r>
      <w:r w:rsidR="00FF7DA2" w:rsidRPr="009528A8">
        <w:rPr>
          <w:rFonts w:eastAsia="Arial"/>
          <w:i/>
          <w:iCs/>
          <w:szCs w:val="24"/>
        </w:rPr>
        <w:t>.</w:t>
      </w:r>
      <w:r w:rsidRPr="009528A8">
        <w:rPr>
          <w:rFonts w:eastAsia="Arial"/>
          <w:i/>
          <w:iCs/>
          <w:szCs w:val="24"/>
        </w:rPr>
        <w:t xml:space="preserve"> </w:t>
      </w:r>
      <w:r w:rsidR="00C94A25" w:rsidRPr="009528A8">
        <w:rPr>
          <w:rFonts w:eastAsia="Arial"/>
          <w:i/>
          <w:iCs/>
          <w:szCs w:val="24"/>
        </w:rPr>
        <w:t xml:space="preserve">United </w:t>
      </w:r>
      <w:r w:rsidR="009223BF" w:rsidRPr="009528A8">
        <w:rPr>
          <w:rFonts w:eastAsia="Arial"/>
          <w:i/>
          <w:iCs/>
          <w:szCs w:val="24"/>
        </w:rPr>
        <w:t xml:space="preserve">Republic of </w:t>
      </w:r>
      <w:r w:rsidRPr="009528A8">
        <w:rPr>
          <w:rFonts w:eastAsia="Arial"/>
          <w:i/>
          <w:iCs/>
          <w:szCs w:val="24"/>
        </w:rPr>
        <w:t>Tanzania</w:t>
      </w:r>
      <w:r w:rsidRPr="009528A8">
        <w:rPr>
          <w:rStyle w:val="FootnoteReference"/>
          <w:rFonts w:ascii="Arial" w:eastAsia="Arial" w:hAnsi="Arial" w:cs="Arial"/>
          <w:iCs/>
          <w:sz w:val="24"/>
          <w:szCs w:val="24"/>
        </w:rPr>
        <w:footnoteReference w:id="29"/>
      </w:r>
      <w:r w:rsidRPr="009528A8">
        <w:rPr>
          <w:rFonts w:eastAsia="Arial"/>
          <w:szCs w:val="24"/>
        </w:rPr>
        <w:t xml:space="preserve"> that:</w:t>
      </w:r>
    </w:p>
    <w:p w14:paraId="420C9BE0" w14:textId="77777777" w:rsidR="00FF7DA2" w:rsidRPr="009528A8" w:rsidRDefault="00FF7DA2" w:rsidP="002634E9">
      <w:pPr>
        <w:rPr>
          <w:rFonts w:eastAsia="Arial"/>
        </w:rPr>
      </w:pPr>
    </w:p>
    <w:p w14:paraId="053E6A3C" w14:textId="6D98373E" w:rsidR="00BA7F59" w:rsidRPr="009528A8" w:rsidRDefault="000D5C50" w:rsidP="002634E9">
      <w:pPr>
        <w:rPr>
          <w:rFonts w:eastAsia="Arial"/>
        </w:rPr>
      </w:pPr>
      <w:r w:rsidRPr="009528A8">
        <w:rPr>
          <w:rFonts w:eastAsia="Arial"/>
        </w:rPr>
        <w:t>…</w:t>
      </w:r>
      <w:r w:rsidR="00885F80" w:rsidRPr="009528A8">
        <w:rPr>
          <w:rFonts w:eastAsia="Arial"/>
        </w:rPr>
        <w:t xml:space="preserve"> </w:t>
      </w:r>
      <w:r w:rsidRPr="009528A8">
        <w:rPr>
          <w:rFonts w:eastAsia="Arial"/>
        </w:rPr>
        <w:t xml:space="preserve">domestic courts enjoy a wide margin of </w:t>
      </w:r>
      <w:r w:rsidR="00BC0125" w:rsidRPr="009528A8">
        <w:rPr>
          <w:rFonts w:eastAsia="Arial"/>
        </w:rPr>
        <w:t xml:space="preserve">appreciation </w:t>
      </w:r>
      <w:r w:rsidRPr="009528A8">
        <w:rPr>
          <w:rFonts w:eastAsia="Arial"/>
        </w:rPr>
        <w:t>in evaluating the probative value of a particular evidence. As an international human rights court, the Court cannot take up this role from the domestic courts and investigate the details and particularities of evidence used in domestic proceedings.</w:t>
      </w:r>
    </w:p>
    <w:p w14:paraId="0A4D91B0" w14:textId="17B08F21" w:rsidR="00BC0125" w:rsidRPr="009528A8" w:rsidRDefault="00FF7DA2" w:rsidP="002634E9">
      <w:pPr>
        <w:rPr>
          <w:rFonts w:eastAsia="Arial"/>
          <w:szCs w:val="24"/>
        </w:rPr>
      </w:pPr>
      <w:r w:rsidRPr="009528A8">
        <w:rPr>
          <w:rFonts w:eastAsia="Arial"/>
          <w:szCs w:val="24"/>
        </w:rPr>
        <w:t>Having noted that, t</w:t>
      </w:r>
      <w:r w:rsidR="008B7E0F" w:rsidRPr="009528A8">
        <w:rPr>
          <w:rFonts w:eastAsia="Arial"/>
          <w:szCs w:val="24"/>
        </w:rPr>
        <w:t>he</w:t>
      </w:r>
      <w:r w:rsidR="00BA7F59" w:rsidRPr="009528A8">
        <w:rPr>
          <w:rFonts w:eastAsia="Arial"/>
          <w:szCs w:val="24"/>
        </w:rPr>
        <w:t xml:space="preserve"> Court </w:t>
      </w:r>
      <w:r w:rsidR="008B7E0F" w:rsidRPr="009528A8">
        <w:rPr>
          <w:rFonts w:eastAsia="Arial"/>
          <w:szCs w:val="24"/>
        </w:rPr>
        <w:t xml:space="preserve">also </w:t>
      </w:r>
      <w:r w:rsidR="00BA7F59" w:rsidRPr="009528A8">
        <w:rPr>
          <w:rFonts w:eastAsia="Arial"/>
          <w:szCs w:val="24"/>
        </w:rPr>
        <w:t xml:space="preserve">restates its position in </w:t>
      </w:r>
      <w:r w:rsidRPr="009528A8">
        <w:rPr>
          <w:rFonts w:eastAsia="Arial"/>
          <w:i/>
          <w:szCs w:val="24"/>
        </w:rPr>
        <w:t xml:space="preserve">Kenedy </w:t>
      </w:r>
      <w:r w:rsidR="00BA7F59" w:rsidRPr="009528A8">
        <w:rPr>
          <w:rFonts w:eastAsia="Arial"/>
          <w:i/>
          <w:iCs/>
          <w:szCs w:val="24"/>
        </w:rPr>
        <w:t>Ivan v</w:t>
      </w:r>
      <w:r w:rsidRPr="009528A8">
        <w:rPr>
          <w:rFonts w:eastAsia="Arial"/>
          <w:i/>
          <w:iCs/>
          <w:szCs w:val="24"/>
        </w:rPr>
        <w:t>.</w:t>
      </w:r>
      <w:r w:rsidR="00BA7F59" w:rsidRPr="009528A8">
        <w:rPr>
          <w:rFonts w:eastAsia="Arial"/>
          <w:i/>
          <w:iCs/>
          <w:szCs w:val="24"/>
        </w:rPr>
        <w:t xml:space="preserve"> </w:t>
      </w:r>
      <w:r w:rsidR="009223BF" w:rsidRPr="009528A8">
        <w:rPr>
          <w:rFonts w:eastAsia="Arial"/>
          <w:i/>
          <w:iCs/>
          <w:szCs w:val="24"/>
        </w:rPr>
        <w:t xml:space="preserve">Republic of </w:t>
      </w:r>
      <w:r w:rsidR="00BA7F59" w:rsidRPr="009528A8">
        <w:rPr>
          <w:rFonts w:eastAsia="Arial"/>
          <w:i/>
          <w:iCs/>
          <w:szCs w:val="24"/>
        </w:rPr>
        <w:t>Tanzania</w:t>
      </w:r>
      <w:r w:rsidR="00BA7F59" w:rsidRPr="009528A8">
        <w:rPr>
          <w:rFonts w:eastAsia="Arial"/>
          <w:szCs w:val="24"/>
        </w:rPr>
        <w:t xml:space="preserve"> that while it </w:t>
      </w:r>
      <w:r w:rsidR="00BA7F59" w:rsidRPr="009528A8">
        <w:rPr>
          <w:szCs w:val="24"/>
          <w:lang w:val="en-ZA"/>
        </w:rPr>
        <w:t>does</w:t>
      </w:r>
      <w:r w:rsidR="00BA7F59" w:rsidRPr="009528A8">
        <w:rPr>
          <w:rFonts w:eastAsia="Arial"/>
          <w:szCs w:val="24"/>
        </w:rPr>
        <w:t xml:space="preserve"> not have the power to evaluate matters of evidence that were settled in national courts, it does have the power to determine whether the assessment of the evidence in the national courts complies with relevant provisions of international human rights instruments.</w:t>
      </w:r>
      <w:r w:rsidR="00BA7F59" w:rsidRPr="009528A8">
        <w:rPr>
          <w:rStyle w:val="FootnoteReference"/>
          <w:rFonts w:ascii="Arial" w:eastAsia="Arial" w:hAnsi="Arial" w:cs="Arial"/>
          <w:sz w:val="24"/>
          <w:szCs w:val="24"/>
        </w:rPr>
        <w:footnoteReference w:id="30"/>
      </w:r>
    </w:p>
    <w:p w14:paraId="096F4583" w14:textId="77777777" w:rsidR="007542F2" w:rsidRPr="009528A8" w:rsidRDefault="007542F2" w:rsidP="002634E9">
      <w:pPr>
        <w:rPr>
          <w:rFonts w:eastAsia="Arial"/>
          <w:szCs w:val="24"/>
        </w:rPr>
      </w:pPr>
    </w:p>
    <w:p w14:paraId="3C4852AB" w14:textId="297AE137" w:rsidR="0066108C" w:rsidRPr="009528A8" w:rsidRDefault="00FF7DA2" w:rsidP="002634E9">
      <w:pPr>
        <w:rPr>
          <w:rFonts w:eastAsia="Arial"/>
          <w:szCs w:val="24"/>
        </w:rPr>
      </w:pPr>
      <w:r w:rsidRPr="009528A8">
        <w:rPr>
          <w:rFonts w:eastAsia="Arial"/>
          <w:szCs w:val="24"/>
        </w:rPr>
        <w:lastRenderedPageBreak/>
        <w:t>In the present Application,</w:t>
      </w:r>
      <w:r w:rsidR="0066108C" w:rsidRPr="009528A8">
        <w:rPr>
          <w:rFonts w:eastAsia="Arial"/>
          <w:szCs w:val="24"/>
        </w:rPr>
        <w:t xml:space="preserve"> the judgments of the domestic courts show that all the three courts, that is, the</w:t>
      </w:r>
      <w:r w:rsidR="007542F2" w:rsidRPr="009528A8">
        <w:rPr>
          <w:rFonts w:eastAsia="Arial"/>
          <w:szCs w:val="24"/>
        </w:rPr>
        <w:t xml:space="preserve"> </w:t>
      </w:r>
      <w:r w:rsidRPr="009528A8">
        <w:rPr>
          <w:rFonts w:eastAsia="Arial"/>
          <w:szCs w:val="24"/>
        </w:rPr>
        <w:t xml:space="preserve">District </w:t>
      </w:r>
      <w:r w:rsidR="002361F6" w:rsidRPr="009528A8">
        <w:rPr>
          <w:rFonts w:eastAsia="Arial"/>
          <w:szCs w:val="24"/>
        </w:rPr>
        <w:t>Court, the High</w:t>
      </w:r>
      <w:r w:rsidRPr="009528A8">
        <w:rPr>
          <w:rFonts w:eastAsia="Arial"/>
          <w:szCs w:val="24"/>
        </w:rPr>
        <w:t xml:space="preserve"> Court and the Court of Appeal </w:t>
      </w:r>
      <w:r w:rsidR="003850F9" w:rsidRPr="009528A8">
        <w:rPr>
          <w:rFonts w:eastAsia="Arial"/>
          <w:szCs w:val="24"/>
        </w:rPr>
        <w:t xml:space="preserve">relied on </w:t>
      </w:r>
      <w:r w:rsidR="003850F9" w:rsidRPr="009528A8">
        <w:rPr>
          <w:szCs w:val="24"/>
          <w:lang w:val="en-ZA"/>
        </w:rPr>
        <w:t>the</w:t>
      </w:r>
      <w:r w:rsidR="003850F9" w:rsidRPr="009528A8">
        <w:rPr>
          <w:rFonts w:eastAsia="Arial"/>
          <w:szCs w:val="24"/>
        </w:rPr>
        <w:t xml:space="preserve"> evidence of four (4) witnesses and </w:t>
      </w:r>
      <w:r w:rsidR="007542F2" w:rsidRPr="009528A8">
        <w:rPr>
          <w:rFonts w:eastAsia="Arial"/>
          <w:szCs w:val="24"/>
        </w:rPr>
        <w:t xml:space="preserve">fairly evaluated the </w:t>
      </w:r>
      <w:r w:rsidR="00B43120" w:rsidRPr="009528A8">
        <w:rPr>
          <w:rFonts w:eastAsia="Arial"/>
          <w:szCs w:val="24"/>
        </w:rPr>
        <w:t xml:space="preserve">said </w:t>
      </w:r>
      <w:r w:rsidR="007542F2" w:rsidRPr="009528A8">
        <w:rPr>
          <w:rFonts w:eastAsia="Arial"/>
          <w:szCs w:val="24"/>
        </w:rPr>
        <w:t>evidence</w:t>
      </w:r>
      <w:r w:rsidR="0066108C" w:rsidRPr="009528A8">
        <w:rPr>
          <w:rFonts w:eastAsia="Arial"/>
          <w:szCs w:val="24"/>
        </w:rPr>
        <w:t>.</w:t>
      </w:r>
      <w:r w:rsidR="00B43120" w:rsidRPr="009528A8">
        <w:rPr>
          <w:rStyle w:val="FootnoteReference"/>
          <w:rFonts w:ascii="Arial" w:eastAsia="Arial" w:hAnsi="Arial" w:cs="Arial"/>
          <w:sz w:val="24"/>
          <w:szCs w:val="24"/>
        </w:rPr>
        <w:footnoteReference w:id="31"/>
      </w:r>
    </w:p>
    <w:p w14:paraId="6A1EC289" w14:textId="77777777" w:rsidR="00454A76" w:rsidRPr="009528A8" w:rsidRDefault="00454A76" w:rsidP="002634E9">
      <w:pPr>
        <w:rPr>
          <w:rFonts w:eastAsia="Arial"/>
          <w:szCs w:val="24"/>
        </w:rPr>
      </w:pPr>
    </w:p>
    <w:p w14:paraId="788101E7" w14:textId="6844133F" w:rsidR="0066108C" w:rsidRPr="009528A8" w:rsidRDefault="0066108C" w:rsidP="002634E9">
      <w:pPr>
        <w:rPr>
          <w:rFonts w:eastAsia="Arial"/>
          <w:szCs w:val="24"/>
        </w:rPr>
      </w:pPr>
      <w:r w:rsidRPr="009528A8">
        <w:rPr>
          <w:rFonts w:eastAsia="Arial"/>
          <w:szCs w:val="24"/>
        </w:rPr>
        <w:t>Regarding the evidence presented by PW</w:t>
      </w:r>
      <w:r w:rsidR="00B43120" w:rsidRPr="009528A8">
        <w:rPr>
          <w:rFonts w:eastAsia="Arial"/>
          <w:szCs w:val="24"/>
        </w:rPr>
        <w:t>1</w:t>
      </w:r>
      <w:r w:rsidRPr="009528A8">
        <w:rPr>
          <w:rFonts w:eastAsia="Arial"/>
          <w:szCs w:val="24"/>
        </w:rPr>
        <w:t>,</w:t>
      </w:r>
      <w:r w:rsidR="00B43120" w:rsidRPr="009528A8">
        <w:rPr>
          <w:rFonts w:eastAsia="Arial"/>
          <w:szCs w:val="24"/>
        </w:rPr>
        <w:t xml:space="preserve"> all the three domestic courts held that the victim </w:t>
      </w:r>
      <w:r w:rsidR="00BB5091" w:rsidRPr="009528A8">
        <w:rPr>
          <w:rFonts w:eastAsia="Arial"/>
          <w:szCs w:val="24"/>
        </w:rPr>
        <w:t xml:space="preserve">significantly </w:t>
      </w:r>
      <w:r w:rsidR="00B43120" w:rsidRPr="009528A8">
        <w:rPr>
          <w:rFonts w:eastAsia="Arial"/>
          <w:szCs w:val="24"/>
        </w:rPr>
        <w:t xml:space="preserve">named the Applicant at the earliest possible time to her friend PW2 as well as to the police and that she was a reliable witness. Regarding the evidence of the other three </w:t>
      </w:r>
      <w:r w:rsidR="00202EA9" w:rsidRPr="009528A8">
        <w:rPr>
          <w:rFonts w:eastAsia="Arial"/>
          <w:szCs w:val="24"/>
        </w:rPr>
        <w:t xml:space="preserve">(3) </w:t>
      </w:r>
      <w:r w:rsidR="00B43120" w:rsidRPr="009528A8">
        <w:rPr>
          <w:rFonts w:eastAsia="Arial"/>
          <w:szCs w:val="24"/>
        </w:rPr>
        <w:t>witnesses, all three courts held that the evidence considered was enough and substantial to make the conviction stand.</w:t>
      </w:r>
      <w:r w:rsidR="00B43120" w:rsidRPr="009528A8">
        <w:rPr>
          <w:rStyle w:val="FootnoteReference"/>
          <w:rFonts w:ascii="Arial" w:eastAsia="Arial" w:hAnsi="Arial" w:cs="Arial"/>
          <w:sz w:val="24"/>
          <w:szCs w:val="24"/>
        </w:rPr>
        <w:footnoteReference w:id="32"/>
      </w:r>
      <w:r w:rsidR="007542F2" w:rsidRPr="009528A8">
        <w:t xml:space="preserve"> </w:t>
      </w:r>
      <w:r w:rsidR="000F36B1" w:rsidRPr="009528A8">
        <w:rPr>
          <w:szCs w:val="24"/>
        </w:rPr>
        <w:t>In any event, while examining the Applicant</w:t>
      </w:r>
      <w:r w:rsidR="00E857F7" w:rsidRPr="009528A8">
        <w:rPr>
          <w:szCs w:val="24"/>
        </w:rPr>
        <w:t>’</w:t>
      </w:r>
      <w:r w:rsidR="000F36B1" w:rsidRPr="009528A8">
        <w:rPr>
          <w:szCs w:val="24"/>
        </w:rPr>
        <w:t>s claim on identification, this Court has earlier concluded that the Applicant</w:t>
      </w:r>
      <w:r w:rsidR="00E857F7" w:rsidRPr="009528A8">
        <w:rPr>
          <w:szCs w:val="24"/>
        </w:rPr>
        <w:t>’</w:t>
      </w:r>
      <w:r w:rsidR="000F36B1" w:rsidRPr="009528A8">
        <w:rPr>
          <w:szCs w:val="24"/>
        </w:rPr>
        <w:t xml:space="preserve">s identification in the proceedings did not lead to any breach of procedural rights. </w:t>
      </w:r>
    </w:p>
    <w:p w14:paraId="0833010B" w14:textId="77777777" w:rsidR="0066108C" w:rsidRPr="009528A8" w:rsidRDefault="0066108C" w:rsidP="002634E9">
      <w:pPr>
        <w:rPr>
          <w:rFonts w:eastAsia="Arial"/>
          <w:szCs w:val="24"/>
        </w:rPr>
      </w:pPr>
    </w:p>
    <w:p w14:paraId="1D9151E6" w14:textId="74A51BB1" w:rsidR="00B82467" w:rsidRPr="009528A8" w:rsidRDefault="00B82467" w:rsidP="002634E9">
      <w:pPr>
        <w:rPr>
          <w:rFonts w:eastAsia="Arial"/>
          <w:szCs w:val="24"/>
        </w:rPr>
      </w:pPr>
      <w:r w:rsidRPr="009528A8">
        <w:rPr>
          <w:rFonts w:eastAsia="Arial"/>
          <w:szCs w:val="24"/>
        </w:rPr>
        <w:t>Th</w:t>
      </w:r>
      <w:r w:rsidR="00EF2053" w:rsidRPr="009528A8">
        <w:rPr>
          <w:rFonts w:eastAsia="Arial"/>
          <w:szCs w:val="24"/>
        </w:rPr>
        <w:t>e</w:t>
      </w:r>
      <w:r w:rsidRPr="009528A8">
        <w:rPr>
          <w:rFonts w:eastAsia="Arial"/>
          <w:szCs w:val="24"/>
        </w:rPr>
        <w:t xml:space="preserve"> Court takes note of the other factors that were </w:t>
      </w:r>
      <w:r w:rsidR="00FF7DA2" w:rsidRPr="009528A8">
        <w:rPr>
          <w:rFonts w:eastAsia="Arial"/>
          <w:szCs w:val="24"/>
        </w:rPr>
        <w:t xml:space="preserve">mentioned </w:t>
      </w:r>
      <w:r w:rsidRPr="009528A8">
        <w:rPr>
          <w:rFonts w:eastAsia="Arial"/>
          <w:szCs w:val="24"/>
        </w:rPr>
        <w:t xml:space="preserve">by the Applicant which he claims should have been taken into account by domestic courts in the assessment of the </w:t>
      </w:r>
      <w:r w:rsidRPr="009528A8">
        <w:rPr>
          <w:szCs w:val="24"/>
          <w:lang w:val="en-ZA"/>
        </w:rPr>
        <w:t>evidence</w:t>
      </w:r>
      <w:r w:rsidR="00891B43" w:rsidRPr="009528A8">
        <w:rPr>
          <w:rFonts w:eastAsia="Arial"/>
          <w:szCs w:val="24"/>
        </w:rPr>
        <w:t xml:space="preserve"> before them</w:t>
      </w:r>
      <w:r w:rsidRPr="009528A8">
        <w:rPr>
          <w:rFonts w:eastAsia="Arial"/>
          <w:szCs w:val="24"/>
        </w:rPr>
        <w:t xml:space="preserve">. In respect to the said issues, the Court notes that </w:t>
      </w:r>
      <w:r w:rsidR="001132AA" w:rsidRPr="009528A8">
        <w:rPr>
          <w:rFonts w:eastAsia="Arial"/>
          <w:szCs w:val="24"/>
        </w:rPr>
        <w:t xml:space="preserve">both </w:t>
      </w:r>
      <w:r w:rsidRPr="009528A8">
        <w:rPr>
          <w:rFonts w:eastAsia="Arial"/>
          <w:szCs w:val="24"/>
        </w:rPr>
        <w:t xml:space="preserve">the </w:t>
      </w:r>
      <w:r w:rsidR="00A2054D" w:rsidRPr="009528A8">
        <w:rPr>
          <w:rFonts w:eastAsia="Arial"/>
          <w:szCs w:val="24"/>
        </w:rPr>
        <w:t xml:space="preserve">High Court </w:t>
      </w:r>
      <w:r w:rsidRPr="009528A8">
        <w:rPr>
          <w:rFonts w:eastAsia="Arial"/>
          <w:szCs w:val="24"/>
        </w:rPr>
        <w:t>and Court of Appeal examined the submissions and evidence before them</w:t>
      </w:r>
      <w:r w:rsidR="001132AA" w:rsidRPr="009528A8">
        <w:rPr>
          <w:rFonts w:eastAsia="Arial"/>
          <w:szCs w:val="24"/>
        </w:rPr>
        <w:t xml:space="preserve"> and held that there was no </w:t>
      </w:r>
      <w:r w:rsidR="00304B30" w:rsidRPr="009528A8">
        <w:rPr>
          <w:rFonts w:eastAsia="Arial"/>
          <w:szCs w:val="24"/>
        </w:rPr>
        <w:t>material contradiction in the evidence of the prosecution</w:t>
      </w:r>
      <w:r w:rsidR="001132AA" w:rsidRPr="009528A8">
        <w:rPr>
          <w:rFonts w:eastAsia="Arial"/>
          <w:szCs w:val="24"/>
        </w:rPr>
        <w:t xml:space="preserve">. </w:t>
      </w:r>
      <w:r w:rsidRPr="009528A8">
        <w:rPr>
          <w:rFonts w:eastAsia="Arial"/>
          <w:szCs w:val="24"/>
        </w:rPr>
        <w:t>H</w:t>
      </w:r>
      <w:r w:rsidR="00891B43" w:rsidRPr="009528A8">
        <w:rPr>
          <w:rFonts w:eastAsia="Arial"/>
          <w:szCs w:val="24"/>
        </w:rPr>
        <w:t xml:space="preserve">aving </w:t>
      </w:r>
      <w:r w:rsidRPr="009528A8">
        <w:rPr>
          <w:rFonts w:eastAsia="Arial"/>
          <w:szCs w:val="24"/>
        </w:rPr>
        <w:t xml:space="preserve">done so, both </w:t>
      </w:r>
      <w:r w:rsidR="00A2054D" w:rsidRPr="009528A8">
        <w:rPr>
          <w:rFonts w:eastAsia="Arial"/>
          <w:szCs w:val="24"/>
        </w:rPr>
        <w:t>the High Court and the Court of Appeal highlighted</w:t>
      </w:r>
      <w:r w:rsidR="00C61F8F" w:rsidRPr="009528A8">
        <w:rPr>
          <w:rFonts w:eastAsia="Arial"/>
          <w:szCs w:val="24"/>
        </w:rPr>
        <w:t>,</w:t>
      </w:r>
      <w:r w:rsidR="00A2054D" w:rsidRPr="009528A8">
        <w:rPr>
          <w:rFonts w:eastAsia="Arial"/>
          <w:szCs w:val="24"/>
        </w:rPr>
        <w:t xml:space="preserve"> in their judgments</w:t>
      </w:r>
      <w:r w:rsidR="00C61F8F" w:rsidRPr="009528A8">
        <w:rPr>
          <w:rFonts w:eastAsia="Arial"/>
          <w:szCs w:val="24"/>
        </w:rPr>
        <w:t>,</w:t>
      </w:r>
      <w:r w:rsidR="00A2054D" w:rsidRPr="009528A8">
        <w:rPr>
          <w:rFonts w:eastAsia="Arial"/>
          <w:szCs w:val="24"/>
        </w:rPr>
        <w:t xml:space="preserve"> that </w:t>
      </w:r>
      <w:r w:rsidR="001132AA" w:rsidRPr="009528A8">
        <w:rPr>
          <w:rFonts w:eastAsia="Arial"/>
          <w:szCs w:val="24"/>
        </w:rPr>
        <w:t>the case against the Applicant had been proved beyond a reasonable doubt.</w:t>
      </w:r>
      <w:r w:rsidR="001132AA" w:rsidRPr="009528A8">
        <w:rPr>
          <w:rStyle w:val="FootnoteReference"/>
          <w:rFonts w:ascii="Arial" w:eastAsia="Arial" w:hAnsi="Arial" w:cs="Arial"/>
          <w:sz w:val="24"/>
          <w:szCs w:val="24"/>
        </w:rPr>
        <w:footnoteReference w:id="33"/>
      </w:r>
    </w:p>
    <w:p w14:paraId="30BB53F9" w14:textId="77777777" w:rsidR="00B82467" w:rsidRPr="009528A8" w:rsidRDefault="00B82467" w:rsidP="002634E9">
      <w:pPr>
        <w:rPr>
          <w:rFonts w:eastAsia="Arial"/>
          <w:szCs w:val="24"/>
        </w:rPr>
      </w:pPr>
    </w:p>
    <w:p w14:paraId="6A5A8547" w14:textId="48D58640" w:rsidR="007542F2" w:rsidRPr="009528A8" w:rsidRDefault="007542F2" w:rsidP="002634E9">
      <w:pPr>
        <w:rPr>
          <w:rFonts w:eastAsia="Arial"/>
          <w:szCs w:val="24"/>
        </w:rPr>
      </w:pPr>
      <w:r w:rsidRPr="009528A8">
        <w:rPr>
          <w:rFonts w:eastAsia="Arial"/>
          <w:szCs w:val="24"/>
        </w:rPr>
        <w:t>In the circumstances, the Court finds that the evidence in the Applicant</w:t>
      </w:r>
      <w:r w:rsidR="00E857F7" w:rsidRPr="009528A8">
        <w:rPr>
          <w:rFonts w:eastAsia="Arial"/>
          <w:szCs w:val="24"/>
        </w:rPr>
        <w:t>’</w:t>
      </w:r>
      <w:r w:rsidR="00891B43" w:rsidRPr="009528A8">
        <w:rPr>
          <w:rFonts w:eastAsia="Arial"/>
          <w:szCs w:val="24"/>
        </w:rPr>
        <w:t>s</w:t>
      </w:r>
      <w:r w:rsidRPr="009528A8">
        <w:rPr>
          <w:rFonts w:eastAsia="Arial"/>
          <w:szCs w:val="24"/>
        </w:rPr>
        <w:t xml:space="preserve"> trial was evaluated in conformity with the requirements of fair trial and the procedures followed by the national courts in dealing with the Applicant</w:t>
      </w:r>
      <w:r w:rsidR="00E857F7" w:rsidRPr="009528A8">
        <w:rPr>
          <w:rFonts w:eastAsia="Arial"/>
          <w:szCs w:val="24"/>
        </w:rPr>
        <w:t>’</w:t>
      </w:r>
      <w:r w:rsidR="00891B43" w:rsidRPr="009528A8">
        <w:rPr>
          <w:rFonts w:eastAsia="Arial"/>
          <w:szCs w:val="24"/>
        </w:rPr>
        <w:t xml:space="preserve">s </w:t>
      </w:r>
      <w:r w:rsidRPr="009528A8">
        <w:rPr>
          <w:rFonts w:eastAsia="Arial"/>
          <w:szCs w:val="24"/>
        </w:rPr>
        <w:t xml:space="preserve">appeals did not violate </w:t>
      </w:r>
      <w:r w:rsidRPr="009528A8">
        <w:rPr>
          <w:szCs w:val="24"/>
          <w:lang w:val="en-ZA"/>
        </w:rPr>
        <w:t>Article</w:t>
      </w:r>
      <w:r w:rsidRPr="009528A8">
        <w:rPr>
          <w:rFonts w:eastAsia="Arial"/>
          <w:szCs w:val="24"/>
        </w:rPr>
        <w:t xml:space="preserve"> 7(1) of the Charter. The Court </w:t>
      </w:r>
      <w:r w:rsidR="00891B43" w:rsidRPr="009528A8">
        <w:rPr>
          <w:rFonts w:eastAsia="Arial"/>
          <w:szCs w:val="24"/>
        </w:rPr>
        <w:t xml:space="preserve">also finds that the assessment of the evidence by the domestic courts was not done in a manner </w:t>
      </w:r>
      <w:r w:rsidR="003D1E8D" w:rsidRPr="009528A8">
        <w:rPr>
          <w:rFonts w:eastAsia="Arial"/>
          <w:szCs w:val="24"/>
        </w:rPr>
        <w:t>discriminatory to</w:t>
      </w:r>
      <w:r w:rsidR="00891B43" w:rsidRPr="009528A8">
        <w:rPr>
          <w:rFonts w:eastAsia="Arial"/>
          <w:szCs w:val="24"/>
        </w:rPr>
        <w:t xml:space="preserve"> the Applicant as opposed to other litigants</w:t>
      </w:r>
      <w:r w:rsidR="008A7D35" w:rsidRPr="009528A8">
        <w:rPr>
          <w:rFonts w:eastAsia="Arial"/>
          <w:szCs w:val="24"/>
        </w:rPr>
        <w:t xml:space="preserve"> in similar circumstances</w:t>
      </w:r>
      <w:r w:rsidR="00187DCA" w:rsidRPr="009528A8">
        <w:rPr>
          <w:rFonts w:eastAsia="Arial"/>
          <w:szCs w:val="24"/>
        </w:rPr>
        <w:t>.</w:t>
      </w:r>
      <w:r w:rsidR="00891B43" w:rsidRPr="009528A8">
        <w:rPr>
          <w:rFonts w:eastAsia="Arial"/>
          <w:szCs w:val="24"/>
        </w:rPr>
        <w:t xml:space="preserve"> </w:t>
      </w:r>
      <w:r w:rsidR="00187DCA" w:rsidRPr="009528A8">
        <w:rPr>
          <w:rFonts w:eastAsia="Arial"/>
          <w:szCs w:val="24"/>
        </w:rPr>
        <w:t xml:space="preserve">Further, the Applicant has not provided evidence that any other law or statute applied in the proceedings involving him runs counter to the right to non-discrimination, equality before the law and equal protection of the law </w:t>
      </w:r>
      <w:r w:rsidR="00891B43" w:rsidRPr="009528A8">
        <w:rPr>
          <w:rFonts w:eastAsia="Arial"/>
          <w:szCs w:val="24"/>
        </w:rPr>
        <w:t>in violation of Article</w:t>
      </w:r>
      <w:r w:rsidR="00F96B27" w:rsidRPr="009528A8">
        <w:rPr>
          <w:rFonts w:eastAsia="Arial"/>
          <w:szCs w:val="24"/>
        </w:rPr>
        <w:t>s</w:t>
      </w:r>
      <w:r w:rsidR="00891B43" w:rsidRPr="009528A8">
        <w:rPr>
          <w:rFonts w:eastAsia="Arial"/>
          <w:szCs w:val="24"/>
        </w:rPr>
        <w:t xml:space="preserve"> 2 and 3 of the Charter. </w:t>
      </w:r>
    </w:p>
    <w:p w14:paraId="508C01E7" w14:textId="77777777" w:rsidR="00097A41" w:rsidRPr="009528A8" w:rsidRDefault="00097A41" w:rsidP="002634E9">
      <w:pPr>
        <w:rPr>
          <w:rFonts w:eastAsia="Arial"/>
          <w:szCs w:val="24"/>
        </w:rPr>
      </w:pPr>
    </w:p>
    <w:p w14:paraId="598F045A" w14:textId="13E50ECA" w:rsidR="00AE6D2A" w:rsidRPr="009528A8" w:rsidRDefault="008E1629" w:rsidP="002634E9">
      <w:pPr>
        <w:rPr>
          <w:rFonts w:eastAsia="Arial"/>
          <w:szCs w:val="24"/>
        </w:rPr>
      </w:pPr>
      <w:r w:rsidRPr="009528A8">
        <w:rPr>
          <w:rFonts w:eastAsia="Arial"/>
          <w:szCs w:val="24"/>
        </w:rPr>
        <w:t xml:space="preserve">In </w:t>
      </w:r>
      <w:r w:rsidR="00C648AD" w:rsidRPr="009528A8">
        <w:rPr>
          <w:rFonts w:eastAsia="Arial"/>
          <w:szCs w:val="24"/>
        </w:rPr>
        <w:t xml:space="preserve">light </w:t>
      </w:r>
      <w:r w:rsidRPr="009528A8">
        <w:rPr>
          <w:rFonts w:eastAsia="Arial"/>
          <w:szCs w:val="24"/>
        </w:rPr>
        <w:t>of the above, the Court is of the opinion that the manner</w:t>
      </w:r>
      <w:r w:rsidR="005A0C86" w:rsidRPr="009528A8">
        <w:rPr>
          <w:rFonts w:eastAsia="Arial"/>
          <w:szCs w:val="24"/>
        </w:rPr>
        <w:t xml:space="preserve"> </w:t>
      </w:r>
      <w:r w:rsidRPr="009528A8">
        <w:rPr>
          <w:rFonts w:eastAsia="Arial"/>
          <w:szCs w:val="24"/>
        </w:rPr>
        <w:t>in which the national courts evaluated the facts and evidence</w:t>
      </w:r>
      <w:r w:rsidR="005A0C86" w:rsidRPr="009528A8">
        <w:rPr>
          <w:rFonts w:eastAsia="Arial"/>
          <w:szCs w:val="24"/>
        </w:rPr>
        <w:t xml:space="preserve"> </w:t>
      </w:r>
      <w:r w:rsidRPr="009528A8">
        <w:rPr>
          <w:rFonts w:eastAsia="Arial"/>
          <w:szCs w:val="24"/>
        </w:rPr>
        <w:t>and the weight they gave to them does not disclose any manifes</w:t>
      </w:r>
      <w:r w:rsidR="005A0C86" w:rsidRPr="009528A8">
        <w:rPr>
          <w:rFonts w:eastAsia="Arial"/>
          <w:szCs w:val="24"/>
        </w:rPr>
        <w:t xml:space="preserve">t </w:t>
      </w:r>
      <w:r w:rsidRPr="009528A8">
        <w:rPr>
          <w:rFonts w:eastAsia="Arial"/>
          <w:szCs w:val="24"/>
        </w:rPr>
        <w:t>error or miscarriage of justice to the Applicant which requires this</w:t>
      </w:r>
      <w:r w:rsidR="005A0C86" w:rsidRPr="009528A8">
        <w:rPr>
          <w:rFonts w:eastAsia="Arial"/>
          <w:szCs w:val="24"/>
        </w:rPr>
        <w:t xml:space="preserve"> </w:t>
      </w:r>
      <w:r w:rsidRPr="009528A8">
        <w:rPr>
          <w:rFonts w:eastAsia="Arial"/>
          <w:szCs w:val="24"/>
        </w:rPr>
        <w:t>Court</w:t>
      </w:r>
      <w:r w:rsidR="00E857F7" w:rsidRPr="009528A8">
        <w:rPr>
          <w:rFonts w:eastAsia="Arial"/>
          <w:szCs w:val="24"/>
        </w:rPr>
        <w:t>’</w:t>
      </w:r>
      <w:r w:rsidRPr="009528A8">
        <w:rPr>
          <w:rFonts w:eastAsia="Arial"/>
          <w:szCs w:val="24"/>
        </w:rPr>
        <w:t xml:space="preserve">s intervention. </w:t>
      </w:r>
    </w:p>
    <w:p w14:paraId="723DABD6" w14:textId="77777777" w:rsidR="00F96B27" w:rsidRPr="009528A8" w:rsidRDefault="00F96B27" w:rsidP="002634E9">
      <w:pPr>
        <w:rPr>
          <w:rFonts w:eastAsia="Arial"/>
          <w:szCs w:val="24"/>
        </w:rPr>
      </w:pPr>
    </w:p>
    <w:p w14:paraId="2BCC90EB" w14:textId="3A7BAE56" w:rsidR="00F96B27" w:rsidRPr="009528A8" w:rsidRDefault="00C648AD" w:rsidP="002634E9">
      <w:pPr>
        <w:rPr>
          <w:rFonts w:eastAsia="Arial"/>
          <w:bCs/>
          <w:szCs w:val="24"/>
        </w:rPr>
      </w:pPr>
      <w:bookmarkStart w:id="56" w:name="_Hlk133165872"/>
      <w:r w:rsidRPr="009528A8">
        <w:rPr>
          <w:rFonts w:eastAsia="Arial"/>
          <w:szCs w:val="24"/>
        </w:rPr>
        <w:t>The</w:t>
      </w:r>
      <w:r w:rsidR="00F96B27" w:rsidRPr="009528A8">
        <w:rPr>
          <w:rFonts w:eastAsia="Arial"/>
          <w:szCs w:val="24"/>
        </w:rPr>
        <w:t xml:space="preserve"> Court</w:t>
      </w:r>
      <w:r w:rsidR="00EF2053" w:rsidRPr="009528A8">
        <w:rPr>
          <w:rFonts w:eastAsia="Arial"/>
          <w:szCs w:val="24"/>
        </w:rPr>
        <w:t>, therefore,</w:t>
      </w:r>
      <w:r w:rsidR="00F96B27" w:rsidRPr="009528A8">
        <w:rPr>
          <w:rFonts w:eastAsia="Arial"/>
          <w:szCs w:val="24"/>
        </w:rPr>
        <w:t xml:space="preserve"> dismisses the Applicant</w:t>
      </w:r>
      <w:r w:rsidR="00E857F7" w:rsidRPr="009528A8">
        <w:rPr>
          <w:rFonts w:eastAsia="Arial"/>
          <w:szCs w:val="24"/>
        </w:rPr>
        <w:t>’</w:t>
      </w:r>
      <w:r w:rsidR="00F96B27" w:rsidRPr="009528A8">
        <w:rPr>
          <w:rFonts w:eastAsia="Arial"/>
          <w:szCs w:val="24"/>
        </w:rPr>
        <w:t>s allegation that</w:t>
      </w:r>
      <w:r w:rsidR="000670BA" w:rsidRPr="009528A8">
        <w:rPr>
          <w:rFonts w:eastAsia="Arial"/>
          <w:szCs w:val="24"/>
        </w:rPr>
        <w:t xml:space="preserve"> his conviction was against the weight of the evidence on record. </w:t>
      </w:r>
      <w:r w:rsidR="00F96B27" w:rsidRPr="009528A8">
        <w:rPr>
          <w:rFonts w:eastAsia="Arial"/>
          <w:szCs w:val="24"/>
        </w:rPr>
        <w:t>The Court</w:t>
      </w:r>
      <w:r w:rsidR="000670BA" w:rsidRPr="009528A8">
        <w:rPr>
          <w:rFonts w:eastAsia="Arial"/>
          <w:szCs w:val="24"/>
        </w:rPr>
        <w:t xml:space="preserve"> </w:t>
      </w:r>
      <w:r w:rsidR="00F96B27" w:rsidRPr="009528A8">
        <w:rPr>
          <w:rFonts w:eastAsia="Arial"/>
          <w:szCs w:val="24"/>
        </w:rPr>
        <w:t xml:space="preserve">finds that the Respondent State did not </w:t>
      </w:r>
      <w:r w:rsidR="00F96B27" w:rsidRPr="009528A8">
        <w:rPr>
          <w:szCs w:val="24"/>
          <w:lang w:val="en-ZA"/>
        </w:rPr>
        <w:t>violate</w:t>
      </w:r>
      <w:r w:rsidR="00F96B27" w:rsidRPr="009528A8">
        <w:rPr>
          <w:rFonts w:eastAsia="Arial"/>
          <w:szCs w:val="24"/>
        </w:rPr>
        <w:t xml:space="preserve"> Articles 2, 3 and </w:t>
      </w:r>
      <w:r w:rsidR="00F96B27" w:rsidRPr="009528A8">
        <w:rPr>
          <w:rFonts w:eastAsia="Arial"/>
          <w:szCs w:val="24"/>
        </w:rPr>
        <w:lastRenderedPageBreak/>
        <w:t>7(1) of the Charter</w:t>
      </w:r>
      <w:r w:rsidR="00454A76" w:rsidRPr="009528A8">
        <w:rPr>
          <w:rFonts w:eastAsia="Arial"/>
          <w:szCs w:val="24"/>
        </w:rPr>
        <w:t xml:space="preserve"> read jointly in respect of the consideration of evidence regarding the Applicant’s conviction</w:t>
      </w:r>
      <w:r w:rsidR="00F96B27" w:rsidRPr="009528A8">
        <w:rPr>
          <w:rFonts w:eastAsia="Arial"/>
          <w:szCs w:val="24"/>
        </w:rPr>
        <w:t xml:space="preserve">. </w:t>
      </w:r>
    </w:p>
    <w:bookmarkEnd w:id="56"/>
    <w:p w14:paraId="4AE4A29D" w14:textId="77777777" w:rsidR="00891B43" w:rsidRPr="009528A8" w:rsidRDefault="00891B43" w:rsidP="002634E9">
      <w:pPr>
        <w:rPr>
          <w:rFonts w:eastAsia="Arial"/>
          <w:color w:val="FF0000"/>
          <w:szCs w:val="24"/>
        </w:rPr>
      </w:pPr>
    </w:p>
    <w:p w14:paraId="09B6236F" w14:textId="07F65CE2" w:rsidR="00822677" w:rsidRPr="009528A8" w:rsidRDefault="00822677" w:rsidP="002634E9">
      <w:pPr>
        <w:rPr>
          <w:rFonts w:eastAsia="Arial"/>
        </w:rPr>
      </w:pPr>
      <w:bookmarkStart w:id="57" w:name="_Toc143594945"/>
      <w:r w:rsidRPr="009528A8">
        <w:rPr>
          <w:rFonts w:eastAsia="Arial"/>
        </w:rPr>
        <w:t>Alleg</w:t>
      </w:r>
      <w:r w:rsidR="00DA07FF" w:rsidRPr="009528A8">
        <w:rPr>
          <w:rFonts w:eastAsia="Arial"/>
        </w:rPr>
        <w:t>ed violation of the right to defence</w:t>
      </w:r>
      <w:bookmarkEnd w:id="57"/>
      <w:r w:rsidR="00DA07FF" w:rsidRPr="009528A8">
        <w:rPr>
          <w:rFonts w:eastAsia="Arial"/>
        </w:rPr>
        <w:t xml:space="preserve"> </w:t>
      </w:r>
    </w:p>
    <w:p w14:paraId="379173F1" w14:textId="77777777" w:rsidR="00557B6E" w:rsidRPr="009528A8" w:rsidRDefault="00557B6E" w:rsidP="002634E9"/>
    <w:p w14:paraId="398BF4D7" w14:textId="0358875D" w:rsidR="004F2E51" w:rsidRPr="009528A8" w:rsidRDefault="004F2E51" w:rsidP="002634E9">
      <w:pPr>
        <w:rPr>
          <w:rFonts w:eastAsia="Arial"/>
          <w:szCs w:val="24"/>
        </w:rPr>
      </w:pPr>
      <w:r w:rsidRPr="009528A8">
        <w:rPr>
          <w:rFonts w:eastAsia="Arial"/>
          <w:szCs w:val="24"/>
        </w:rPr>
        <w:t>The Applicant alleges that the justice of appeal erred in law and facts by failing to observe that the defen</w:t>
      </w:r>
      <w:r w:rsidR="008918C8" w:rsidRPr="009528A8">
        <w:rPr>
          <w:rFonts w:eastAsia="Arial"/>
          <w:szCs w:val="24"/>
        </w:rPr>
        <w:t>c</w:t>
      </w:r>
      <w:r w:rsidRPr="009528A8">
        <w:rPr>
          <w:rFonts w:eastAsia="Arial"/>
          <w:szCs w:val="24"/>
        </w:rPr>
        <w:t xml:space="preserve">e witnesses were not summoned in contravention of </w:t>
      </w:r>
      <w:bookmarkStart w:id="58" w:name="_Hlk132196080"/>
      <w:r w:rsidRPr="009528A8">
        <w:rPr>
          <w:rFonts w:eastAsia="Arial"/>
          <w:szCs w:val="24"/>
        </w:rPr>
        <w:t>Section 231 of the C</w:t>
      </w:r>
      <w:r w:rsidR="00202EA9" w:rsidRPr="009528A8">
        <w:rPr>
          <w:rFonts w:eastAsia="Arial"/>
          <w:szCs w:val="24"/>
        </w:rPr>
        <w:t>PA</w:t>
      </w:r>
      <w:r w:rsidRPr="009528A8">
        <w:rPr>
          <w:rFonts w:eastAsia="Arial"/>
          <w:szCs w:val="24"/>
        </w:rPr>
        <w:t xml:space="preserve">, Cap 20 RE 2002 and Article 13(6)(a) of the Constitution </w:t>
      </w:r>
      <w:bookmarkEnd w:id="58"/>
      <w:r w:rsidRPr="009528A8">
        <w:rPr>
          <w:rFonts w:eastAsia="Arial"/>
          <w:szCs w:val="24"/>
        </w:rPr>
        <w:t xml:space="preserve">of the </w:t>
      </w:r>
      <w:r w:rsidR="00202EA9" w:rsidRPr="009528A8">
        <w:rPr>
          <w:rFonts w:eastAsia="Arial"/>
          <w:szCs w:val="24"/>
        </w:rPr>
        <w:t>Respondent State</w:t>
      </w:r>
      <w:r w:rsidRPr="009528A8">
        <w:rPr>
          <w:rFonts w:eastAsia="Arial"/>
          <w:szCs w:val="24"/>
        </w:rPr>
        <w:t>.</w:t>
      </w:r>
      <w:r w:rsidR="00CA2926" w:rsidRPr="009528A8">
        <w:rPr>
          <w:rFonts w:eastAsia="Arial"/>
          <w:szCs w:val="24"/>
        </w:rPr>
        <w:t xml:space="preserve"> </w:t>
      </w:r>
      <w:r w:rsidR="00C42F20" w:rsidRPr="009528A8">
        <w:rPr>
          <w:rFonts w:eastAsia="Arial"/>
          <w:szCs w:val="24"/>
        </w:rPr>
        <w:t>The</w:t>
      </w:r>
      <w:r w:rsidR="00E857F7" w:rsidRPr="009528A8">
        <w:rPr>
          <w:rFonts w:eastAsia="Arial"/>
          <w:szCs w:val="24"/>
        </w:rPr>
        <w:t xml:space="preserve"> </w:t>
      </w:r>
      <w:r w:rsidR="00C42F20" w:rsidRPr="009528A8">
        <w:rPr>
          <w:rFonts w:eastAsia="Arial"/>
          <w:szCs w:val="24"/>
        </w:rPr>
        <w:t>Applicant claims that he was not given the right to call his wife whom he identifies as Amina Muhangi</w:t>
      </w:r>
      <w:r w:rsidR="00000099" w:rsidRPr="009528A8">
        <w:rPr>
          <w:rFonts w:eastAsia="Arial"/>
          <w:szCs w:val="24"/>
        </w:rPr>
        <w:t>,</w:t>
      </w:r>
      <w:r w:rsidR="00C42F20" w:rsidRPr="009528A8">
        <w:rPr>
          <w:rFonts w:eastAsia="Arial"/>
          <w:szCs w:val="24"/>
        </w:rPr>
        <w:t xml:space="preserve"> to testify despite naming her as his witness.</w:t>
      </w:r>
    </w:p>
    <w:p w14:paraId="3FCA056B" w14:textId="77777777" w:rsidR="008956D3" w:rsidRPr="009528A8" w:rsidRDefault="008956D3" w:rsidP="002634E9">
      <w:pPr>
        <w:rPr>
          <w:rFonts w:eastAsia="Arial"/>
          <w:szCs w:val="24"/>
        </w:rPr>
      </w:pPr>
    </w:p>
    <w:p w14:paraId="415D490B" w14:textId="5C178A20" w:rsidR="009B3011" w:rsidRPr="009528A8" w:rsidRDefault="008956D3" w:rsidP="002634E9">
      <w:pPr>
        <w:rPr>
          <w:rFonts w:eastAsia="Arial"/>
          <w:szCs w:val="24"/>
        </w:rPr>
      </w:pPr>
      <w:r w:rsidRPr="009528A8">
        <w:rPr>
          <w:rFonts w:eastAsia="Arial"/>
          <w:szCs w:val="24"/>
        </w:rPr>
        <w:t xml:space="preserve">The Respondent State </w:t>
      </w:r>
      <w:r w:rsidR="00715D76" w:rsidRPr="009528A8">
        <w:rPr>
          <w:rFonts w:eastAsia="Arial"/>
          <w:szCs w:val="24"/>
        </w:rPr>
        <w:t xml:space="preserve">disputes this allegation and </w:t>
      </w:r>
      <w:r w:rsidR="009B3011" w:rsidRPr="009528A8">
        <w:rPr>
          <w:rFonts w:eastAsia="Arial"/>
          <w:szCs w:val="24"/>
        </w:rPr>
        <w:t>s</w:t>
      </w:r>
      <w:r w:rsidR="00AB256B" w:rsidRPr="009528A8">
        <w:rPr>
          <w:rFonts w:eastAsia="Arial"/>
          <w:szCs w:val="24"/>
        </w:rPr>
        <w:t xml:space="preserve">ubmits </w:t>
      </w:r>
      <w:r w:rsidR="009B3011" w:rsidRPr="009528A8">
        <w:rPr>
          <w:rFonts w:eastAsia="Arial"/>
          <w:szCs w:val="24"/>
        </w:rPr>
        <w:t xml:space="preserve">that </w:t>
      </w:r>
      <w:r w:rsidR="00F761F9" w:rsidRPr="009528A8">
        <w:rPr>
          <w:rFonts w:eastAsia="Arial"/>
          <w:szCs w:val="24"/>
        </w:rPr>
        <w:t>the same argument</w:t>
      </w:r>
      <w:r w:rsidR="008D4819" w:rsidRPr="009528A8">
        <w:rPr>
          <w:rFonts w:eastAsia="Arial"/>
          <w:szCs w:val="24"/>
        </w:rPr>
        <w:t xml:space="preserve"> </w:t>
      </w:r>
      <w:r w:rsidR="009B3011" w:rsidRPr="009528A8">
        <w:rPr>
          <w:rFonts w:eastAsia="Arial"/>
          <w:szCs w:val="24"/>
        </w:rPr>
        <w:t>was</w:t>
      </w:r>
      <w:r w:rsidR="00AB256B" w:rsidRPr="009528A8">
        <w:rPr>
          <w:rFonts w:eastAsia="Arial"/>
          <w:szCs w:val="24"/>
        </w:rPr>
        <w:t xml:space="preserve"> </w:t>
      </w:r>
      <w:bookmarkStart w:id="59" w:name="_Hlk132980112"/>
      <w:r w:rsidR="00AB256B" w:rsidRPr="009528A8">
        <w:rPr>
          <w:rFonts w:eastAsia="Arial"/>
          <w:szCs w:val="24"/>
        </w:rPr>
        <w:t xml:space="preserve">dismissed by the Court of Appeal as the appellant </w:t>
      </w:r>
      <w:r w:rsidR="003E59A5" w:rsidRPr="009528A8">
        <w:rPr>
          <w:rFonts w:eastAsia="Arial"/>
          <w:szCs w:val="24"/>
        </w:rPr>
        <w:t xml:space="preserve">was recorded as saying that he </w:t>
      </w:r>
      <w:r w:rsidR="00B243C1" w:rsidRPr="009528A8">
        <w:rPr>
          <w:rFonts w:eastAsia="Arial"/>
          <w:szCs w:val="24"/>
        </w:rPr>
        <w:t>would give his testimony under oath</w:t>
      </w:r>
      <w:r w:rsidR="00EF535C" w:rsidRPr="009528A8">
        <w:rPr>
          <w:rFonts w:eastAsia="Arial"/>
          <w:szCs w:val="24"/>
        </w:rPr>
        <w:t xml:space="preserve"> </w:t>
      </w:r>
      <w:r w:rsidR="003E59A5" w:rsidRPr="009528A8">
        <w:rPr>
          <w:rFonts w:eastAsia="Arial"/>
          <w:szCs w:val="24"/>
        </w:rPr>
        <w:t xml:space="preserve">and </w:t>
      </w:r>
      <w:r w:rsidR="00B243C1" w:rsidRPr="009528A8">
        <w:rPr>
          <w:rFonts w:eastAsia="Arial"/>
          <w:szCs w:val="24"/>
        </w:rPr>
        <w:t xml:space="preserve">that he had neither a witness to call </w:t>
      </w:r>
      <w:r w:rsidR="00F64481" w:rsidRPr="009528A8">
        <w:rPr>
          <w:rFonts w:eastAsia="Arial"/>
          <w:szCs w:val="24"/>
        </w:rPr>
        <w:t>n</w:t>
      </w:r>
      <w:r w:rsidR="00B243C1" w:rsidRPr="009528A8">
        <w:rPr>
          <w:rFonts w:eastAsia="Arial"/>
          <w:szCs w:val="24"/>
        </w:rPr>
        <w:t>or an exhibit to tender</w:t>
      </w:r>
      <w:r w:rsidR="003E59A5" w:rsidRPr="009528A8">
        <w:rPr>
          <w:rFonts w:eastAsia="Arial"/>
          <w:szCs w:val="24"/>
        </w:rPr>
        <w:t xml:space="preserve">. The </w:t>
      </w:r>
      <w:bookmarkEnd w:id="59"/>
      <w:r w:rsidR="003E59A5" w:rsidRPr="009528A8">
        <w:rPr>
          <w:rFonts w:eastAsia="Arial"/>
          <w:szCs w:val="24"/>
        </w:rPr>
        <w:t xml:space="preserve">Respondent State </w:t>
      </w:r>
      <w:r w:rsidR="008D4819" w:rsidRPr="009528A8">
        <w:rPr>
          <w:rFonts w:eastAsia="Arial"/>
          <w:szCs w:val="24"/>
        </w:rPr>
        <w:t xml:space="preserve">further </w:t>
      </w:r>
      <w:r w:rsidR="003E59A5" w:rsidRPr="009528A8">
        <w:rPr>
          <w:rFonts w:eastAsia="Arial"/>
          <w:szCs w:val="24"/>
        </w:rPr>
        <w:t>avers that the issue of denial of a right to have a witness for the defence is an afterthought which contradicts what happened at the trial court.</w:t>
      </w:r>
    </w:p>
    <w:p w14:paraId="5BAC7127" w14:textId="1D85E6EE" w:rsidR="004F5A44" w:rsidRPr="009528A8" w:rsidRDefault="009B3011" w:rsidP="002634E9">
      <w:pPr>
        <w:rPr>
          <w:rFonts w:eastAsia="Arial"/>
          <w:szCs w:val="24"/>
        </w:rPr>
      </w:pPr>
      <w:r w:rsidRPr="009528A8">
        <w:rPr>
          <w:rFonts w:eastAsia="Arial"/>
          <w:szCs w:val="24"/>
        </w:rPr>
        <w:t>***</w:t>
      </w:r>
    </w:p>
    <w:p w14:paraId="2C12BE77" w14:textId="77777777" w:rsidR="00025FF3" w:rsidRPr="009528A8" w:rsidRDefault="00025FF3" w:rsidP="002634E9">
      <w:pPr>
        <w:rPr>
          <w:szCs w:val="24"/>
          <w:lang w:val="en-ZA"/>
          <w14:ligatures w14:val="standardContextual"/>
        </w:rPr>
      </w:pPr>
    </w:p>
    <w:p w14:paraId="6A52FFD1" w14:textId="6BE7C47D" w:rsidR="00776432" w:rsidRPr="009528A8" w:rsidRDefault="00776432" w:rsidP="002634E9">
      <w:pPr>
        <w:rPr>
          <w:szCs w:val="24"/>
          <w:lang w:val="en-ZA"/>
          <w14:ligatures w14:val="standardContextual"/>
        </w:rPr>
      </w:pPr>
      <w:r w:rsidRPr="009528A8">
        <w:rPr>
          <w:szCs w:val="24"/>
          <w:lang w:val="en-ZA"/>
          <w14:ligatures w14:val="standardContextual"/>
        </w:rPr>
        <w:t xml:space="preserve">Article 7(1)(c) of the </w:t>
      </w:r>
      <w:r w:rsidRPr="009528A8">
        <w:rPr>
          <w:szCs w:val="24"/>
          <w:lang w:val="en-ZA"/>
        </w:rPr>
        <w:t>Charter</w:t>
      </w:r>
      <w:r w:rsidRPr="009528A8">
        <w:rPr>
          <w:szCs w:val="24"/>
          <w:lang w:val="en-ZA"/>
          <w14:ligatures w14:val="standardContextual"/>
        </w:rPr>
        <w:t xml:space="preserve"> provides that:</w:t>
      </w:r>
    </w:p>
    <w:p w14:paraId="0F55E971" w14:textId="77777777" w:rsidR="00E326CE" w:rsidRPr="009528A8" w:rsidRDefault="00E326CE" w:rsidP="002634E9">
      <w:pPr>
        <w:rPr>
          <w:szCs w:val="24"/>
          <w:lang w:val="en-ZA"/>
          <w14:ligatures w14:val="standardContextual"/>
        </w:rPr>
      </w:pPr>
    </w:p>
    <w:p w14:paraId="75E5E382" w14:textId="563AFF5A" w:rsidR="00E326CE" w:rsidRPr="009528A8" w:rsidRDefault="00E326CE" w:rsidP="002634E9">
      <w:pPr>
        <w:rPr>
          <w:lang w:val="en-ZA"/>
          <w14:ligatures w14:val="standardContextual"/>
        </w:rPr>
      </w:pPr>
      <w:r w:rsidRPr="009528A8">
        <w:rPr>
          <w:lang w:val="en-ZA"/>
          <w14:ligatures w14:val="standardContextual"/>
        </w:rPr>
        <w:t xml:space="preserve">Every individual shall have the right to have his cause heard. This comprises the right to defence, including the right to be defended by </w:t>
      </w:r>
      <w:r w:rsidR="00213DF6" w:rsidRPr="009528A8">
        <w:rPr>
          <w:lang w:val="en-ZA"/>
          <w14:ligatures w14:val="standardContextual"/>
        </w:rPr>
        <w:t>c</w:t>
      </w:r>
      <w:r w:rsidRPr="009528A8">
        <w:rPr>
          <w:lang w:val="en-ZA"/>
          <w14:ligatures w14:val="standardContextual"/>
        </w:rPr>
        <w:t xml:space="preserve">ounsel of his choice. </w:t>
      </w:r>
    </w:p>
    <w:p w14:paraId="076C89F8" w14:textId="77777777" w:rsidR="008918C8" w:rsidRPr="009528A8" w:rsidRDefault="008918C8" w:rsidP="002634E9">
      <w:pPr>
        <w:rPr>
          <w:szCs w:val="24"/>
          <w:lang w:val="en-ZA"/>
          <w14:ligatures w14:val="standardContextual"/>
        </w:rPr>
      </w:pPr>
    </w:p>
    <w:p w14:paraId="236FC243" w14:textId="5EA3DCE7" w:rsidR="008918C8" w:rsidRPr="009528A8" w:rsidRDefault="008B1241" w:rsidP="002634E9">
      <w:pPr>
        <w:rPr>
          <w:szCs w:val="24"/>
          <w:lang w:val="en-ZA"/>
          <w14:ligatures w14:val="standardContextual"/>
        </w:rPr>
      </w:pPr>
      <w:r w:rsidRPr="009528A8">
        <w:rPr>
          <w:szCs w:val="24"/>
          <w:lang w:val="en-ZA"/>
          <w14:ligatures w14:val="standardContextual"/>
        </w:rPr>
        <w:t>Th</w:t>
      </w:r>
      <w:r w:rsidR="009D762E" w:rsidRPr="009528A8">
        <w:rPr>
          <w:szCs w:val="24"/>
          <w:lang w:val="en-ZA"/>
          <w14:ligatures w14:val="standardContextual"/>
        </w:rPr>
        <w:t>is Court has held that the</w:t>
      </w:r>
      <w:r w:rsidRPr="009528A8">
        <w:rPr>
          <w:szCs w:val="24"/>
          <w:lang w:val="en-ZA"/>
          <w14:ligatures w14:val="standardContextual"/>
        </w:rPr>
        <w:t xml:space="preserve"> right to defence </w:t>
      </w:r>
      <w:r w:rsidR="009D762E" w:rsidRPr="009528A8">
        <w:rPr>
          <w:szCs w:val="24"/>
          <w:lang w:val="en-ZA"/>
          <w14:ligatures w14:val="standardContextual"/>
        </w:rPr>
        <w:t xml:space="preserve">as </w:t>
      </w:r>
      <w:r w:rsidRPr="009528A8">
        <w:rPr>
          <w:szCs w:val="24"/>
          <w:lang w:val="en-ZA"/>
          <w14:ligatures w14:val="standardContextual"/>
        </w:rPr>
        <w:t xml:space="preserve">set out in Article 7(1)(c) of the Charter is a key component </w:t>
      </w:r>
      <w:r w:rsidRPr="009528A8">
        <w:rPr>
          <w:szCs w:val="24"/>
          <w:lang w:val="en-ZA"/>
        </w:rPr>
        <w:t>of</w:t>
      </w:r>
      <w:r w:rsidRPr="009528A8">
        <w:rPr>
          <w:szCs w:val="24"/>
          <w:lang w:val="en-ZA"/>
          <w14:ligatures w14:val="standardContextual"/>
        </w:rPr>
        <w:t xml:space="preserve"> the right to a fair trial and reflects the potential of a judicial process to offer the parties the opportunity to express their claims and submit their evidence.</w:t>
      </w:r>
      <w:r w:rsidR="002C7F62" w:rsidRPr="009528A8">
        <w:rPr>
          <w:rStyle w:val="FootnoteReference"/>
          <w:rFonts w:ascii="Arial" w:hAnsi="Arial" w:cs="Arial"/>
          <w:sz w:val="24"/>
          <w:szCs w:val="24"/>
          <w:lang w:val="en-ZA"/>
          <w14:ligatures w14:val="standardContextual"/>
        </w:rPr>
        <w:footnoteReference w:id="34"/>
      </w:r>
      <w:r w:rsidR="009D762E" w:rsidRPr="009528A8">
        <w:rPr>
          <w:szCs w:val="24"/>
          <w:lang w:val="en-ZA"/>
          <w14:ligatures w14:val="standardContextual"/>
        </w:rPr>
        <w:t xml:space="preserve"> </w:t>
      </w:r>
      <w:r w:rsidR="00ED3CBB" w:rsidRPr="009528A8">
        <w:rPr>
          <w:szCs w:val="24"/>
          <w:lang w:val="en-ZA"/>
          <w14:ligatures w14:val="standardContextual"/>
        </w:rPr>
        <w:t xml:space="preserve">This Court has </w:t>
      </w:r>
      <w:r w:rsidR="009D762E" w:rsidRPr="009528A8">
        <w:rPr>
          <w:szCs w:val="24"/>
          <w:lang w:val="en-ZA"/>
          <w14:ligatures w14:val="standardContextual"/>
        </w:rPr>
        <w:t xml:space="preserve">further </w:t>
      </w:r>
      <w:r w:rsidR="00224839" w:rsidRPr="009528A8">
        <w:rPr>
          <w:szCs w:val="24"/>
          <w:lang w:val="en-ZA"/>
          <w14:ligatures w14:val="standardContextual"/>
        </w:rPr>
        <w:t xml:space="preserve">held </w:t>
      </w:r>
      <w:r w:rsidR="00776432" w:rsidRPr="009528A8">
        <w:rPr>
          <w:szCs w:val="24"/>
          <w:lang w:val="en-ZA"/>
          <w14:ligatures w14:val="standardContextual"/>
        </w:rPr>
        <w:t xml:space="preserve">in </w:t>
      </w:r>
      <w:r w:rsidR="00776432" w:rsidRPr="009528A8">
        <w:rPr>
          <w:i/>
          <w:iCs/>
          <w:szCs w:val="24"/>
          <w:lang w:val="en-ZA"/>
          <w14:ligatures w14:val="standardContextual"/>
        </w:rPr>
        <w:t xml:space="preserve">Ingabire Victoire </w:t>
      </w:r>
      <w:r w:rsidR="008D4819" w:rsidRPr="009528A8">
        <w:rPr>
          <w:i/>
          <w:iCs/>
          <w:szCs w:val="24"/>
          <w:lang w:val="en-ZA"/>
          <w14:ligatures w14:val="standardContextual"/>
        </w:rPr>
        <w:t xml:space="preserve">Umuhoza </w:t>
      </w:r>
      <w:r w:rsidR="00776432" w:rsidRPr="009528A8">
        <w:rPr>
          <w:i/>
          <w:iCs/>
          <w:szCs w:val="24"/>
          <w:lang w:val="en-ZA"/>
          <w14:ligatures w14:val="standardContextual"/>
        </w:rPr>
        <w:t>v</w:t>
      </w:r>
      <w:r w:rsidR="008D4819" w:rsidRPr="009528A8">
        <w:rPr>
          <w:i/>
          <w:iCs/>
          <w:szCs w:val="24"/>
          <w:lang w:val="en-ZA"/>
          <w14:ligatures w14:val="standardContextual"/>
        </w:rPr>
        <w:t>.</w:t>
      </w:r>
      <w:r w:rsidR="00776432" w:rsidRPr="009528A8">
        <w:rPr>
          <w:i/>
          <w:iCs/>
          <w:szCs w:val="24"/>
          <w:lang w:val="en-ZA"/>
          <w14:ligatures w14:val="standardContextual"/>
        </w:rPr>
        <w:t xml:space="preserve"> </w:t>
      </w:r>
      <w:r w:rsidR="009223BF" w:rsidRPr="009528A8">
        <w:rPr>
          <w:i/>
          <w:iCs/>
          <w:szCs w:val="24"/>
          <w:lang w:val="en-ZA"/>
          <w14:ligatures w14:val="standardContextual"/>
        </w:rPr>
        <w:t xml:space="preserve">Republic of </w:t>
      </w:r>
      <w:r w:rsidR="00776432" w:rsidRPr="009528A8">
        <w:rPr>
          <w:i/>
          <w:iCs/>
          <w:szCs w:val="24"/>
          <w:lang w:val="en-ZA"/>
          <w14:ligatures w14:val="standardContextual"/>
        </w:rPr>
        <w:t>Rwanda</w:t>
      </w:r>
      <w:r w:rsidR="00776432" w:rsidRPr="009528A8">
        <w:rPr>
          <w:szCs w:val="24"/>
          <w:lang w:val="en-ZA"/>
          <w14:ligatures w14:val="standardContextual"/>
        </w:rPr>
        <w:t>,</w:t>
      </w:r>
      <w:r w:rsidR="00ED3CBB" w:rsidRPr="009528A8">
        <w:rPr>
          <w:szCs w:val="24"/>
          <w:lang w:val="en-ZA"/>
          <w14:ligatures w14:val="standardContextual"/>
        </w:rPr>
        <w:t xml:space="preserve"> that</w:t>
      </w:r>
      <w:r w:rsidR="00776432" w:rsidRPr="009528A8">
        <w:rPr>
          <w:szCs w:val="24"/>
          <w:lang w:val="en-ZA"/>
          <w14:ligatures w14:val="standardContextual"/>
        </w:rPr>
        <w:t xml:space="preserve"> an essential aspect of the right to defence</w:t>
      </w:r>
      <w:r w:rsidR="008918C8" w:rsidRPr="009528A8">
        <w:rPr>
          <w:szCs w:val="24"/>
          <w:lang w:val="en-ZA"/>
          <w14:ligatures w14:val="standardContextual"/>
        </w:rPr>
        <w:t xml:space="preserve"> </w:t>
      </w:r>
      <w:r w:rsidR="00776432" w:rsidRPr="009528A8">
        <w:rPr>
          <w:szCs w:val="24"/>
          <w:lang w:val="en-ZA"/>
          <w14:ligatures w14:val="standardContextual"/>
        </w:rPr>
        <w:t>includes the right to call witnesses in one</w:t>
      </w:r>
      <w:r w:rsidR="00E857F7" w:rsidRPr="009528A8">
        <w:rPr>
          <w:szCs w:val="24"/>
          <w:lang w:val="en-ZA"/>
          <w14:ligatures w14:val="standardContextual"/>
        </w:rPr>
        <w:t>’</w:t>
      </w:r>
      <w:r w:rsidR="00776432" w:rsidRPr="009528A8">
        <w:rPr>
          <w:szCs w:val="24"/>
          <w:lang w:val="en-ZA"/>
          <w14:ligatures w14:val="standardContextual"/>
        </w:rPr>
        <w:t>s defence</w:t>
      </w:r>
      <w:r w:rsidR="008918C8" w:rsidRPr="009528A8">
        <w:rPr>
          <w:szCs w:val="24"/>
          <w:lang w:val="en-ZA"/>
          <w14:ligatures w14:val="standardContextual"/>
        </w:rPr>
        <w:t>.</w:t>
      </w:r>
      <w:r w:rsidR="008918C8" w:rsidRPr="009528A8">
        <w:rPr>
          <w:rStyle w:val="FootnoteReference"/>
          <w:rFonts w:ascii="Arial" w:hAnsi="Arial" w:cs="Arial"/>
          <w:sz w:val="24"/>
          <w:szCs w:val="24"/>
          <w:lang w:val="en-ZA"/>
          <w14:ligatures w14:val="standardContextual"/>
        </w:rPr>
        <w:footnoteReference w:id="35"/>
      </w:r>
    </w:p>
    <w:p w14:paraId="7F94CD1E" w14:textId="77777777" w:rsidR="002C7F62" w:rsidRPr="009528A8" w:rsidRDefault="002C7F62" w:rsidP="002634E9">
      <w:pPr>
        <w:rPr>
          <w:szCs w:val="24"/>
          <w:lang w:val="en-ZA"/>
          <w14:ligatures w14:val="standardContextual"/>
        </w:rPr>
      </w:pPr>
    </w:p>
    <w:p w14:paraId="6EB9ADBB" w14:textId="723E6864" w:rsidR="00EC15F4" w:rsidRPr="009528A8" w:rsidRDefault="008D4819" w:rsidP="002634E9">
      <w:pPr>
        <w:rPr>
          <w:szCs w:val="24"/>
          <w:lang w:val="en-ZA"/>
          <w14:ligatures w14:val="standardContextual"/>
        </w:rPr>
      </w:pPr>
      <w:r w:rsidRPr="009528A8">
        <w:rPr>
          <w:szCs w:val="24"/>
          <w:lang w:val="en-ZA"/>
          <w14:ligatures w14:val="standardContextual"/>
        </w:rPr>
        <w:t>T</w:t>
      </w:r>
      <w:r w:rsidR="008918C8" w:rsidRPr="009528A8">
        <w:rPr>
          <w:szCs w:val="24"/>
          <w:lang w:val="en-ZA"/>
          <w14:ligatures w14:val="standardContextual"/>
        </w:rPr>
        <w:t>he Court notes</w:t>
      </w:r>
      <w:r w:rsidR="00F761F9" w:rsidRPr="009528A8">
        <w:rPr>
          <w:szCs w:val="24"/>
          <w:lang w:val="en-ZA"/>
          <w14:ligatures w14:val="standardContextual"/>
        </w:rPr>
        <w:t>, from the record,</w:t>
      </w:r>
      <w:r w:rsidR="008918C8" w:rsidRPr="009528A8">
        <w:rPr>
          <w:szCs w:val="24"/>
          <w:lang w:val="en-ZA"/>
          <w14:ligatures w14:val="standardContextual"/>
        </w:rPr>
        <w:t xml:space="preserve"> that there is nothing to show that the Applicant made any request for the </w:t>
      </w:r>
      <w:r w:rsidR="008918C8" w:rsidRPr="009528A8">
        <w:rPr>
          <w:szCs w:val="24"/>
          <w:lang w:val="en-ZA"/>
        </w:rPr>
        <w:t>summoning</w:t>
      </w:r>
      <w:r w:rsidR="008918C8" w:rsidRPr="009528A8">
        <w:rPr>
          <w:szCs w:val="24"/>
          <w:lang w:val="en-ZA"/>
          <w14:ligatures w14:val="standardContextual"/>
        </w:rPr>
        <w:t xml:space="preserve"> of the defen</w:t>
      </w:r>
      <w:r w:rsidR="00EC15F4" w:rsidRPr="009528A8">
        <w:rPr>
          <w:szCs w:val="24"/>
          <w:lang w:val="en-ZA"/>
          <w14:ligatures w14:val="standardContextual"/>
        </w:rPr>
        <w:t>c</w:t>
      </w:r>
      <w:r w:rsidR="008918C8" w:rsidRPr="009528A8">
        <w:rPr>
          <w:szCs w:val="24"/>
          <w:lang w:val="en-ZA"/>
          <w14:ligatures w14:val="standardContextual"/>
        </w:rPr>
        <w:t>e witnesses and that the courts refused to grant it.</w:t>
      </w:r>
      <w:r w:rsidR="00EC1B47" w:rsidRPr="009528A8">
        <w:rPr>
          <w:szCs w:val="24"/>
          <w:lang w:val="en-ZA"/>
          <w14:ligatures w14:val="standardContextual"/>
        </w:rPr>
        <w:t xml:space="preserve"> On the contrary, </w:t>
      </w:r>
      <w:r w:rsidR="00E04688" w:rsidRPr="009528A8">
        <w:rPr>
          <w:szCs w:val="24"/>
          <w:lang w:val="en-ZA"/>
          <w14:ligatures w14:val="standardContextual"/>
        </w:rPr>
        <w:t xml:space="preserve">despite indicating that his wife could verify his alibi, the Applicant </w:t>
      </w:r>
      <w:r w:rsidR="00EC1B47" w:rsidRPr="009528A8">
        <w:rPr>
          <w:szCs w:val="24"/>
          <w:lang w:val="en-ZA"/>
          <w14:ligatures w14:val="standardContextual"/>
        </w:rPr>
        <w:t>never showed any intention to have h</w:t>
      </w:r>
      <w:r w:rsidR="00E04688" w:rsidRPr="009528A8">
        <w:rPr>
          <w:szCs w:val="24"/>
          <w:lang w:val="en-ZA"/>
          <w14:ligatures w14:val="standardContextual"/>
        </w:rPr>
        <w:t xml:space="preserve">er </w:t>
      </w:r>
      <w:r w:rsidR="00EC1B47" w:rsidRPr="009528A8">
        <w:rPr>
          <w:szCs w:val="24"/>
          <w:lang w:val="en-ZA"/>
          <w14:ligatures w14:val="standardContextual"/>
        </w:rPr>
        <w:t>in court as a witness</w:t>
      </w:r>
      <w:r w:rsidR="00F761F9" w:rsidRPr="009528A8">
        <w:rPr>
          <w:szCs w:val="24"/>
          <w:lang w:val="en-ZA"/>
          <w14:ligatures w14:val="standardContextual"/>
        </w:rPr>
        <w:t xml:space="preserve">. As a matter of fact, </w:t>
      </w:r>
      <w:r w:rsidR="00EC1B47" w:rsidRPr="009528A8">
        <w:rPr>
          <w:szCs w:val="24"/>
          <w:lang w:val="en-ZA"/>
          <w14:ligatures w14:val="standardContextual"/>
        </w:rPr>
        <w:t xml:space="preserve">the Applicant is on record indicating that he would not call </w:t>
      </w:r>
      <w:r w:rsidR="003D1E8D" w:rsidRPr="009528A8">
        <w:rPr>
          <w:szCs w:val="24"/>
          <w:lang w:val="en-ZA"/>
          <w14:ligatures w14:val="standardContextual"/>
        </w:rPr>
        <w:t>any</w:t>
      </w:r>
      <w:r w:rsidR="00EC1B47" w:rsidRPr="009528A8">
        <w:rPr>
          <w:szCs w:val="24"/>
          <w:lang w:val="en-ZA"/>
          <w14:ligatures w14:val="standardContextual"/>
        </w:rPr>
        <w:t xml:space="preserve"> witness. </w:t>
      </w:r>
    </w:p>
    <w:p w14:paraId="6D158C71" w14:textId="77777777" w:rsidR="00EC15F4" w:rsidRPr="009528A8" w:rsidRDefault="00EC15F4" w:rsidP="002634E9">
      <w:pPr>
        <w:rPr>
          <w:szCs w:val="24"/>
          <w:lang w:val="en-ZA"/>
          <w14:ligatures w14:val="standardContextual"/>
        </w:rPr>
      </w:pPr>
    </w:p>
    <w:p w14:paraId="70A34251" w14:textId="4ACD6511" w:rsidR="00282C4E" w:rsidRPr="009528A8" w:rsidRDefault="008918C8" w:rsidP="002634E9">
      <w:pPr>
        <w:rPr>
          <w:rFonts w:eastAsia="Arial"/>
          <w:szCs w:val="24"/>
        </w:rPr>
      </w:pPr>
      <w:bookmarkStart w:id="61" w:name="_Hlk133165903"/>
      <w:r w:rsidRPr="009528A8">
        <w:rPr>
          <w:szCs w:val="24"/>
          <w:lang w:val="en-ZA"/>
          <w14:ligatures w14:val="standardContextual"/>
        </w:rPr>
        <w:lastRenderedPageBreak/>
        <w:t>In view of the above, the Court dismisses the</w:t>
      </w:r>
      <w:r w:rsidR="00282C4E" w:rsidRPr="009528A8">
        <w:rPr>
          <w:szCs w:val="24"/>
          <w:lang w:val="en-ZA"/>
          <w14:ligatures w14:val="standardContextual"/>
        </w:rPr>
        <w:t xml:space="preserve"> Applic</w:t>
      </w:r>
      <w:r w:rsidR="005D7C29" w:rsidRPr="009528A8">
        <w:rPr>
          <w:szCs w:val="24"/>
          <w:lang w:val="en-ZA"/>
          <w14:ligatures w14:val="standardContextual"/>
        </w:rPr>
        <w:t>ant</w:t>
      </w:r>
      <w:r w:rsidR="00E857F7" w:rsidRPr="009528A8">
        <w:rPr>
          <w:szCs w:val="24"/>
          <w:lang w:val="en-ZA"/>
          <w14:ligatures w14:val="standardContextual"/>
        </w:rPr>
        <w:t>’</w:t>
      </w:r>
      <w:r w:rsidR="005D7C29" w:rsidRPr="009528A8">
        <w:rPr>
          <w:szCs w:val="24"/>
          <w:lang w:val="en-ZA"/>
          <w14:ligatures w14:val="standardContextual"/>
        </w:rPr>
        <w:t>s</w:t>
      </w:r>
      <w:r w:rsidRPr="009528A8">
        <w:rPr>
          <w:szCs w:val="24"/>
          <w:lang w:val="en-ZA"/>
          <w14:ligatures w14:val="standardContextual"/>
        </w:rPr>
        <w:t xml:space="preserve"> allegation that the </w:t>
      </w:r>
      <w:r w:rsidR="00F4098D" w:rsidRPr="009528A8">
        <w:rPr>
          <w:szCs w:val="24"/>
          <w:lang w:val="en-ZA"/>
          <w14:ligatures w14:val="standardContextual"/>
        </w:rPr>
        <w:t>J</w:t>
      </w:r>
      <w:r w:rsidR="00EC1B47" w:rsidRPr="009528A8">
        <w:rPr>
          <w:szCs w:val="24"/>
          <w:lang w:val="en-ZA"/>
          <w14:ligatures w14:val="standardContextual"/>
        </w:rPr>
        <w:t>ustice</w:t>
      </w:r>
      <w:r w:rsidR="00F4098D" w:rsidRPr="009528A8">
        <w:rPr>
          <w:szCs w:val="24"/>
          <w:lang w:val="en-ZA"/>
          <w14:ligatures w14:val="standardContextual"/>
        </w:rPr>
        <w:t>s</w:t>
      </w:r>
      <w:r w:rsidR="00EC1B47" w:rsidRPr="009528A8">
        <w:rPr>
          <w:szCs w:val="24"/>
          <w:lang w:val="en-ZA"/>
          <w14:ligatures w14:val="standardContextual"/>
        </w:rPr>
        <w:t xml:space="preserve"> of </w:t>
      </w:r>
      <w:r w:rsidR="00F4098D" w:rsidRPr="009528A8">
        <w:rPr>
          <w:szCs w:val="24"/>
          <w:lang w:val="en-ZA"/>
          <w14:ligatures w14:val="standardContextual"/>
        </w:rPr>
        <w:t>A</w:t>
      </w:r>
      <w:r w:rsidR="00EC1B47" w:rsidRPr="009528A8">
        <w:rPr>
          <w:szCs w:val="24"/>
          <w:lang w:val="en-ZA"/>
          <w14:ligatures w14:val="standardContextual"/>
        </w:rPr>
        <w:t xml:space="preserve">ppeal violated </w:t>
      </w:r>
      <w:r w:rsidR="0005292B" w:rsidRPr="009528A8">
        <w:rPr>
          <w:szCs w:val="24"/>
          <w:lang w:val="en-ZA"/>
          <w14:ligatures w14:val="standardContextual"/>
        </w:rPr>
        <w:t xml:space="preserve">his </w:t>
      </w:r>
      <w:r w:rsidR="006458A1" w:rsidRPr="009528A8">
        <w:rPr>
          <w:szCs w:val="24"/>
          <w:lang w:val="en-ZA"/>
          <w14:ligatures w14:val="standardContextual"/>
        </w:rPr>
        <w:t>right to defence</w:t>
      </w:r>
      <w:r w:rsidR="00282C4E" w:rsidRPr="009528A8">
        <w:rPr>
          <w:szCs w:val="24"/>
          <w:lang w:val="en-ZA"/>
          <w14:ligatures w14:val="standardContextual"/>
        </w:rPr>
        <w:t xml:space="preserve"> by failing to summon defence witnesses. The Court</w:t>
      </w:r>
      <w:r w:rsidR="008E0318" w:rsidRPr="009528A8">
        <w:rPr>
          <w:szCs w:val="24"/>
          <w:lang w:val="en-ZA"/>
          <w14:ligatures w14:val="standardContextual"/>
        </w:rPr>
        <w:t>,</w:t>
      </w:r>
      <w:r w:rsidR="00282C4E" w:rsidRPr="009528A8">
        <w:rPr>
          <w:szCs w:val="24"/>
          <w:lang w:val="en-ZA"/>
          <w14:ligatures w14:val="standardContextual"/>
        </w:rPr>
        <w:t xml:space="preserve"> therefore</w:t>
      </w:r>
      <w:r w:rsidR="008E0318" w:rsidRPr="009528A8">
        <w:rPr>
          <w:szCs w:val="24"/>
          <w:lang w:val="en-ZA"/>
          <w14:ligatures w14:val="standardContextual"/>
        </w:rPr>
        <w:t>,</w:t>
      </w:r>
      <w:r w:rsidR="00282C4E" w:rsidRPr="009528A8">
        <w:rPr>
          <w:szCs w:val="24"/>
          <w:lang w:val="en-ZA"/>
          <w14:ligatures w14:val="standardContextual"/>
        </w:rPr>
        <w:t xml:space="preserve"> finds that the Respondent has not </w:t>
      </w:r>
      <w:r w:rsidR="005D7C29" w:rsidRPr="009528A8">
        <w:rPr>
          <w:szCs w:val="24"/>
          <w:lang w:val="en-ZA"/>
          <w14:ligatures w14:val="standardContextual"/>
        </w:rPr>
        <w:t>violated Article</w:t>
      </w:r>
      <w:r w:rsidR="006458A1" w:rsidRPr="009528A8">
        <w:rPr>
          <w:szCs w:val="24"/>
          <w:lang w:val="en-ZA"/>
          <w14:ligatures w14:val="standardContextual"/>
        </w:rPr>
        <w:t xml:space="preserve"> 7(1)(c) of the Charter</w:t>
      </w:r>
      <w:r w:rsidR="00454A76" w:rsidRPr="009528A8">
        <w:rPr>
          <w:szCs w:val="24"/>
          <w:lang w:val="en-ZA"/>
          <w14:ligatures w14:val="standardContextual"/>
        </w:rPr>
        <w:t xml:space="preserve"> in respect of the summoning of defence witnesses</w:t>
      </w:r>
      <w:r w:rsidR="00282C4E" w:rsidRPr="009528A8">
        <w:rPr>
          <w:szCs w:val="24"/>
          <w:lang w:val="en-ZA"/>
          <w14:ligatures w14:val="standardContextual"/>
        </w:rPr>
        <w:t>.</w:t>
      </w:r>
    </w:p>
    <w:bookmarkEnd w:id="61"/>
    <w:p w14:paraId="2E7A6FA9" w14:textId="65F36B3F" w:rsidR="000C2A74" w:rsidRPr="009528A8" w:rsidRDefault="000C2A74" w:rsidP="002634E9">
      <w:pPr>
        <w:rPr>
          <w:lang w:val="en-ZA"/>
        </w:rPr>
      </w:pPr>
    </w:p>
    <w:p w14:paraId="46663DBB" w14:textId="77777777" w:rsidR="001E4273" w:rsidRPr="009528A8" w:rsidRDefault="001E4273" w:rsidP="002634E9">
      <w:pPr>
        <w:rPr>
          <w:lang w:val="en-ZA"/>
        </w:rPr>
      </w:pPr>
    </w:p>
    <w:p w14:paraId="1E352E2C" w14:textId="5E561139" w:rsidR="003F7883" w:rsidRPr="009528A8" w:rsidRDefault="003F7883" w:rsidP="002634E9">
      <w:pPr>
        <w:rPr>
          <w:lang w:val="en-ZA"/>
        </w:rPr>
      </w:pPr>
      <w:bookmarkStart w:id="62" w:name="_Toc143594946"/>
      <w:r w:rsidRPr="009528A8">
        <w:rPr>
          <w:lang w:val="en-ZA"/>
        </w:rPr>
        <w:t>REPARATIONS</w:t>
      </w:r>
      <w:bookmarkEnd w:id="62"/>
    </w:p>
    <w:p w14:paraId="08228821" w14:textId="77777777" w:rsidR="006E0F3E" w:rsidRPr="009528A8" w:rsidRDefault="006E0F3E" w:rsidP="002634E9">
      <w:pPr>
        <w:rPr>
          <w:szCs w:val="24"/>
          <w:lang w:val="en-ZA"/>
          <w14:ligatures w14:val="standardContextual"/>
        </w:rPr>
      </w:pPr>
    </w:p>
    <w:p w14:paraId="1C3549A0" w14:textId="08719309" w:rsidR="003F7883" w:rsidRPr="009528A8" w:rsidRDefault="003F7883" w:rsidP="002634E9">
      <w:pPr>
        <w:rPr>
          <w:szCs w:val="24"/>
          <w:lang w:val="en-ZA"/>
          <w14:ligatures w14:val="standardContextual"/>
        </w:rPr>
      </w:pPr>
      <w:r w:rsidRPr="009528A8">
        <w:rPr>
          <w:szCs w:val="24"/>
          <w:lang w:val="en-ZA"/>
          <w14:ligatures w14:val="standardContextual"/>
        </w:rPr>
        <w:t>The Applicant</w:t>
      </w:r>
      <w:r w:rsidR="0082109B" w:rsidRPr="009528A8">
        <w:rPr>
          <w:szCs w:val="24"/>
          <w:lang w:val="en-ZA"/>
          <w14:ligatures w14:val="standardContextual"/>
        </w:rPr>
        <w:t xml:space="preserve"> </w:t>
      </w:r>
      <w:r w:rsidRPr="009528A8">
        <w:rPr>
          <w:szCs w:val="24"/>
          <w:lang w:val="en-ZA"/>
          <w14:ligatures w14:val="standardContextual"/>
        </w:rPr>
        <w:t>pray</w:t>
      </w:r>
      <w:r w:rsidR="0082109B" w:rsidRPr="009528A8">
        <w:rPr>
          <w:szCs w:val="24"/>
          <w:lang w:val="en-ZA"/>
          <w14:ligatures w14:val="standardContextual"/>
        </w:rPr>
        <w:t>s</w:t>
      </w:r>
      <w:r w:rsidRPr="009528A8">
        <w:rPr>
          <w:szCs w:val="24"/>
          <w:lang w:val="en-ZA"/>
          <w14:ligatures w14:val="standardContextual"/>
        </w:rPr>
        <w:t xml:space="preserve"> the </w:t>
      </w:r>
      <w:r w:rsidRPr="009528A8">
        <w:rPr>
          <w:szCs w:val="24"/>
          <w:lang w:val="en-ZA"/>
        </w:rPr>
        <w:t>Court</w:t>
      </w:r>
      <w:r w:rsidRPr="009528A8">
        <w:rPr>
          <w:szCs w:val="24"/>
          <w:lang w:val="en-ZA"/>
          <w14:ligatures w14:val="standardContextual"/>
        </w:rPr>
        <w:t xml:space="preserve"> to grant </w:t>
      </w:r>
      <w:r w:rsidR="0082109B" w:rsidRPr="009528A8">
        <w:rPr>
          <w:szCs w:val="24"/>
          <w:lang w:val="en-ZA"/>
          <w14:ligatures w14:val="standardContextual"/>
        </w:rPr>
        <w:t>him</w:t>
      </w:r>
      <w:r w:rsidRPr="009528A8">
        <w:rPr>
          <w:szCs w:val="24"/>
          <w:lang w:val="en-ZA"/>
          <w14:ligatures w14:val="standardContextual"/>
        </w:rPr>
        <w:t xml:space="preserve"> reparations for the violations that </w:t>
      </w:r>
      <w:r w:rsidR="0082109B" w:rsidRPr="009528A8">
        <w:rPr>
          <w:szCs w:val="24"/>
          <w:lang w:val="en-ZA"/>
          <w14:ligatures w14:val="standardContextual"/>
        </w:rPr>
        <w:t>he</w:t>
      </w:r>
      <w:r w:rsidRPr="009528A8">
        <w:rPr>
          <w:szCs w:val="24"/>
          <w:lang w:val="en-ZA"/>
          <w14:ligatures w14:val="standardContextual"/>
        </w:rPr>
        <w:t xml:space="preserve"> suffered including quashing the judgment of the Court of Appeal</w:t>
      </w:r>
      <w:r w:rsidR="00697CC7" w:rsidRPr="009528A8">
        <w:rPr>
          <w:szCs w:val="24"/>
          <w:lang w:val="en-ZA"/>
          <w14:ligatures w14:val="standardContextual"/>
        </w:rPr>
        <w:t xml:space="preserve">, </w:t>
      </w:r>
      <w:r w:rsidRPr="009528A8">
        <w:rPr>
          <w:szCs w:val="24"/>
          <w:lang w:val="en-ZA"/>
          <w14:ligatures w14:val="standardContextual"/>
        </w:rPr>
        <w:t xml:space="preserve">setting </w:t>
      </w:r>
      <w:r w:rsidR="0082109B" w:rsidRPr="009528A8">
        <w:rPr>
          <w:szCs w:val="24"/>
          <w:lang w:val="en-ZA"/>
          <w14:ligatures w14:val="standardContextual"/>
        </w:rPr>
        <w:t xml:space="preserve">him </w:t>
      </w:r>
      <w:r w:rsidRPr="009528A8">
        <w:rPr>
          <w:szCs w:val="24"/>
          <w:lang w:val="en-ZA"/>
          <w14:ligatures w14:val="standardContextual"/>
        </w:rPr>
        <w:t>at liberty</w:t>
      </w:r>
      <w:r w:rsidR="00697CC7" w:rsidRPr="009528A8">
        <w:rPr>
          <w:szCs w:val="24"/>
          <w:lang w:val="en-ZA"/>
          <w14:ligatures w14:val="standardContextual"/>
        </w:rPr>
        <w:t xml:space="preserve"> and any other reliefs that the Court may deem necessary.</w:t>
      </w:r>
    </w:p>
    <w:p w14:paraId="43564E79" w14:textId="77777777" w:rsidR="003F7883" w:rsidRPr="009528A8" w:rsidRDefault="003F7883" w:rsidP="002634E9">
      <w:pPr>
        <w:rPr>
          <w:szCs w:val="24"/>
          <w:lang w:val="en-ZA"/>
          <w14:ligatures w14:val="standardContextual"/>
        </w:rPr>
      </w:pPr>
    </w:p>
    <w:p w14:paraId="515A58BE" w14:textId="47441DAE" w:rsidR="0082109B" w:rsidRPr="009528A8" w:rsidRDefault="003F7883" w:rsidP="002634E9">
      <w:pPr>
        <w:rPr>
          <w:szCs w:val="24"/>
          <w:lang w:val="en-ZA"/>
          <w14:ligatures w14:val="standardContextual"/>
        </w:rPr>
      </w:pPr>
      <w:r w:rsidRPr="009528A8">
        <w:rPr>
          <w:szCs w:val="24"/>
          <w:lang w:val="en-ZA"/>
          <w14:ligatures w14:val="standardContextual"/>
        </w:rPr>
        <w:t xml:space="preserve">The </w:t>
      </w:r>
      <w:r w:rsidRPr="009528A8">
        <w:rPr>
          <w:szCs w:val="24"/>
          <w:lang w:val="en-ZA"/>
        </w:rPr>
        <w:t>Respondent</w:t>
      </w:r>
      <w:r w:rsidRPr="009528A8">
        <w:rPr>
          <w:szCs w:val="24"/>
          <w:lang w:val="en-ZA"/>
          <w14:ligatures w14:val="standardContextual"/>
        </w:rPr>
        <w:t xml:space="preserve"> State prays the Court to deny the Applicant</w:t>
      </w:r>
      <w:r w:rsidR="00E857F7" w:rsidRPr="009528A8">
        <w:rPr>
          <w:szCs w:val="24"/>
          <w:lang w:val="en-ZA"/>
          <w14:ligatures w14:val="standardContextual"/>
        </w:rPr>
        <w:t>’</w:t>
      </w:r>
      <w:r w:rsidR="0082109B" w:rsidRPr="009528A8">
        <w:rPr>
          <w:szCs w:val="24"/>
          <w:lang w:val="en-ZA"/>
          <w14:ligatures w14:val="standardContextual"/>
        </w:rPr>
        <w:t>s</w:t>
      </w:r>
      <w:r w:rsidRPr="009528A8">
        <w:rPr>
          <w:szCs w:val="24"/>
          <w:lang w:val="en-ZA"/>
          <w14:ligatures w14:val="standardContextual"/>
        </w:rPr>
        <w:t xml:space="preserve"> request for reparations.</w:t>
      </w:r>
    </w:p>
    <w:p w14:paraId="3FBC7E16" w14:textId="701B66C9" w:rsidR="003F7883" w:rsidRPr="009528A8" w:rsidRDefault="0082109B" w:rsidP="002634E9">
      <w:pPr>
        <w:rPr>
          <w:szCs w:val="24"/>
          <w:lang w:val="en-ZA"/>
          <w14:ligatures w14:val="standardContextual"/>
        </w:rPr>
      </w:pPr>
      <w:r w:rsidRPr="009528A8">
        <w:rPr>
          <w:szCs w:val="24"/>
          <w:lang w:val="en-ZA"/>
          <w14:ligatures w14:val="standardContextual"/>
        </w:rPr>
        <w:t>***</w:t>
      </w:r>
    </w:p>
    <w:p w14:paraId="0FAC4164" w14:textId="77777777" w:rsidR="0082109B" w:rsidRPr="009528A8" w:rsidRDefault="0082109B" w:rsidP="002634E9">
      <w:pPr>
        <w:rPr>
          <w:szCs w:val="24"/>
          <w:lang w:val="en-ZA"/>
          <w14:ligatures w14:val="standardContextual"/>
        </w:rPr>
      </w:pPr>
    </w:p>
    <w:p w14:paraId="4F5AB5A7" w14:textId="0217390A" w:rsidR="0082109B" w:rsidRPr="009528A8" w:rsidRDefault="0082109B" w:rsidP="002634E9">
      <w:pPr>
        <w:rPr>
          <w:szCs w:val="24"/>
          <w:lang w:val="en-ZA"/>
          <w14:ligatures w14:val="standardContextual"/>
        </w:rPr>
      </w:pPr>
      <w:r w:rsidRPr="009528A8">
        <w:rPr>
          <w:szCs w:val="24"/>
          <w:lang w:val="en-ZA"/>
          <w14:ligatures w14:val="standardContextual"/>
        </w:rPr>
        <w:t xml:space="preserve">Article 27(1) of </w:t>
      </w:r>
      <w:r w:rsidRPr="009528A8">
        <w:rPr>
          <w:szCs w:val="24"/>
          <w:lang w:val="en-ZA"/>
        </w:rPr>
        <w:t>the</w:t>
      </w:r>
      <w:r w:rsidRPr="009528A8">
        <w:rPr>
          <w:szCs w:val="24"/>
          <w:lang w:val="en-ZA"/>
          <w14:ligatures w14:val="standardContextual"/>
        </w:rPr>
        <w:t xml:space="preserve"> Protocol provides that:</w:t>
      </w:r>
    </w:p>
    <w:p w14:paraId="65F7B25D" w14:textId="77777777" w:rsidR="0082109B" w:rsidRPr="009528A8" w:rsidRDefault="0082109B" w:rsidP="002634E9">
      <w:pPr>
        <w:rPr>
          <w:szCs w:val="24"/>
          <w:lang w:val="en-ZA"/>
          <w14:ligatures w14:val="standardContextual"/>
        </w:rPr>
      </w:pPr>
    </w:p>
    <w:p w14:paraId="3E15F909" w14:textId="22164D72" w:rsidR="007C1412" w:rsidRPr="009528A8" w:rsidRDefault="0082109B" w:rsidP="002634E9">
      <w:pPr>
        <w:rPr>
          <w:lang w:val="en-ZA"/>
          <w14:ligatures w14:val="standardContextual"/>
        </w:rPr>
      </w:pPr>
      <w:r w:rsidRPr="009528A8">
        <w:rPr>
          <w:lang w:val="en-ZA"/>
          <w14:ligatures w14:val="standardContextual"/>
        </w:rPr>
        <w:t>If the Court finds that there has been violation of a human or peoples</w:t>
      </w:r>
      <w:r w:rsidR="00E857F7" w:rsidRPr="009528A8">
        <w:rPr>
          <w:lang w:val="en-ZA"/>
          <w14:ligatures w14:val="standardContextual"/>
        </w:rPr>
        <w:t>’</w:t>
      </w:r>
      <w:r w:rsidRPr="009528A8">
        <w:rPr>
          <w:lang w:val="en-ZA"/>
          <w14:ligatures w14:val="standardContextual"/>
        </w:rPr>
        <w:t xml:space="preserve"> rights, it shall make appropriate orders to remedy the violation, including the payment of fair compensation or reparation.</w:t>
      </w:r>
    </w:p>
    <w:p w14:paraId="4F5900C0" w14:textId="77777777" w:rsidR="007C1412" w:rsidRPr="009528A8" w:rsidRDefault="007C1412" w:rsidP="002634E9">
      <w:pPr>
        <w:rPr>
          <w:szCs w:val="24"/>
          <w:lang w:val="en-ZA"/>
          <w14:ligatures w14:val="standardContextual"/>
        </w:rPr>
      </w:pPr>
    </w:p>
    <w:p w14:paraId="4875CF71" w14:textId="116A72B5" w:rsidR="007C1412" w:rsidRPr="009528A8" w:rsidRDefault="007C1412" w:rsidP="002634E9">
      <w:pPr>
        <w:rPr>
          <w:szCs w:val="24"/>
          <w:lang w:val="en-ZA"/>
          <w14:ligatures w14:val="standardContextual"/>
        </w:rPr>
      </w:pPr>
      <w:r w:rsidRPr="009528A8">
        <w:rPr>
          <w:szCs w:val="24"/>
          <w:lang w:val="en-ZA"/>
          <w14:ligatures w14:val="standardContextual"/>
        </w:rPr>
        <w:t xml:space="preserve">In the </w:t>
      </w:r>
      <w:r w:rsidRPr="009528A8">
        <w:rPr>
          <w:szCs w:val="24"/>
          <w:lang w:val="en-ZA"/>
        </w:rPr>
        <w:t>instant</w:t>
      </w:r>
      <w:r w:rsidRPr="009528A8">
        <w:rPr>
          <w:szCs w:val="24"/>
          <w:lang w:val="en-ZA"/>
          <w14:ligatures w14:val="standardContextual"/>
        </w:rPr>
        <w:t xml:space="preserve"> case, since no violation has been established, the prayer for reparation is not justified. The Court, therefore, dismisses the Applicant</w:t>
      </w:r>
      <w:r w:rsidR="00E857F7" w:rsidRPr="009528A8">
        <w:rPr>
          <w:szCs w:val="24"/>
          <w:lang w:val="en-ZA"/>
          <w14:ligatures w14:val="standardContextual"/>
        </w:rPr>
        <w:t>’</w:t>
      </w:r>
      <w:r w:rsidR="00E53FFB" w:rsidRPr="009528A8">
        <w:rPr>
          <w:szCs w:val="24"/>
          <w:lang w:val="en-ZA"/>
          <w14:ligatures w14:val="standardContextual"/>
        </w:rPr>
        <w:t>s</w:t>
      </w:r>
      <w:r w:rsidRPr="009528A8">
        <w:rPr>
          <w:szCs w:val="24"/>
          <w:lang w:val="en-ZA"/>
          <w14:ligatures w14:val="standardContextual"/>
        </w:rPr>
        <w:t xml:space="preserve"> prayer for reparation.</w:t>
      </w:r>
    </w:p>
    <w:p w14:paraId="298C2C38" w14:textId="77777777" w:rsidR="007C1412" w:rsidRPr="009528A8" w:rsidRDefault="007C1412" w:rsidP="002634E9">
      <w:pPr>
        <w:rPr>
          <w:lang w:val="en-ZA"/>
          <w14:ligatures w14:val="standardContextual"/>
        </w:rPr>
      </w:pPr>
    </w:p>
    <w:p w14:paraId="5EE64949" w14:textId="7C11CA1D" w:rsidR="007C1412" w:rsidRPr="009528A8" w:rsidRDefault="007C1412" w:rsidP="002634E9">
      <w:pPr>
        <w:rPr>
          <w:lang w:val="en-ZA"/>
          <w14:ligatures w14:val="standardContextual"/>
        </w:rPr>
      </w:pPr>
    </w:p>
    <w:p w14:paraId="0AC9672D" w14:textId="24942309" w:rsidR="003F7883" w:rsidRPr="009528A8" w:rsidRDefault="003F7883" w:rsidP="002634E9">
      <w:pPr>
        <w:rPr>
          <w:lang w:val="en-ZA"/>
        </w:rPr>
      </w:pPr>
      <w:bookmarkStart w:id="63" w:name="_Toc143594947"/>
      <w:r w:rsidRPr="009528A8">
        <w:rPr>
          <w:lang w:val="en-ZA"/>
        </w:rPr>
        <w:t>COSTS</w:t>
      </w:r>
      <w:bookmarkEnd w:id="63"/>
    </w:p>
    <w:p w14:paraId="2D760E35" w14:textId="77777777" w:rsidR="00461183" w:rsidRPr="009528A8" w:rsidRDefault="00461183" w:rsidP="002634E9">
      <w:pPr>
        <w:rPr>
          <w:lang w:val="en-ZA"/>
        </w:rPr>
      </w:pPr>
    </w:p>
    <w:p w14:paraId="5A701907" w14:textId="10E3BC42" w:rsidR="00461183" w:rsidRPr="009528A8" w:rsidRDefault="007307FE" w:rsidP="002634E9">
      <w:pPr>
        <w:rPr>
          <w:szCs w:val="24"/>
          <w:lang w:val="en-ZA" w:bidi="fr-FR"/>
        </w:rPr>
      </w:pPr>
      <w:r w:rsidRPr="009528A8">
        <w:rPr>
          <w:szCs w:val="24"/>
          <w:lang w:bidi="fr-FR"/>
        </w:rPr>
        <w:t xml:space="preserve">In the present </w:t>
      </w:r>
      <w:r w:rsidR="00F64481" w:rsidRPr="009528A8">
        <w:rPr>
          <w:szCs w:val="24"/>
          <w:lang w:bidi="fr-FR"/>
        </w:rPr>
        <w:t>a</w:t>
      </w:r>
      <w:r w:rsidRPr="009528A8">
        <w:rPr>
          <w:szCs w:val="24"/>
          <w:lang w:bidi="fr-FR"/>
        </w:rPr>
        <w:t>pplication, t</w:t>
      </w:r>
      <w:r w:rsidR="00461183" w:rsidRPr="009528A8">
        <w:rPr>
          <w:szCs w:val="24"/>
          <w:lang w:bidi="fr-FR"/>
        </w:rPr>
        <w:t xml:space="preserve">he </w:t>
      </w:r>
      <w:r w:rsidR="00840991" w:rsidRPr="009528A8">
        <w:rPr>
          <w:szCs w:val="24"/>
          <w:lang w:bidi="fr-FR"/>
        </w:rPr>
        <w:t>P</w:t>
      </w:r>
      <w:r w:rsidR="00D0381C" w:rsidRPr="009528A8">
        <w:rPr>
          <w:szCs w:val="24"/>
          <w:lang w:bidi="fr-FR"/>
        </w:rPr>
        <w:t xml:space="preserve">arties </w:t>
      </w:r>
      <w:r w:rsidR="00D0381C" w:rsidRPr="009528A8">
        <w:rPr>
          <w:szCs w:val="24"/>
          <w:lang w:val="en-ZA" w:bidi="fr-FR"/>
        </w:rPr>
        <w:t xml:space="preserve">did not make any submissions regarding </w:t>
      </w:r>
      <w:r w:rsidR="00461183" w:rsidRPr="009528A8">
        <w:rPr>
          <w:szCs w:val="24"/>
          <w:lang w:bidi="fr-FR"/>
        </w:rPr>
        <w:t xml:space="preserve">the </w:t>
      </w:r>
      <w:r w:rsidR="00461183" w:rsidRPr="009528A8">
        <w:rPr>
          <w:szCs w:val="24"/>
          <w:lang w:val="en-ZA"/>
        </w:rPr>
        <w:t>costs</w:t>
      </w:r>
      <w:r w:rsidR="00461183" w:rsidRPr="009528A8">
        <w:rPr>
          <w:szCs w:val="24"/>
          <w:lang w:bidi="fr-FR"/>
        </w:rPr>
        <w:t xml:space="preserve"> of th</w:t>
      </w:r>
      <w:r w:rsidRPr="009528A8">
        <w:rPr>
          <w:szCs w:val="24"/>
          <w:lang w:bidi="fr-FR"/>
        </w:rPr>
        <w:t>e</w:t>
      </w:r>
      <w:r w:rsidR="00461183" w:rsidRPr="009528A8">
        <w:rPr>
          <w:szCs w:val="24"/>
          <w:lang w:bidi="fr-FR"/>
        </w:rPr>
        <w:t xml:space="preserve"> </w:t>
      </w:r>
      <w:r w:rsidR="00F64481" w:rsidRPr="009528A8">
        <w:rPr>
          <w:szCs w:val="24"/>
        </w:rPr>
        <w:t>a</w:t>
      </w:r>
      <w:r w:rsidR="00461183" w:rsidRPr="009528A8">
        <w:rPr>
          <w:szCs w:val="24"/>
        </w:rPr>
        <w:t>pplication</w:t>
      </w:r>
      <w:r w:rsidR="00461183" w:rsidRPr="009528A8">
        <w:rPr>
          <w:szCs w:val="24"/>
          <w:lang w:bidi="fr-FR"/>
        </w:rPr>
        <w:t>.</w:t>
      </w:r>
    </w:p>
    <w:p w14:paraId="21D2F979" w14:textId="77777777" w:rsidR="00D04DCA" w:rsidRPr="009528A8" w:rsidRDefault="00D04DCA" w:rsidP="002634E9">
      <w:pPr>
        <w:rPr>
          <w:szCs w:val="24"/>
          <w:lang w:bidi="fr-FR"/>
        </w:rPr>
      </w:pPr>
    </w:p>
    <w:p w14:paraId="5936DC90" w14:textId="4D5DC81E" w:rsidR="00461183" w:rsidRPr="009528A8" w:rsidRDefault="00461183" w:rsidP="002634E9">
      <w:pPr>
        <w:rPr>
          <w:szCs w:val="24"/>
          <w:lang w:bidi="fr-FR"/>
        </w:rPr>
      </w:pPr>
      <w:r w:rsidRPr="009528A8">
        <w:rPr>
          <w:szCs w:val="24"/>
          <w:lang w:bidi="fr-FR"/>
        </w:rPr>
        <w:t>***</w:t>
      </w:r>
    </w:p>
    <w:p w14:paraId="445BB0D9" w14:textId="77777777" w:rsidR="00461183" w:rsidRPr="009528A8" w:rsidRDefault="00461183" w:rsidP="002634E9">
      <w:pPr>
        <w:rPr>
          <w:szCs w:val="24"/>
        </w:rPr>
      </w:pPr>
      <w:r w:rsidRPr="009528A8">
        <w:rPr>
          <w:szCs w:val="24"/>
        </w:rPr>
        <w:t>The Court notes that Rule 32(2) of its Rules provides that “unless otherwise decided by the Court, each party shall bear its own costs, if any.”</w:t>
      </w:r>
    </w:p>
    <w:p w14:paraId="0C9C4934" w14:textId="77777777" w:rsidR="00461183" w:rsidRPr="009528A8" w:rsidRDefault="00461183" w:rsidP="002634E9">
      <w:pPr>
        <w:rPr>
          <w:szCs w:val="24"/>
        </w:rPr>
      </w:pPr>
    </w:p>
    <w:p w14:paraId="4FE77402" w14:textId="5F37C0EF" w:rsidR="00461183" w:rsidRPr="009528A8" w:rsidRDefault="00461183" w:rsidP="002634E9">
      <w:pPr>
        <w:rPr>
          <w:szCs w:val="24"/>
        </w:rPr>
      </w:pPr>
      <w:r w:rsidRPr="009528A8">
        <w:rPr>
          <w:szCs w:val="24"/>
        </w:rPr>
        <w:lastRenderedPageBreak/>
        <w:t xml:space="preserve">In the </w:t>
      </w:r>
      <w:r w:rsidR="000F162C" w:rsidRPr="009528A8">
        <w:rPr>
          <w:szCs w:val="24"/>
        </w:rPr>
        <w:t>instant case</w:t>
      </w:r>
      <w:r w:rsidRPr="009528A8">
        <w:rPr>
          <w:szCs w:val="24"/>
        </w:rPr>
        <w:t xml:space="preserve">, the Court does not find any reason to </w:t>
      </w:r>
      <w:r w:rsidR="003D1E8D" w:rsidRPr="009528A8">
        <w:rPr>
          <w:szCs w:val="24"/>
        </w:rPr>
        <w:t>depart from the provisions of the relevant rule</w:t>
      </w:r>
      <w:r w:rsidRPr="009528A8">
        <w:rPr>
          <w:szCs w:val="24"/>
        </w:rPr>
        <w:t>. Consequently, the Court decides that each Party shall bear its own costs.</w:t>
      </w:r>
    </w:p>
    <w:p w14:paraId="69D9B9CA" w14:textId="3E30DA20" w:rsidR="00BF2443" w:rsidRPr="009528A8" w:rsidRDefault="00BF2443" w:rsidP="002634E9">
      <w:pPr>
        <w:rPr>
          <w:bCs/>
          <w:szCs w:val="24"/>
          <w:lang w:val="en-ZA"/>
          <w14:ligatures w14:val="standardContextual"/>
        </w:rPr>
      </w:pPr>
    </w:p>
    <w:p w14:paraId="732CD477" w14:textId="77777777" w:rsidR="00BE49FB" w:rsidRPr="009528A8" w:rsidRDefault="00BE49FB" w:rsidP="002634E9">
      <w:pPr>
        <w:rPr>
          <w:bCs/>
          <w:szCs w:val="24"/>
          <w:lang w:val="en-ZA"/>
          <w14:ligatures w14:val="standardContextual"/>
        </w:rPr>
      </w:pPr>
    </w:p>
    <w:p w14:paraId="51A6AD59" w14:textId="58ACE60A" w:rsidR="003F7883" w:rsidRPr="009528A8" w:rsidRDefault="003F7883" w:rsidP="002634E9">
      <w:pPr>
        <w:rPr>
          <w:lang w:val="en-ZA"/>
        </w:rPr>
      </w:pPr>
      <w:bookmarkStart w:id="64" w:name="_Toc143594948"/>
      <w:r w:rsidRPr="009528A8">
        <w:rPr>
          <w:lang w:val="en-ZA"/>
        </w:rPr>
        <w:t>OPERATIVE PART</w:t>
      </w:r>
      <w:bookmarkEnd w:id="64"/>
    </w:p>
    <w:p w14:paraId="6BEB4D92" w14:textId="77777777" w:rsidR="00295BE4" w:rsidRPr="009528A8" w:rsidRDefault="00295BE4" w:rsidP="002634E9">
      <w:pPr>
        <w:rPr>
          <w:lang w:val="en-ZA"/>
        </w:rPr>
      </w:pPr>
    </w:p>
    <w:p w14:paraId="09BECDF1" w14:textId="2A0590E6" w:rsidR="007B734A" w:rsidRPr="009528A8" w:rsidRDefault="007B734A" w:rsidP="002634E9">
      <w:pPr>
        <w:rPr>
          <w:szCs w:val="24"/>
        </w:rPr>
      </w:pPr>
      <w:r w:rsidRPr="009528A8">
        <w:rPr>
          <w:rFonts w:eastAsia="Arial"/>
          <w:szCs w:val="24"/>
        </w:rPr>
        <w:t xml:space="preserve">For </w:t>
      </w:r>
      <w:r w:rsidRPr="009528A8">
        <w:rPr>
          <w:szCs w:val="24"/>
          <w:lang w:val="en-ZA"/>
        </w:rPr>
        <w:t>these</w:t>
      </w:r>
      <w:r w:rsidRPr="009528A8">
        <w:rPr>
          <w:rFonts w:eastAsia="Arial"/>
          <w:szCs w:val="24"/>
        </w:rPr>
        <w:t xml:space="preserve"> reasons, </w:t>
      </w:r>
    </w:p>
    <w:p w14:paraId="77EF5D5B" w14:textId="77777777" w:rsidR="007B734A" w:rsidRPr="009528A8" w:rsidRDefault="007B734A" w:rsidP="002634E9">
      <w:pPr>
        <w:rPr>
          <w:rFonts w:eastAsia="Arial"/>
          <w:szCs w:val="24"/>
        </w:rPr>
      </w:pPr>
    </w:p>
    <w:p w14:paraId="34DD5EDA" w14:textId="77777777" w:rsidR="007B734A" w:rsidRPr="009528A8" w:rsidRDefault="007B734A" w:rsidP="002634E9">
      <w:pPr>
        <w:rPr>
          <w:rFonts w:eastAsia="Arial"/>
          <w:szCs w:val="24"/>
        </w:rPr>
      </w:pPr>
      <w:r w:rsidRPr="009528A8">
        <w:rPr>
          <w:rFonts w:eastAsia="Arial"/>
          <w:szCs w:val="24"/>
        </w:rPr>
        <w:t xml:space="preserve">THE COURT, </w:t>
      </w:r>
    </w:p>
    <w:p w14:paraId="2B8C8F2A" w14:textId="77777777" w:rsidR="007B734A" w:rsidRPr="009528A8" w:rsidRDefault="007B734A" w:rsidP="002634E9">
      <w:pPr>
        <w:rPr>
          <w:rFonts w:eastAsia="Arial"/>
          <w:i/>
          <w:szCs w:val="24"/>
        </w:rPr>
      </w:pPr>
    </w:p>
    <w:p w14:paraId="4A5CFA0D" w14:textId="77777777" w:rsidR="007B734A" w:rsidRPr="009528A8" w:rsidRDefault="007B734A" w:rsidP="002634E9">
      <w:pPr>
        <w:rPr>
          <w:rFonts w:eastAsia="Arial"/>
          <w:bCs/>
          <w:i/>
          <w:szCs w:val="24"/>
        </w:rPr>
      </w:pPr>
      <w:r w:rsidRPr="009528A8">
        <w:rPr>
          <w:rFonts w:eastAsia="Arial"/>
          <w:i/>
          <w:szCs w:val="24"/>
        </w:rPr>
        <w:t>Unanimously</w:t>
      </w:r>
      <w:r w:rsidRPr="009528A8">
        <w:rPr>
          <w:rFonts w:eastAsia="Arial"/>
          <w:bCs/>
          <w:i/>
          <w:szCs w:val="24"/>
        </w:rPr>
        <w:t>,</w:t>
      </w:r>
    </w:p>
    <w:p w14:paraId="6BF19C9C" w14:textId="77777777" w:rsidR="007B734A" w:rsidRPr="009528A8" w:rsidRDefault="007B734A" w:rsidP="002634E9">
      <w:pPr>
        <w:rPr>
          <w:rFonts w:eastAsia="Arial"/>
          <w:i/>
          <w:szCs w:val="24"/>
        </w:rPr>
      </w:pPr>
    </w:p>
    <w:p w14:paraId="2F120F59" w14:textId="42F32AED" w:rsidR="007B734A" w:rsidRPr="009528A8" w:rsidRDefault="007B734A" w:rsidP="002634E9">
      <w:pPr>
        <w:rPr>
          <w:rFonts w:eastAsia="Arial"/>
          <w:i/>
          <w:szCs w:val="24"/>
        </w:rPr>
      </w:pPr>
      <w:r w:rsidRPr="009528A8">
        <w:rPr>
          <w:rFonts w:eastAsia="Arial"/>
          <w:i/>
          <w:szCs w:val="24"/>
        </w:rPr>
        <w:t xml:space="preserve">On </w:t>
      </w:r>
      <w:r w:rsidR="00B06047" w:rsidRPr="009528A8">
        <w:rPr>
          <w:rFonts w:eastAsia="Arial"/>
          <w:i/>
          <w:szCs w:val="24"/>
        </w:rPr>
        <w:t>j</w:t>
      </w:r>
      <w:r w:rsidRPr="009528A8">
        <w:rPr>
          <w:rFonts w:eastAsia="Arial"/>
          <w:i/>
          <w:szCs w:val="24"/>
        </w:rPr>
        <w:t>urisdiction</w:t>
      </w:r>
    </w:p>
    <w:p w14:paraId="62E39AC7" w14:textId="77777777" w:rsidR="007B734A" w:rsidRPr="009528A8" w:rsidRDefault="007B734A" w:rsidP="002634E9">
      <w:pPr>
        <w:rPr>
          <w:rFonts w:eastAsia="Arial"/>
          <w:i/>
          <w:szCs w:val="24"/>
        </w:rPr>
      </w:pPr>
    </w:p>
    <w:p w14:paraId="50B5AF24" w14:textId="77777777" w:rsidR="007B734A" w:rsidRPr="009528A8" w:rsidRDefault="007B734A" w:rsidP="002634E9">
      <w:pPr>
        <w:rPr>
          <w:rFonts w:eastAsia="Arial"/>
          <w:szCs w:val="24"/>
        </w:rPr>
      </w:pPr>
      <w:r w:rsidRPr="009528A8">
        <w:rPr>
          <w:rFonts w:eastAsia="Arial"/>
          <w:i/>
          <w:iCs/>
          <w:szCs w:val="24"/>
        </w:rPr>
        <w:t xml:space="preserve">Dismisses </w:t>
      </w:r>
      <w:r w:rsidRPr="009528A8">
        <w:rPr>
          <w:rFonts w:eastAsia="Arial"/>
          <w:iCs/>
          <w:szCs w:val="24"/>
        </w:rPr>
        <w:t xml:space="preserve">the objection to its jurisdiction; </w:t>
      </w:r>
    </w:p>
    <w:p w14:paraId="650CD2AA" w14:textId="77777777" w:rsidR="007B734A" w:rsidRPr="009528A8" w:rsidRDefault="007B734A" w:rsidP="002634E9">
      <w:pPr>
        <w:rPr>
          <w:rFonts w:eastAsia="Arial"/>
          <w:szCs w:val="24"/>
        </w:rPr>
      </w:pPr>
      <w:r w:rsidRPr="009528A8">
        <w:rPr>
          <w:rFonts w:eastAsia="Arial"/>
          <w:i/>
          <w:iCs/>
          <w:szCs w:val="24"/>
        </w:rPr>
        <w:t>Declares</w:t>
      </w:r>
      <w:r w:rsidRPr="009528A8">
        <w:rPr>
          <w:rFonts w:eastAsia="Arial"/>
          <w:szCs w:val="24"/>
        </w:rPr>
        <w:t xml:space="preserve"> that it has jurisdiction.</w:t>
      </w:r>
    </w:p>
    <w:p w14:paraId="37FAB4C0" w14:textId="77777777" w:rsidR="007B734A" w:rsidRPr="009528A8" w:rsidRDefault="007B734A" w:rsidP="002634E9">
      <w:pPr>
        <w:rPr>
          <w:rFonts w:eastAsia="Arial"/>
          <w:szCs w:val="24"/>
        </w:rPr>
      </w:pPr>
    </w:p>
    <w:p w14:paraId="27F5004B" w14:textId="05C2A81C" w:rsidR="007B734A" w:rsidRPr="009528A8" w:rsidRDefault="007B734A" w:rsidP="002634E9">
      <w:pPr>
        <w:rPr>
          <w:rFonts w:eastAsia="Arial"/>
          <w:iCs/>
          <w:szCs w:val="24"/>
        </w:rPr>
      </w:pPr>
      <w:r w:rsidRPr="009528A8">
        <w:rPr>
          <w:rFonts w:eastAsia="Arial"/>
          <w:i/>
          <w:iCs/>
          <w:szCs w:val="24"/>
        </w:rPr>
        <w:t xml:space="preserve">On </w:t>
      </w:r>
      <w:r w:rsidR="00B06047" w:rsidRPr="009528A8">
        <w:rPr>
          <w:rFonts w:eastAsia="Arial"/>
          <w:i/>
          <w:szCs w:val="24"/>
        </w:rPr>
        <w:t>a</w:t>
      </w:r>
      <w:r w:rsidRPr="009528A8">
        <w:rPr>
          <w:rFonts w:eastAsia="Arial"/>
          <w:i/>
          <w:szCs w:val="24"/>
        </w:rPr>
        <w:t>dmissibility</w:t>
      </w:r>
    </w:p>
    <w:p w14:paraId="7D190F37" w14:textId="77777777" w:rsidR="007B734A" w:rsidRPr="009528A8" w:rsidRDefault="007B734A" w:rsidP="002634E9">
      <w:pPr>
        <w:rPr>
          <w:i/>
          <w:iCs/>
          <w:szCs w:val="24"/>
        </w:rPr>
      </w:pPr>
    </w:p>
    <w:p w14:paraId="4569A63E" w14:textId="0BB9E04F" w:rsidR="007B734A" w:rsidRPr="009528A8" w:rsidRDefault="007B734A" w:rsidP="002634E9">
      <w:pPr>
        <w:rPr>
          <w:rFonts w:eastAsia="Arial"/>
          <w:szCs w:val="24"/>
        </w:rPr>
      </w:pPr>
      <w:bookmarkStart w:id="65" w:name="_Hlk118819603"/>
      <w:r w:rsidRPr="009528A8">
        <w:rPr>
          <w:rFonts w:eastAsia="Arial"/>
          <w:i/>
          <w:iCs/>
          <w:szCs w:val="24"/>
        </w:rPr>
        <w:t xml:space="preserve">Dismisses </w:t>
      </w:r>
      <w:r w:rsidRPr="009528A8">
        <w:rPr>
          <w:rFonts w:eastAsia="Arial"/>
          <w:iCs/>
          <w:szCs w:val="24"/>
        </w:rPr>
        <w:t>the objection to the admissibility of the</w:t>
      </w:r>
      <w:r w:rsidRPr="009528A8">
        <w:rPr>
          <w:rFonts w:eastAsia="Arial"/>
          <w:i/>
          <w:iCs/>
          <w:szCs w:val="24"/>
        </w:rPr>
        <w:t xml:space="preserve"> </w:t>
      </w:r>
      <w:r w:rsidR="00F64481" w:rsidRPr="009528A8">
        <w:rPr>
          <w:rFonts w:eastAsia="Arial"/>
          <w:iCs/>
          <w:szCs w:val="24"/>
        </w:rPr>
        <w:t>a</w:t>
      </w:r>
      <w:r w:rsidRPr="009528A8">
        <w:rPr>
          <w:rFonts w:eastAsia="Arial"/>
          <w:iCs/>
          <w:szCs w:val="24"/>
        </w:rPr>
        <w:t>pplication;</w:t>
      </w:r>
    </w:p>
    <w:p w14:paraId="50991C48" w14:textId="74DEF03E" w:rsidR="00AE06DD" w:rsidRPr="009528A8" w:rsidRDefault="007B734A" w:rsidP="002634E9">
      <w:pPr>
        <w:rPr>
          <w:rFonts w:eastAsia="Arial"/>
          <w:szCs w:val="24"/>
        </w:rPr>
      </w:pPr>
      <w:r w:rsidRPr="009528A8">
        <w:rPr>
          <w:rFonts w:eastAsia="Arial"/>
          <w:i/>
          <w:iCs/>
          <w:szCs w:val="24"/>
        </w:rPr>
        <w:t>Declares</w:t>
      </w:r>
      <w:r w:rsidRPr="009528A8">
        <w:rPr>
          <w:rFonts w:eastAsia="Arial"/>
          <w:i/>
          <w:szCs w:val="24"/>
        </w:rPr>
        <w:t xml:space="preserve"> </w:t>
      </w:r>
      <w:r w:rsidRPr="009528A8">
        <w:rPr>
          <w:rFonts w:eastAsia="Arial"/>
          <w:szCs w:val="24"/>
        </w:rPr>
        <w:t xml:space="preserve">the </w:t>
      </w:r>
      <w:r w:rsidR="00F64481" w:rsidRPr="009528A8">
        <w:rPr>
          <w:rFonts w:eastAsia="Arial"/>
          <w:szCs w:val="24"/>
        </w:rPr>
        <w:t>a</w:t>
      </w:r>
      <w:r w:rsidRPr="009528A8">
        <w:rPr>
          <w:rFonts w:eastAsia="Arial"/>
          <w:szCs w:val="24"/>
        </w:rPr>
        <w:t>pplication admissible.</w:t>
      </w:r>
    </w:p>
    <w:p w14:paraId="59F6F9EF" w14:textId="77777777" w:rsidR="00AE06DD" w:rsidRPr="009528A8" w:rsidRDefault="00AE06DD" w:rsidP="002634E9">
      <w:pPr>
        <w:rPr>
          <w:rFonts w:eastAsia="Arial"/>
          <w:szCs w:val="24"/>
        </w:rPr>
      </w:pPr>
    </w:p>
    <w:p w14:paraId="3E1EABB4" w14:textId="17B7DDC4" w:rsidR="00AE06DD" w:rsidRPr="009528A8" w:rsidRDefault="00AE06DD" w:rsidP="002634E9">
      <w:pPr>
        <w:rPr>
          <w:rFonts w:eastAsia="Arial"/>
          <w:i/>
          <w:iCs/>
          <w:szCs w:val="24"/>
        </w:rPr>
      </w:pPr>
      <w:r w:rsidRPr="009528A8">
        <w:rPr>
          <w:rFonts w:eastAsia="Arial"/>
          <w:i/>
          <w:iCs/>
          <w:szCs w:val="24"/>
        </w:rPr>
        <w:t xml:space="preserve">On </w:t>
      </w:r>
      <w:r w:rsidR="00B06047" w:rsidRPr="009528A8">
        <w:rPr>
          <w:rFonts w:eastAsia="Arial"/>
          <w:i/>
          <w:iCs/>
          <w:szCs w:val="24"/>
        </w:rPr>
        <w:t>m</w:t>
      </w:r>
      <w:r w:rsidRPr="009528A8">
        <w:rPr>
          <w:rFonts w:eastAsia="Arial"/>
          <w:i/>
          <w:iCs/>
          <w:szCs w:val="24"/>
        </w:rPr>
        <w:t>erits</w:t>
      </w:r>
    </w:p>
    <w:p w14:paraId="1C1C6ABB" w14:textId="3A414C08" w:rsidR="00AE06DD" w:rsidRPr="009528A8" w:rsidRDefault="00AE06DD" w:rsidP="002634E9">
      <w:pPr>
        <w:rPr>
          <w:rFonts w:eastAsia="Arial"/>
          <w:szCs w:val="24"/>
        </w:rPr>
      </w:pPr>
    </w:p>
    <w:p w14:paraId="550E20F3" w14:textId="27B3678C" w:rsidR="00AE06DD" w:rsidRPr="009528A8" w:rsidRDefault="00AE06DD" w:rsidP="002634E9">
      <w:pPr>
        <w:rPr>
          <w:rFonts w:eastAsia="Arial"/>
          <w:szCs w:val="24"/>
        </w:rPr>
      </w:pPr>
      <w:r w:rsidRPr="009528A8">
        <w:rPr>
          <w:rFonts w:eastAsia="Arial"/>
          <w:i/>
          <w:iCs/>
          <w:szCs w:val="24"/>
        </w:rPr>
        <w:t>Finds</w:t>
      </w:r>
      <w:r w:rsidRPr="009528A8">
        <w:rPr>
          <w:rFonts w:eastAsia="Arial"/>
          <w:szCs w:val="24"/>
        </w:rPr>
        <w:t xml:space="preserve"> that the Respondent State has not violated Article 7(1)(c) of the Charter</w:t>
      </w:r>
      <w:r w:rsidR="00B04858" w:rsidRPr="009528A8">
        <w:rPr>
          <w:rFonts w:eastAsia="Arial"/>
          <w:szCs w:val="24"/>
        </w:rPr>
        <w:t xml:space="preserve"> in relation to the failure of the</w:t>
      </w:r>
      <w:r w:rsidR="00D04DCA" w:rsidRPr="009528A8">
        <w:rPr>
          <w:rFonts w:eastAsia="Arial"/>
          <w:szCs w:val="24"/>
        </w:rPr>
        <w:t xml:space="preserve"> domestic courts to</w:t>
      </w:r>
      <w:r w:rsidR="00B04858" w:rsidRPr="009528A8">
        <w:rPr>
          <w:rFonts w:eastAsia="Arial"/>
          <w:szCs w:val="24"/>
        </w:rPr>
        <w:t xml:space="preserve"> inform</w:t>
      </w:r>
      <w:r w:rsidR="00D04DCA" w:rsidRPr="009528A8">
        <w:rPr>
          <w:rFonts w:eastAsia="Arial"/>
          <w:szCs w:val="24"/>
        </w:rPr>
        <w:t xml:space="preserve"> the Applicant</w:t>
      </w:r>
      <w:r w:rsidR="00B04858" w:rsidRPr="009528A8">
        <w:rPr>
          <w:rFonts w:eastAsia="Arial"/>
          <w:szCs w:val="24"/>
        </w:rPr>
        <w:t xml:space="preserve"> of the charges  against him</w:t>
      </w:r>
      <w:r w:rsidR="00A77FF6" w:rsidRPr="009528A8">
        <w:rPr>
          <w:rFonts w:eastAsia="Arial"/>
          <w:szCs w:val="24"/>
        </w:rPr>
        <w:t>;</w:t>
      </w:r>
      <w:r w:rsidRPr="009528A8">
        <w:rPr>
          <w:rFonts w:eastAsia="Arial"/>
          <w:szCs w:val="24"/>
        </w:rPr>
        <w:t xml:space="preserve"> </w:t>
      </w:r>
    </w:p>
    <w:p w14:paraId="0702C890" w14:textId="3FB538BE" w:rsidR="00AE06DD" w:rsidRPr="009528A8" w:rsidRDefault="00AE06DD" w:rsidP="002634E9">
      <w:pPr>
        <w:rPr>
          <w:rFonts w:eastAsia="Arial"/>
          <w:szCs w:val="24"/>
        </w:rPr>
      </w:pPr>
      <w:r w:rsidRPr="009528A8">
        <w:rPr>
          <w:rFonts w:eastAsia="Arial"/>
          <w:i/>
          <w:iCs/>
          <w:szCs w:val="24"/>
        </w:rPr>
        <w:t xml:space="preserve">Finds </w:t>
      </w:r>
      <w:r w:rsidRPr="009528A8">
        <w:rPr>
          <w:rFonts w:eastAsia="Arial"/>
          <w:szCs w:val="24"/>
        </w:rPr>
        <w:t xml:space="preserve">that the Respondent State </w:t>
      </w:r>
      <w:r w:rsidR="00B04858" w:rsidRPr="009528A8">
        <w:rPr>
          <w:rFonts w:eastAsia="Arial"/>
          <w:szCs w:val="24"/>
        </w:rPr>
        <w:t xml:space="preserve">has </w:t>
      </w:r>
      <w:r w:rsidRPr="009528A8">
        <w:rPr>
          <w:rFonts w:eastAsia="Arial"/>
          <w:szCs w:val="24"/>
        </w:rPr>
        <w:t>not violate</w:t>
      </w:r>
      <w:r w:rsidR="00B04858" w:rsidRPr="009528A8">
        <w:rPr>
          <w:rFonts w:eastAsia="Arial"/>
          <w:szCs w:val="24"/>
        </w:rPr>
        <w:t>d</w:t>
      </w:r>
      <w:r w:rsidRPr="009528A8">
        <w:rPr>
          <w:rFonts w:eastAsia="Arial"/>
          <w:szCs w:val="24"/>
        </w:rPr>
        <w:t xml:space="preserve"> Articles 2, 3 and 7(1) of the Charter</w:t>
      </w:r>
      <w:r w:rsidR="008F5E9D" w:rsidRPr="009528A8">
        <w:rPr>
          <w:rFonts w:eastAsia="Arial"/>
          <w:szCs w:val="24"/>
        </w:rPr>
        <w:t xml:space="preserve"> </w:t>
      </w:r>
      <w:r w:rsidR="00B04858" w:rsidRPr="009528A8">
        <w:rPr>
          <w:rFonts w:eastAsia="Arial"/>
          <w:szCs w:val="24"/>
        </w:rPr>
        <w:t>in relation to the identification of</w:t>
      </w:r>
      <w:r w:rsidR="008F5E9D" w:rsidRPr="009528A8">
        <w:rPr>
          <w:rFonts w:eastAsia="Arial"/>
          <w:szCs w:val="24"/>
        </w:rPr>
        <w:t xml:space="preserve"> the Applicant</w:t>
      </w:r>
      <w:r w:rsidR="00A77FF6" w:rsidRPr="009528A8">
        <w:rPr>
          <w:rFonts w:eastAsia="Arial"/>
          <w:szCs w:val="24"/>
        </w:rPr>
        <w:t>;</w:t>
      </w:r>
    </w:p>
    <w:p w14:paraId="65F92296" w14:textId="2898246D" w:rsidR="00AE06DD" w:rsidRPr="009528A8" w:rsidRDefault="00AE06DD" w:rsidP="002634E9">
      <w:pPr>
        <w:rPr>
          <w:rFonts w:eastAsia="Arial"/>
          <w:szCs w:val="24"/>
        </w:rPr>
      </w:pPr>
      <w:r w:rsidRPr="009528A8">
        <w:rPr>
          <w:rFonts w:eastAsia="Arial"/>
          <w:i/>
          <w:iCs/>
          <w:szCs w:val="24"/>
        </w:rPr>
        <w:t xml:space="preserve">Finds </w:t>
      </w:r>
      <w:r w:rsidRPr="009528A8">
        <w:rPr>
          <w:rFonts w:eastAsia="Arial"/>
          <w:szCs w:val="24"/>
        </w:rPr>
        <w:t xml:space="preserve">that the Respondent State </w:t>
      </w:r>
      <w:r w:rsidR="00B04858" w:rsidRPr="009528A8">
        <w:rPr>
          <w:rFonts w:eastAsia="Arial"/>
          <w:szCs w:val="24"/>
        </w:rPr>
        <w:t xml:space="preserve">has </w:t>
      </w:r>
      <w:r w:rsidRPr="009528A8">
        <w:rPr>
          <w:rFonts w:eastAsia="Arial"/>
          <w:szCs w:val="24"/>
        </w:rPr>
        <w:t>not violate</w:t>
      </w:r>
      <w:r w:rsidR="00B04858" w:rsidRPr="009528A8">
        <w:rPr>
          <w:rFonts w:eastAsia="Arial"/>
          <w:szCs w:val="24"/>
        </w:rPr>
        <w:t>d</w:t>
      </w:r>
      <w:r w:rsidRPr="009528A8">
        <w:rPr>
          <w:rFonts w:eastAsia="Arial"/>
          <w:szCs w:val="24"/>
        </w:rPr>
        <w:t xml:space="preserve"> Articles 2, 3 and 7(1) of the Charter </w:t>
      </w:r>
      <w:r w:rsidR="00B04858" w:rsidRPr="009528A8">
        <w:rPr>
          <w:rFonts w:eastAsia="Arial"/>
          <w:szCs w:val="24"/>
        </w:rPr>
        <w:t xml:space="preserve">in relation to </w:t>
      </w:r>
      <w:r w:rsidR="00D04DCA" w:rsidRPr="009528A8">
        <w:rPr>
          <w:rFonts w:eastAsia="Arial"/>
          <w:szCs w:val="24"/>
        </w:rPr>
        <w:t>the Applicant</w:t>
      </w:r>
      <w:r w:rsidR="00D04DCA" w:rsidRPr="009528A8">
        <w:rPr>
          <w:lang w:val="en-ZA"/>
          <w14:ligatures w14:val="standardContextual"/>
        </w:rPr>
        <w:t>’s</w:t>
      </w:r>
      <w:r w:rsidR="00D04DCA" w:rsidRPr="009528A8">
        <w:rPr>
          <w:rFonts w:eastAsia="Arial"/>
          <w:szCs w:val="24"/>
        </w:rPr>
        <w:t xml:space="preserve"> </w:t>
      </w:r>
      <w:r w:rsidR="003D1E8D" w:rsidRPr="009528A8">
        <w:rPr>
          <w:rFonts w:eastAsia="Arial"/>
          <w:szCs w:val="24"/>
        </w:rPr>
        <w:t>convict</w:t>
      </w:r>
      <w:r w:rsidR="00D04DCA" w:rsidRPr="009528A8">
        <w:rPr>
          <w:rFonts w:eastAsia="Arial"/>
          <w:szCs w:val="24"/>
        </w:rPr>
        <w:t xml:space="preserve">ion </w:t>
      </w:r>
      <w:r w:rsidR="008E0318" w:rsidRPr="009528A8">
        <w:rPr>
          <w:rFonts w:eastAsia="Arial"/>
          <w:szCs w:val="24"/>
        </w:rPr>
        <w:t xml:space="preserve">being </w:t>
      </w:r>
      <w:r w:rsidRPr="009528A8">
        <w:rPr>
          <w:rFonts w:eastAsia="Arial"/>
          <w:szCs w:val="24"/>
        </w:rPr>
        <w:t>against the weight of the evidence</w:t>
      </w:r>
      <w:r w:rsidR="00A77FF6" w:rsidRPr="009528A8">
        <w:rPr>
          <w:rFonts w:eastAsia="Arial"/>
          <w:szCs w:val="24"/>
        </w:rPr>
        <w:t xml:space="preserve">; </w:t>
      </w:r>
    </w:p>
    <w:p w14:paraId="41185BD6" w14:textId="6C60BD4D" w:rsidR="00F43F52" w:rsidRPr="009528A8" w:rsidRDefault="00AE06DD" w:rsidP="002634E9">
      <w:pPr>
        <w:rPr>
          <w:rFonts w:eastAsia="Arial"/>
          <w:szCs w:val="24"/>
        </w:rPr>
      </w:pPr>
      <w:r w:rsidRPr="009528A8">
        <w:rPr>
          <w:rFonts w:eastAsia="Arial"/>
          <w:i/>
          <w:iCs/>
          <w:szCs w:val="24"/>
        </w:rPr>
        <w:t xml:space="preserve">Finds </w:t>
      </w:r>
      <w:r w:rsidRPr="009528A8">
        <w:rPr>
          <w:rFonts w:eastAsia="Arial"/>
          <w:szCs w:val="24"/>
        </w:rPr>
        <w:t xml:space="preserve">that the Respondent State has not violated Article 7(1)(c) of the Charter </w:t>
      </w:r>
      <w:r w:rsidR="00D04DCA" w:rsidRPr="009528A8">
        <w:rPr>
          <w:rFonts w:eastAsia="Arial"/>
          <w:szCs w:val="24"/>
        </w:rPr>
        <w:t xml:space="preserve">in relation to the failure </w:t>
      </w:r>
      <w:r w:rsidRPr="009528A8">
        <w:rPr>
          <w:rFonts w:eastAsia="Arial"/>
          <w:szCs w:val="24"/>
        </w:rPr>
        <w:t>to summon defence witnesses.</w:t>
      </w:r>
      <w:bookmarkStart w:id="66" w:name="_Hlk118819764"/>
    </w:p>
    <w:p w14:paraId="2262F235" w14:textId="7DA8D319" w:rsidR="007B734A" w:rsidRPr="009528A8" w:rsidRDefault="007B734A" w:rsidP="002634E9">
      <w:pPr>
        <w:rPr>
          <w:rFonts w:eastAsia="Arial"/>
          <w:szCs w:val="24"/>
        </w:rPr>
      </w:pPr>
    </w:p>
    <w:p w14:paraId="48F2AD4D" w14:textId="03C36666" w:rsidR="007B734A" w:rsidRPr="009528A8" w:rsidRDefault="007B734A" w:rsidP="002634E9">
      <w:pPr>
        <w:rPr>
          <w:rFonts w:eastAsia="Arial"/>
          <w:i/>
          <w:iCs/>
          <w:szCs w:val="24"/>
        </w:rPr>
      </w:pPr>
      <w:r w:rsidRPr="009528A8">
        <w:rPr>
          <w:rFonts w:eastAsia="Arial"/>
          <w:i/>
          <w:iCs/>
          <w:szCs w:val="24"/>
        </w:rPr>
        <w:lastRenderedPageBreak/>
        <w:t xml:space="preserve">On </w:t>
      </w:r>
      <w:r w:rsidR="00B06047" w:rsidRPr="009528A8">
        <w:rPr>
          <w:rFonts w:eastAsia="Arial"/>
          <w:i/>
          <w:iCs/>
          <w:szCs w:val="24"/>
        </w:rPr>
        <w:t>r</w:t>
      </w:r>
      <w:r w:rsidRPr="009528A8">
        <w:rPr>
          <w:rFonts w:eastAsia="Arial"/>
          <w:i/>
          <w:iCs/>
          <w:szCs w:val="24"/>
        </w:rPr>
        <w:t>eparations</w:t>
      </w:r>
    </w:p>
    <w:p w14:paraId="20EF38D8" w14:textId="77777777" w:rsidR="007B734A" w:rsidRPr="009528A8" w:rsidRDefault="007B734A" w:rsidP="002634E9">
      <w:pPr>
        <w:rPr>
          <w:rFonts w:eastAsia="Arial"/>
          <w:szCs w:val="24"/>
        </w:rPr>
      </w:pPr>
    </w:p>
    <w:p w14:paraId="14647017" w14:textId="77777777" w:rsidR="007B734A" w:rsidRPr="009528A8" w:rsidRDefault="007B734A" w:rsidP="002634E9">
      <w:pPr>
        <w:rPr>
          <w:rFonts w:eastAsia="Arial"/>
          <w:szCs w:val="24"/>
        </w:rPr>
      </w:pPr>
      <w:r w:rsidRPr="009528A8">
        <w:rPr>
          <w:rFonts w:eastAsia="Arial"/>
          <w:i/>
          <w:iCs/>
          <w:szCs w:val="24"/>
        </w:rPr>
        <w:t xml:space="preserve">Dismisses </w:t>
      </w:r>
      <w:r w:rsidRPr="009528A8">
        <w:rPr>
          <w:rFonts w:eastAsia="Arial"/>
          <w:szCs w:val="24"/>
        </w:rPr>
        <w:t>the prayer for reparations.</w:t>
      </w:r>
    </w:p>
    <w:bookmarkEnd w:id="65"/>
    <w:bookmarkEnd w:id="66"/>
    <w:p w14:paraId="6C2CEFFB" w14:textId="77777777" w:rsidR="007B734A" w:rsidRPr="009528A8" w:rsidRDefault="007B734A" w:rsidP="002634E9">
      <w:pPr>
        <w:rPr>
          <w:rFonts w:eastAsia="Arial"/>
          <w:szCs w:val="24"/>
        </w:rPr>
      </w:pPr>
      <w:r w:rsidRPr="009528A8">
        <w:rPr>
          <w:rFonts w:eastAsia="Arial"/>
          <w:szCs w:val="24"/>
        </w:rPr>
        <w:t xml:space="preserve"> </w:t>
      </w:r>
    </w:p>
    <w:p w14:paraId="12FF50EB" w14:textId="1F50E44B" w:rsidR="007B734A" w:rsidRPr="009528A8" w:rsidRDefault="007B734A" w:rsidP="002634E9">
      <w:pPr>
        <w:rPr>
          <w:rFonts w:eastAsia="Arial"/>
          <w:bCs/>
          <w:i/>
          <w:szCs w:val="24"/>
        </w:rPr>
      </w:pPr>
      <w:r w:rsidRPr="009528A8">
        <w:rPr>
          <w:rFonts w:eastAsia="Arial"/>
          <w:bCs/>
          <w:i/>
          <w:szCs w:val="24"/>
        </w:rPr>
        <w:t xml:space="preserve">On </w:t>
      </w:r>
      <w:r w:rsidR="00B06047" w:rsidRPr="009528A8">
        <w:rPr>
          <w:rFonts w:eastAsia="Arial"/>
          <w:bCs/>
          <w:i/>
          <w:szCs w:val="24"/>
        </w:rPr>
        <w:t>c</w:t>
      </w:r>
      <w:r w:rsidRPr="009528A8">
        <w:rPr>
          <w:rFonts w:eastAsia="Arial"/>
          <w:bCs/>
          <w:i/>
          <w:szCs w:val="24"/>
        </w:rPr>
        <w:t>osts</w:t>
      </w:r>
    </w:p>
    <w:p w14:paraId="67D00E07" w14:textId="77777777" w:rsidR="007B734A" w:rsidRPr="009528A8" w:rsidRDefault="007B734A" w:rsidP="002634E9">
      <w:pPr>
        <w:rPr>
          <w:rFonts w:eastAsia="Arial"/>
          <w:bCs/>
          <w:szCs w:val="24"/>
        </w:rPr>
      </w:pPr>
    </w:p>
    <w:p w14:paraId="33B70766" w14:textId="77777777" w:rsidR="007B734A" w:rsidRPr="009528A8" w:rsidRDefault="007B734A" w:rsidP="002634E9">
      <w:pPr>
        <w:rPr>
          <w:rFonts w:eastAsia="Arial"/>
          <w:szCs w:val="24"/>
        </w:rPr>
      </w:pPr>
      <w:r w:rsidRPr="009528A8">
        <w:rPr>
          <w:rFonts w:eastAsia="Arial"/>
          <w:i/>
          <w:iCs/>
          <w:szCs w:val="24"/>
        </w:rPr>
        <w:t>Orders</w:t>
      </w:r>
      <w:r w:rsidRPr="009528A8">
        <w:rPr>
          <w:rFonts w:eastAsia="Arial"/>
          <w:i/>
          <w:szCs w:val="24"/>
        </w:rPr>
        <w:t xml:space="preserve"> </w:t>
      </w:r>
      <w:r w:rsidRPr="009528A8">
        <w:rPr>
          <w:rFonts w:eastAsia="Arial"/>
          <w:szCs w:val="24"/>
        </w:rPr>
        <w:t>that each Party shall bear its own costs.</w:t>
      </w:r>
    </w:p>
    <w:p w14:paraId="298B62D5" w14:textId="2D502851" w:rsidR="007B734A" w:rsidRPr="009528A8" w:rsidRDefault="007B734A" w:rsidP="002634E9">
      <w:pPr>
        <w:rPr>
          <w:szCs w:val="24"/>
          <w:lang w:val="en-ZA"/>
          <w14:ligatures w14:val="standardContextual"/>
        </w:rPr>
      </w:pPr>
    </w:p>
    <w:p w14:paraId="1B819AB1" w14:textId="77777777" w:rsidR="00C16AE8" w:rsidRPr="009528A8" w:rsidRDefault="00C16AE8" w:rsidP="002634E9">
      <w:pPr>
        <w:rPr>
          <w:szCs w:val="24"/>
          <w:lang w:val="en-ZA"/>
          <w14:ligatures w14:val="standardContextual"/>
        </w:rPr>
      </w:pPr>
    </w:p>
    <w:p w14:paraId="4064D2DC" w14:textId="77777777" w:rsidR="00203FFC" w:rsidRPr="009528A8" w:rsidRDefault="00203FFC" w:rsidP="002634E9">
      <w:pPr>
        <w:rPr>
          <w:rFonts w:eastAsia="Arial"/>
          <w:szCs w:val="24"/>
        </w:rPr>
      </w:pPr>
      <w:r w:rsidRPr="009528A8">
        <w:rPr>
          <w:rFonts w:eastAsia="Arial"/>
          <w:szCs w:val="24"/>
        </w:rPr>
        <w:t>Signed:</w:t>
      </w:r>
    </w:p>
    <w:p w14:paraId="76FA299F" w14:textId="77777777" w:rsidR="00203FFC" w:rsidRPr="009528A8" w:rsidRDefault="00203FFC" w:rsidP="002634E9">
      <w:pPr>
        <w:rPr>
          <w:rFonts w:eastAsia="Arial"/>
          <w:szCs w:val="24"/>
        </w:rPr>
      </w:pPr>
    </w:p>
    <w:p w14:paraId="761BA195" w14:textId="3E412BDB" w:rsidR="00203FFC" w:rsidRPr="009528A8" w:rsidRDefault="008F5E9D" w:rsidP="002634E9">
      <w:pPr>
        <w:rPr>
          <w:rFonts w:eastAsia="Arial"/>
          <w:szCs w:val="24"/>
        </w:rPr>
      </w:pPr>
      <w:r w:rsidRPr="009528A8">
        <w:rPr>
          <w:rFonts w:eastAsia="Arial"/>
          <w:szCs w:val="24"/>
        </w:rPr>
        <w:t>Modibo SACKO</w:t>
      </w:r>
      <w:r w:rsidR="00203FFC" w:rsidRPr="009528A8">
        <w:rPr>
          <w:rFonts w:eastAsia="Arial"/>
          <w:szCs w:val="24"/>
        </w:rPr>
        <w:t>, Vice President;</w:t>
      </w:r>
    </w:p>
    <w:p w14:paraId="1D12D5D4" w14:textId="77777777" w:rsidR="00203FFC" w:rsidRPr="009528A8" w:rsidRDefault="00203FFC" w:rsidP="002634E9">
      <w:pPr>
        <w:rPr>
          <w:rFonts w:eastAsia="Arial"/>
          <w:szCs w:val="24"/>
        </w:rPr>
      </w:pPr>
    </w:p>
    <w:p w14:paraId="76A1F3DD" w14:textId="77777777" w:rsidR="00203FFC" w:rsidRPr="009528A8" w:rsidRDefault="00203FFC" w:rsidP="002634E9">
      <w:pPr>
        <w:rPr>
          <w:rFonts w:eastAsia="Arial"/>
          <w:szCs w:val="24"/>
        </w:rPr>
      </w:pPr>
      <w:r w:rsidRPr="009528A8">
        <w:rPr>
          <w:rFonts w:eastAsia="Arial"/>
          <w:szCs w:val="24"/>
        </w:rPr>
        <w:t>Ben KIOKO, Judge;</w:t>
      </w:r>
    </w:p>
    <w:p w14:paraId="3E155AEC" w14:textId="77777777" w:rsidR="00203FFC" w:rsidRPr="009528A8" w:rsidRDefault="00203FFC" w:rsidP="002634E9">
      <w:pPr>
        <w:rPr>
          <w:rFonts w:eastAsia="Arial"/>
          <w:szCs w:val="24"/>
        </w:rPr>
      </w:pPr>
    </w:p>
    <w:p w14:paraId="544DF077" w14:textId="77777777" w:rsidR="00203FFC" w:rsidRPr="009528A8" w:rsidRDefault="00203FFC" w:rsidP="002634E9">
      <w:pPr>
        <w:rPr>
          <w:rFonts w:eastAsia="Arial"/>
          <w:szCs w:val="24"/>
        </w:rPr>
      </w:pPr>
      <w:r w:rsidRPr="009528A8">
        <w:rPr>
          <w:rFonts w:eastAsia="Arial"/>
          <w:szCs w:val="24"/>
        </w:rPr>
        <w:t>Rafaâ BEN ACHOUR, Judge;</w:t>
      </w:r>
    </w:p>
    <w:p w14:paraId="4D0EF22D" w14:textId="77777777" w:rsidR="00203FFC" w:rsidRPr="009528A8" w:rsidRDefault="00203FFC" w:rsidP="002634E9">
      <w:pPr>
        <w:rPr>
          <w:rFonts w:eastAsia="Arial"/>
          <w:szCs w:val="24"/>
        </w:rPr>
      </w:pPr>
    </w:p>
    <w:p w14:paraId="516D863B" w14:textId="77777777" w:rsidR="00203FFC" w:rsidRPr="009528A8" w:rsidRDefault="00203FFC" w:rsidP="002634E9">
      <w:pPr>
        <w:rPr>
          <w:rFonts w:eastAsia="Arial"/>
          <w:szCs w:val="24"/>
        </w:rPr>
      </w:pPr>
      <w:r w:rsidRPr="009528A8">
        <w:rPr>
          <w:rFonts w:eastAsia="Arial"/>
          <w:szCs w:val="24"/>
        </w:rPr>
        <w:t>Suzanne MENGUE, Judge;</w:t>
      </w:r>
    </w:p>
    <w:p w14:paraId="71C3761F" w14:textId="77777777" w:rsidR="00203FFC" w:rsidRPr="009528A8" w:rsidRDefault="00203FFC" w:rsidP="002634E9">
      <w:pPr>
        <w:rPr>
          <w:rFonts w:eastAsia="Arial"/>
          <w:szCs w:val="24"/>
        </w:rPr>
      </w:pPr>
    </w:p>
    <w:p w14:paraId="72978AA8" w14:textId="77777777" w:rsidR="00203FFC" w:rsidRPr="009528A8" w:rsidRDefault="00203FFC" w:rsidP="002634E9">
      <w:pPr>
        <w:rPr>
          <w:rFonts w:eastAsia="Arial"/>
          <w:szCs w:val="24"/>
        </w:rPr>
      </w:pPr>
      <w:r w:rsidRPr="009528A8">
        <w:rPr>
          <w:rFonts w:eastAsia="Arial"/>
          <w:szCs w:val="24"/>
        </w:rPr>
        <w:t>Tujilane R. CHIZUMILA, Judge;</w:t>
      </w:r>
    </w:p>
    <w:p w14:paraId="3AAF3190" w14:textId="77777777" w:rsidR="00203FFC" w:rsidRPr="009528A8" w:rsidRDefault="00203FFC" w:rsidP="002634E9">
      <w:pPr>
        <w:rPr>
          <w:rFonts w:eastAsia="Arial"/>
          <w:szCs w:val="24"/>
        </w:rPr>
      </w:pPr>
    </w:p>
    <w:p w14:paraId="6E0D35C1" w14:textId="77777777" w:rsidR="00203FFC" w:rsidRPr="009528A8" w:rsidRDefault="00203FFC" w:rsidP="002634E9">
      <w:pPr>
        <w:rPr>
          <w:rFonts w:eastAsia="Arial"/>
          <w:szCs w:val="24"/>
        </w:rPr>
      </w:pPr>
      <w:r w:rsidRPr="009528A8">
        <w:rPr>
          <w:rFonts w:eastAsia="Arial"/>
          <w:szCs w:val="24"/>
        </w:rPr>
        <w:t>Chafika BENSAOULA, Judge;</w:t>
      </w:r>
    </w:p>
    <w:p w14:paraId="6B1293D9" w14:textId="77777777" w:rsidR="00D27175" w:rsidRPr="009528A8" w:rsidRDefault="00D27175" w:rsidP="002634E9">
      <w:pPr>
        <w:rPr>
          <w:rFonts w:eastAsia="Arial"/>
          <w:szCs w:val="24"/>
        </w:rPr>
      </w:pPr>
    </w:p>
    <w:p w14:paraId="7511C96A" w14:textId="02936190" w:rsidR="00D27175" w:rsidRPr="009528A8" w:rsidRDefault="00D27175" w:rsidP="002634E9">
      <w:pPr>
        <w:rPr>
          <w:rFonts w:eastAsia="Arial"/>
          <w:szCs w:val="24"/>
        </w:rPr>
      </w:pPr>
      <w:r w:rsidRPr="009528A8">
        <w:rPr>
          <w:rFonts w:eastAsia="Arial"/>
          <w:szCs w:val="24"/>
        </w:rPr>
        <w:t xml:space="preserve">Blaise TCHIKAYA, Judge; </w:t>
      </w:r>
    </w:p>
    <w:p w14:paraId="0BD42228" w14:textId="77777777" w:rsidR="00203FFC" w:rsidRPr="009528A8" w:rsidRDefault="00203FFC" w:rsidP="002634E9">
      <w:pPr>
        <w:rPr>
          <w:rFonts w:eastAsia="Arial"/>
          <w:szCs w:val="24"/>
        </w:rPr>
      </w:pPr>
    </w:p>
    <w:p w14:paraId="642F0184" w14:textId="77777777" w:rsidR="00203FFC" w:rsidRPr="009528A8" w:rsidRDefault="00203FFC" w:rsidP="002634E9">
      <w:pPr>
        <w:rPr>
          <w:rFonts w:eastAsia="Arial"/>
          <w:szCs w:val="24"/>
        </w:rPr>
      </w:pPr>
      <w:r w:rsidRPr="009528A8">
        <w:rPr>
          <w:rFonts w:eastAsia="Arial"/>
          <w:szCs w:val="24"/>
        </w:rPr>
        <w:t xml:space="preserve">Stella I. ANUKAM, Judge; </w:t>
      </w:r>
    </w:p>
    <w:p w14:paraId="32B70DA5" w14:textId="77777777" w:rsidR="008F5E9D" w:rsidRPr="009528A8" w:rsidRDefault="008F5E9D" w:rsidP="002634E9">
      <w:pPr>
        <w:rPr>
          <w:rFonts w:eastAsia="Arial"/>
          <w:szCs w:val="24"/>
        </w:rPr>
      </w:pPr>
    </w:p>
    <w:p w14:paraId="6B9E8BC0" w14:textId="4BB9D1EB" w:rsidR="00203FFC" w:rsidRPr="009528A8" w:rsidRDefault="00203FFC" w:rsidP="002634E9">
      <w:pPr>
        <w:rPr>
          <w:rFonts w:eastAsia="Arial"/>
          <w:szCs w:val="24"/>
        </w:rPr>
      </w:pPr>
      <w:r w:rsidRPr="009528A8">
        <w:rPr>
          <w:rFonts w:eastAsia="Arial"/>
          <w:szCs w:val="24"/>
        </w:rPr>
        <w:t>Dumisa B. NTSEBEZA, Judge;</w:t>
      </w:r>
    </w:p>
    <w:p w14:paraId="238A463F" w14:textId="77777777" w:rsidR="00203FFC" w:rsidRPr="009528A8" w:rsidRDefault="00203FFC" w:rsidP="002634E9">
      <w:pPr>
        <w:rPr>
          <w:rFonts w:eastAsia="Arial"/>
          <w:szCs w:val="24"/>
        </w:rPr>
      </w:pPr>
    </w:p>
    <w:p w14:paraId="2B743DB8" w14:textId="77777777" w:rsidR="00203FFC" w:rsidRPr="009528A8" w:rsidRDefault="00203FFC" w:rsidP="002634E9">
      <w:pPr>
        <w:rPr>
          <w:rFonts w:eastAsia="Arial"/>
          <w:szCs w:val="24"/>
        </w:rPr>
      </w:pPr>
      <w:r w:rsidRPr="009528A8">
        <w:rPr>
          <w:rFonts w:eastAsia="Arial"/>
          <w:szCs w:val="24"/>
        </w:rPr>
        <w:t>Dennis D. ADJEI, Judge;</w:t>
      </w:r>
    </w:p>
    <w:p w14:paraId="257078EA" w14:textId="77777777" w:rsidR="00203FFC" w:rsidRPr="009528A8" w:rsidRDefault="00203FFC" w:rsidP="002634E9">
      <w:pPr>
        <w:rPr>
          <w:rFonts w:eastAsia="Arial"/>
          <w:szCs w:val="24"/>
        </w:rPr>
      </w:pPr>
    </w:p>
    <w:p w14:paraId="66DB5DE8" w14:textId="77777777" w:rsidR="00203FFC" w:rsidRPr="009528A8" w:rsidRDefault="00203FFC" w:rsidP="002634E9">
      <w:pPr>
        <w:rPr>
          <w:rFonts w:eastAsia="Arial"/>
          <w:szCs w:val="24"/>
        </w:rPr>
      </w:pPr>
      <w:r w:rsidRPr="009528A8">
        <w:rPr>
          <w:rFonts w:eastAsia="Arial"/>
          <w:szCs w:val="24"/>
        </w:rPr>
        <w:lastRenderedPageBreak/>
        <w:t>and Robert ENO, Registrar</w:t>
      </w:r>
      <w:r w:rsidRPr="009528A8">
        <w:rPr>
          <w:rFonts w:eastAsia="Calibri"/>
          <w:bCs/>
          <w:szCs w:val="24"/>
        </w:rPr>
        <w:t xml:space="preserve">. </w:t>
      </w:r>
    </w:p>
    <w:p w14:paraId="08AE7044" w14:textId="77777777" w:rsidR="00203FFC" w:rsidRPr="009528A8" w:rsidRDefault="00203FFC" w:rsidP="002634E9">
      <w:pPr>
        <w:rPr>
          <w:rFonts w:eastAsia="Arial"/>
          <w:szCs w:val="24"/>
          <w:lang w:val="en-ZA"/>
        </w:rPr>
      </w:pPr>
    </w:p>
    <w:p w14:paraId="27159228" w14:textId="77777777" w:rsidR="00203FFC" w:rsidRPr="009528A8" w:rsidRDefault="00203FFC" w:rsidP="002634E9">
      <w:pPr>
        <w:rPr>
          <w:rFonts w:eastAsia="Arial"/>
          <w:szCs w:val="24"/>
          <w:lang w:val="en-ZA"/>
        </w:rPr>
      </w:pPr>
    </w:p>
    <w:p w14:paraId="5986E299" w14:textId="6E7D275D" w:rsidR="000B7DA9" w:rsidRPr="00F02123" w:rsidRDefault="00203FFC" w:rsidP="002634E9">
      <w:pPr>
        <w:rPr>
          <w:rFonts w:eastAsia="Arial"/>
          <w:szCs w:val="24"/>
        </w:rPr>
      </w:pPr>
      <w:r w:rsidRPr="009528A8">
        <w:rPr>
          <w:rFonts w:eastAsia="Arial"/>
          <w:szCs w:val="24"/>
        </w:rPr>
        <w:t xml:space="preserve">Done at Arusha, this </w:t>
      </w:r>
      <w:r w:rsidR="00D27BE5" w:rsidRPr="009528A8">
        <w:rPr>
          <w:rFonts w:eastAsia="Arial"/>
          <w:szCs w:val="24"/>
        </w:rPr>
        <w:t>Fifth</w:t>
      </w:r>
      <w:r w:rsidR="000C2A74" w:rsidRPr="009528A8">
        <w:rPr>
          <w:rFonts w:eastAsia="Arial"/>
          <w:szCs w:val="24"/>
        </w:rPr>
        <w:t xml:space="preserve"> Day of September</w:t>
      </w:r>
      <w:r w:rsidRPr="009528A8">
        <w:rPr>
          <w:rFonts w:eastAsia="Arial"/>
          <w:szCs w:val="24"/>
        </w:rPr>
        <w:t xml:space="preserve"> in the Year Two Thousand and Twenty-Three in English and French, the English text being authoritative.</w:t>
      </w:r>
      <w:r w:rsidR="003853AA" w:rsidRPr="00F02123">
        <w:rPr>
          <w:rFonts w:eastAsia="Arial"/>
          <w:szCs w:val="24"/>
        </w:rPr>
        <w:t xml:space="preserve"> </w:t>
      </w:r>
    </w:p>
    <w:sectPr w:rsidR="000B7DA9" w:rsidRPr="00F02123" w:rsidSect="00F02123">
      <w:headerReference w:type="default" r:id="rId13"/>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47823" w14:textId="77777777" w:rsidR="00C75CB7" w:rsidRDefault="00C75CB7" w:rsidP="006064D9">
      <w:pPr>
        <w:spacing w:after="0" w:line="240" w:lineRule="auto"/>
      </w:pPr>
      <w:r>
        <w:separator/>
      </w:r>
    </w:p>
  </w:endnote>
  <w:endnote w:type="continuationSeparator" w:id="0">
    <w:p w14:paraId="4E379E77" w14:textId="77777777" w:rsidR="00C75CB7" w:rsidRDefault="00C75CB7" w:rsidP="00606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Simplified Arabic">
    <w:charset w:val="B2"/>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547695"/>
      <w:docPartObj>
        <w:docPartGallery w:val="Page Numbers (Bottom of Page)"/>
        <w:docPartUnique/>
      </w:docPartObj>
    </w:sdtPr>
    <w:sdtEndPr>
      <w:rPr>
        <w:noProof/>
      </w:rPr>
    </w:sdtEndPr>
    <w:sdtContent>
      <w:p w14:paraId="21242BB4" w14:textId="77777777" w:rsidR="00F02123" w:rsidRDefault="00F02123">
        <w:pPr>
          <w:pStyle w:val="Footer"/>
          <w:jc w:val="center"/>
        </w:pPr>
        <w:r>
          <w:fldChar w:fldCharType="begin"/>
        </w:r>
        <w:r>
          <w:instrText xml:space="preserve"> PAGE   \* MERGEFORMAT </w:instrText>
        </w:r>
        <w:r>
          <w:fldChar w:fldCharType="separate"/>
        </w:r>
        <w:r>
          <w:rPr>
            <w:noProof/>
          </w:rPr>
          <w:t>0</w:t>
        </w:r>
        <w:r>
          <w:fldChar w:fldCharType="end"/>
        </w:r>
      </w:p>
    </w:sdtContent>
  </w:sdt>
  <w:p w14:paraId="03AD5FBA" w14:textId="77777777" w:rsidR="00F02123" w:rsidRDefault="00F02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509228"/>
      <w:docPartObj>
        <w:docPartGallery w:val="Page Numbers (Bottom of Page)"/>
        <w:docPartUnique/>
      </w:docPartObj>
    </w:sdtPr>
    <w:sdtEndPr>
      <w:rPr>
        <w:rFonts w:ascii="Arial" w:hAnsi="Arial" w:cs="Arial"/>
        <w:noProof/>
      </w:rPr>
    </w:sdtEndPr>
    <w:sdtContent>
      <w:p w14:paraId="099DA421" w14:textId="77777777" w:rsidR="00F02123" w:rsidRPr="00BF2443" w:rsidRDefault="00F02123">
        <w:pPr>
          <w:pStyle w:val="Footer"/>
          <w:jc w:val="center"/>
          <w:rPr>
            <w:rFonts w:ascii="Arial" w:hAnsi="Arial" w:cs="Arial"/>
          </w:rPr>
        </w:pPr>
        <w:r w:rsidRPr="00BF2443">
          <w:rPr>
            <w:rFonts w:ascii="Arial" w:hAnsi="Arial" w:cs="Arial"/>
          </w:rPr>
          <w:fldChar w:fldCharType="begin"/>
        </w:r>
        <w:r w:rsidRPr="00BF2443">
          <w:rPr>
            <w:rFonts w:ascii="Arial" w:hAnsi="Arial" w:cs="Arial"/>
          </w:rPr>
          <w:instrText xml:space="preserve"> PAGE   \* MERGEFORMAT </w:instrText>
        </w:r>
        <w:r w:rsidRPr="00BF2443">
          <w:rPr>
            <w:rFonts w:ascii="Arial" w:hAnsi="Arial" w:cs="Arial"/>
          </w:rPr>
          <w:fldChar w:fldCharType="separate"/>
        </w:r>
        <w:r w:rsidR="00A3644D">
          <w:rPr>
            <w:rFonts w:ascii="Arial" w:hAnsi="Arial" w:cs="Arial"/>
            <w:noProof/>
          </w:rPr>
          <w:t>i</w:t>
        </w:r>
        <w:r w:rsidRPr="00BF2443">
          <w:rPr>
            <w:rFonts w:ascii="Arial" w:hAnsi="Arial" w:cs="Arial"/>
            <w:noProof/>
          </w:rPr>
          <w:fldChar w:fldCharType="end"/>
        </w:r>
      </w:p>
    </w:sdtContent>
  </w:sdt>
  <w:p w14:paraId="7FAE4C44" w14:textId="77777777" w:rsidR="00F02123" w:rsidRDefault="00F02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F0145" w14:textId="77777777" w:rsidR="00C75CB7" w:rsidRDefault="00C75CB7" w:rsidP="006064D9">
      <w:pPr>
        <w:spacing w:after="0" w:line="240" w:lineRule="auto"/>
      </w:pPr>
      <w:r>
        <w:separator/>
      </w:r>
    </w:p>
  </w:footnote>
  <w:footnote w:type="continuationSeparator" w:id="0">
    <w:p w14:paraId="3485FD83" w14:textId="77777777" w:rsidR="00C75CB7" w:rsidRDefault="00C75CB7" w:rsidP="006064D9">
      <w:pPr>
        <w:spacing w:after="0" w:line="240" w:lineRule="auto"/>
      </w:pPr>
      <w:r>
        <w:continuationSeparator/>
      </w:r>
    </w:p>
  </w:footnote>
  <w:footnote w:id="1">
    <w:p w14:paraId="7A43BED1" w14:textId="77777777" w:rsidR="00F02123" w:rsidRPr="00DA07FF" w:rsidRDefault="00F02123" w:rsidP="00DA07FF">
      <w:pPr>
        <w:pStyle w:val="FootnoteText"/>
        <w:jc w:val="both"/>
        <w:rPr>
          <w:rFonts w:ascii="Arial" w:hAnsi="Arial" w:cs="Arial"/>
          <w:lang w:val="en-ZW"/>
        </w:rPr>
      </w:pPr>
      <w:r w:rsidRPr="00DA07FF">
        <w:rPr>
          <w:rStyle w:val="FootnoteReference"/>
          <w:rFonts w:ascii="Arial" w:hAnsi="Arial" w:cs="Arial"/>
        </w:rPr>
        <w:footnoteRef/>
      </w:r>
      <w:r w:rsidRPr="00DA07FF">
        <w:rPr>
          <w:rFonts w:ascii="Arial" w:hAnsi="Arial" w:cs="Arial"/>
        </w:rPr>
        <w:t xml:space="preserve"> </w:t>
      </w:r>
      <w:r w:rsidRPr="00DA07FF">
        <w:rPr>
          <w:rFonts w:ascii="Arial" w:hAnsi="Arial" w:cs="Arial"/>
          <w:lang w:val="en-ZW"/>
        </w:rPr>
        <w:t>Rule 8(2), Rules of Court, 2 June 2010.</w:t>
      </w:r>
    </w:p>
  </w:footnote>
  <w:footnote w:id="2">
    <w:p w14:paraId="6705961F" w14:textId="323F4090" w:rsidR="00F02123" w:rsidRPr="00DA07FF" w:rsidRDefault="00F02123" w:rsidP="00DA07FF">
      <w:pPr>
        <w:pStyle w:val="FootnoteText"/>
        <w:jc w:val="both"/>
        <w:rPr>
          <w:rFonts w:ascii="Arial" w:hAnsi="Arial" w:cs="Arial"/>
          <w:b/>
          <w:bCs/>
          <w:highlight w:val="yellow"/>
          <w:lang w:val="en-ZA"/>
        </w:rPr>
      </w:pPr>
      <w:r w:rsidRPr="00DA07FF">
        <w:rPr>
          <w:rStyle w:val="FootnoteReference"/>
          <w:rFonts w:ascii="Arial" w:hAnsi="Arial" w:cs="Arial"/>
        </w:rPr>
        <w:footnoteRef/>
      </w:r>
      <w:r w:rsidRPr="00DA07FF">
        <w:rPr>
          <w:rFonts w:ascii="Arial" w:hAnsi="Arial" w:cs="Arial"/>
          <w:lang w:val="en-ZA"/>
        </w:rPr>
        <w:t xml:space="preserve"> </w:t>
      </w:r>
      <w:bookmarkStart w:id="3" w:name="_Hlk132968699"/>
      <w:r w:rsidRPr="00DA07FF">
        <w:rPr>
          <w:rFonts w:ascii="Arial" w:hAnsi="Arial" w:cs="Arial"/>
          <w:i/>
        </w:rPr>
        <w:t>Andrew Ambrose Cheusi v. United Republic of Tanzania</w:t>
      </w:r>
      <w:r w:rsidRPr="00DA07FF">
        <w:rPr>
          <w:rFonts w:ascii="Arial" w:hAnsi="Arial" w:cs="Arial"/>
        </w:rPr>
        <w:t xml:space="preserve"> (judgment) (26 June 2020) 4 AfCLR 219, § 38.</w:t>
      </w:r>
      <w:bookmarkEnd w:id="3"/>
    </w:p>
  </w:footnote>
  <w:footnote w:id="3">
    <w:p w14:paraId="5C5D0CD6" w14:textId="77777777" w:rsidR="00F02123" w:rsidRPr="00DA07FF" w:rsidRDefault="00F02123" w:rsidP="00DA07FF">
      <w:pPr>
        <w:pStyle w:val="FootnoteText"/>
        <w:jc w:val="both"/>
        <w:rPr>
          <w:rFonts w:ascii="Arial" w:hAnsi="Arial" w:cs="Arial"/>
          <w:lang w:val="en-ZA"/>
        </w:rPr>
      </w:pPr>
      <w:r w:rsidRPr="00DA07FF">
        <w:rPr>
          <w:rStyle w:val="FootnoteReference"/>
          <w:rFonts w:ascii="Arial" w:hAnsi="Arial" w:cs="Arial"/>
        </w:rPr>
        <w:footnoteRef/>
      </w:r>
      <w:r w:rsidRPr="00DA07FF">
        <w:rPr>
          <w:rFonts w:ascii="Arial" w:hAnsi="Arial" w:cs="Arial"/>
        </w:rPr>
        <w:t xml:space="preserve"> Formerly, Rule 39(1), Rules of Court, 2 June 2010.</w:t>
      </w:r>
    </w:p>
  </w:footnote>
  <w:footnote w:id="4">
    <w:p w14:paraId="231669D3" w14:textId="3C5FA4BF" w:rsidR="00F02123" w:rsidRPr="00DA07FF" w:rsidRDefault="00F02123" w:rsidP="00DA07FF">
      <w:pPr>
        <w:pStyle w:val="FootnoteText"/>
        <w:jc w:val="both"/>
        <w:rPr>
          <w:rFonts w:ascii="Arial" w:hAnsi="Arial" w:cs="Arial"/>
          <w:lang w:val="en-ZA"/>
        </w:rPr>
      </w:pPr>
      <w:r w:rsidRPr="00DA07FF">
        <w:rPr>
          <w:rStyle w:val="FootnoteReference"/>
          <w:rFonts w:ascii="Arial" w:hAnsi="Arial" w:cs="Arial"/>
        </w:rPr>
        <w:footnoteRef/>
      </w:r>
      <w:r w:rsidRPr="00DA07FF">
        <w:rPr>
          <w:rFonts w:ascii="Arial" w:hAnsi="Arial" w:cs="Arial"/>
          <w:i/>
          <w:iCs/>
        </w:rPr>
        <w:t xml:space="preserve"> Kalebi Elisamehe v. United Republic of Tanzania </w:t>
      </w:r>
      <w:r w:rsidRPr="00DA07FF">
        <w:rPr>
          <w:rFonts w:ascii="Arial" w:hAnsi="Arial" w:cs="Arial"/>
        </w:rPr>
        <w:t xml:space="preserve">(judgment) (26 June 2020) 4 AfCLR 265, § 18 and </w:t>
      </w:r>
      <w:r w:rsidRPr="00DA07FF">
        <w:rPr>
          <w:rFonts w:ascii="Arial" w:hAnsi="Arial" w:cs="Arial"/>
          <w:i/>
          <w:iCs/>
        </w:rPr>
        <w:t>Peter Joseph Chacha v. United Republic of Tanzania</w:t>
      </w:r>
      <w:r w:rsidRPr="005750A3">
        <w:rPr>
          <w:rFonts w:ascii="Arial" w:hAnsi="Arial" w:cs="Arial"/>
          <w:i/>
          <w:iCs/>
        </w:rPr>
        <w:t xml:space="preserve"> </w:t>
      </w:r>
      <w:r w:rsidRPr="00DA07FF">
        <w:rPr>
          <w:rFonts w:ascii="Arial" w:hAnsi="Arial" w:cs="Arial"/>
        </w:rPr>
        <w:t>(admissibility) (2014) 1 AfCLR 398</w:t>
      </w:r>
      <w:bookmarkStart w:id="13" w:name="_Hlk132018535"/>
      <w:r w:rsidRPr="00DA07FF">
        <w:rPr>
          <w:rFonts w:ascii="Arial" w:hAnsi="Arial" w:cs="Arial"/>
        </w:rPr>
        <w:t>, §</w:t>
      </w:r>
      <w:bookmarkEnd w:id="13"/>
      <w:r w:rsidRPr="00DA07FF">
        <w:rPr>
          <w:rFonts w:ascii="Arial" w:hAnsi="Arial" w:cs="Arial"/>
        </w:rPr>
        <w:t xml:space="preserve"> 114.</w:t>
      </w:r>
    </w:p>
  </w:footnote>
  <w:footnote w:id="5">
    <w:p w14:paraId="1E7EC922" w14:textId="61A7FD07" w:rsidR="00F02123" w:rsidRPr="00DA07FF" w:rsidRDefault="00F02123" w:rsidP="00DA07FF">
      <w:pPr>
        <w:pStyle w:val="FootnoteText"/>
        <w:jc w:val="both"/>
        <w:rPr>
          <w:rFonts w:ascii="Arial" w:hAnsi="Arial" w:cs="Arial"/>
          <w:lang w:val="en-ZA"/>
        </w:rPr>
      </w:pPr>
      <w:r w:rsidRPr="00DA07FF">
        <w:rPr>
          <w:rStyle w:val="FootnoteReference"/>
          <w:rFonts w:ascii="Arial" w:hAnsi="Arial" w:cs="Arial"/>
        </w:rPr>
        <w:footnoteRef/>
      </w:r>
      <w:r w:rsidRPr="00DA07FF">
        <w:rPr>
          <w:rFonts w:ascii="Arial" w:hAnsi="Arial" w:cs="Arial"/>
        </w:rPr>
        <w:t xml:space="preserve"> </w:t>
      </w:r>
      <w:bookmarkStart w:id="14" w:name="_Hlk132967637"/>
      <w:bookmarkStart w:id="15" w:name="_Hlk132964708"/>
      <w:r w:rsidRPr="00DA07FF">
        <w:rPr>
          <w:rFonts w:ascii="Arial" w:hAnsi="Arial" w:cs="Arial"/>
          <w:i/>
          <w:iCs/>
        </w:rPr>
        <w:t>Marthine Christian Msuguri v. United Republic of Tanzania,</w:t>
      </w:r>
      <w:r w:rsidRPr="00DA07FF">
        <w:rPr>
          <w:rFonts w:ascii="Arial" w:hAnsi="Arial" w:cs="Arial"/>
        </w:rPr>
        <w:t xml:space="preserve"> ACtHPR, Application No. 052/2016, Judgment of 1 December 2022 (merits and reparations), § 25</w:t>
      </w:r>
      <w:bookmarkEnd w:id="14"/>
      <w:r w:rsidRPr="00DA07FF">
        <w:rPr>
          <w:rFonts w:ascii="Arial" w:hAnsi="Arial" w:cs="Arial"/>
        </w:rPr>
        <w:t xml:space="preserve">; </w:t>
      </w:r>
      <w:bookmarkEnd w:id="15"/>
      <w:r w:rsidRPr="00DA07FF">
        <w:rPr>
          <w:rFonts w:ascii="Arial" w:hAnsi="Arial" w:cs="Arial"/>
          <w:i/>
          <w:iCs/>
          <w:lang w:val="en-ZA"/>
        </w:rPr>
        <w:t xml:space="preserve">Werema Wangoko Werema and </w:t>
      </w:r>
      <w:r w:rsidRPr="00F02123">
        <w:rPr>
          <w:rFonts w:ascii="Arial" w:hAnsi="Arial" w:cs="Arial"/>
          <w:i/>
          <w:color w:val="4D5156"/>
          <w:sz w:val="21"/>
          <w:szCs w:val="21"/>
          <w:shd w:val="clear" w:color="auto" w:fill="FFFFFF"/>
        </w:rPr>
        <w:t xml:space="preserve">Waisiri Wangoko </w:t>
      </w:r>
      <w:r w:rsidRPr="00F02123">
        <w:rPr>
          <w:rFonts w:ascii="Arial" w:hAnsi="Arial" w:cs="Arial"/>
          <w:i/>
          <w:iCs/>
          <w:lang w:val="en-ZA"/>
        </w:rPr>
        <w:t>Werema v</w:t>
      </w:r>
      <w:r w:rsidRPr="005566B7">
        <w:rPr>
          <w:rFonts w:ascii="Arial" w:hAnsi="Arial" w:cs="Arial"/>
          <w:b/>
          <w:i/>
          <w:iCs/>
          <w:lang w:val="en-ZA"/>
        </w:rPr>
        <w:t>.</w:t>
      </w:r>
      <w:r w:rsidRPr="00DA07FF">
        <w:rPr>
          <w:rFonts w:ascii="Arial" w:hAnsi="Arial" w:cs="Arial"/>
          <w:i/>
          <w:iCs/>
          <w:lang w:val="en-ZA"/>
        </w:rPr>
        <w:t xml:space="preserve"> United Republic of Tanzania </w:t>
      </w:r>
      <w:r w:rsidRPr="00DA07FF">
        <w:rPr>
          <w:rFonts w:ascii="Arial" w:hAnsi="Arial" w:cs="Arial"/>
          <w:lang w:val="en-ZA"/>
        </w:rPr>
        <w:t xml:space="preserve">(merits) (7 December 2018) 2 AfCLR 520, § 29 and </w:t>
      </w:r>
      <w:r w:rsidRPr="00DA07FF">
        <w:rPr>
          <w:rFonts w:ascii="Arial" w:hAnsi="Arial" w:cs="Arial"/>
          <w:i/>
        </w:rPr>
        <w:t>Ernest</w:t>
      </w:r>
      <w:r w:rsidRPr="00DA07FF">
        <w:rPr>
          <w:rFonts w:ascii="Arial" w:hAnsi="Arial" w:cs="Arial"/>
          <w:i/>
          <w:spacing w:val="-3"/>
        </w:rPr>
        <w:t xml:space="preserve"> </w:t>
      </w:r>
      <w:r w:rsidRPr="00DA07FF">
        <w:rPr>
          <w:rFonts w:ascii="Arial" w:hAnsi="Arial" w:cs="Arial"/>
          <w:i/>
        </w:rPr>
        <w:t>Francis</w:t>
      </w:r>
      <w:r w:rsidRPr="00DA07FF">
        <w:rPr>
          <w:rFonts w:ascii="Arial" w:hAnsi="Arial" w:cs="Arial"/>
          <w:i/>
          <w:spacing w:val="1"/>
        </w:rPr>
        <w:t xml:space="preserve"> </w:t>
      </w:r>
      <w:r w:rsidRPr="00DA07FF">
        <w:rPr>
          <w:rFonts w:ascii="Arial" w:hAnsi="Arial" w:cs="Arial"/>
          <w:i/>
        </w:rPr>
        <w:t>Mtingwi</w:t>
      </w:r>
      <w:r w:rsidRPr="00DA07FF">
        <w:rPr>
          <w:rFonts w:ascii="Arial" w:hAnsi="Arial" w:cs="Arial"/>
          <w:i/>
          <w:spacing w:val="-3"/>
        </w:rPr>
        <w:t xml:space="preserve"> </w:t>
      </w:r>
      <w:r w:rsidRPr="00DA07FF">
        <w:rPr>
          <w:rFonts w:ascii="Arial" w:hAnsi="Arial" w:cs="Arial"/>
          <w:i/>
        </w:rPr>
        <w:t>v.</w:t>
      </w:r>
      <w:r w:rsidRPr="00DA07FF">
        <w:rPr>
          <w:rFonts w:ascii="Arial" w:hAnsi="Arial" w:cs="Arial"/>
          <w:i/>
          <w:spacing w:val="-1"/>
        </w:rPr>
        <w:t xml:space="preserve"> </w:t>
      </w:r>
      <w:r w:rsidRPr="00DA07FF">
        <w:rPr>
          <w:rFonts w:ascii="Arial" w:hAnsi="Arial" w:cs="Arial"/>
          <w:i/>
        </w:rPr>
        <w:t>Republic</w:t>
      </w:r>
      <w:r w:rsidRPr="00DA07FF">
        <w:rPr>
          <w:rFonts w:ascii="Arial" w:hAnsi="Arial" w:cs="Arial"/>
          <w:i/>
          <w:spacing w:val="-1"/>
        </w:rPr>
        <w:t xml:space="preserve"> </w:t>
      </w:r>
      <w:r w:rsidRPr="00DA07FF">
        <w:rPr>
          <w:rFonts w:ascii="Arial" w:hAnsi="Arial" w:cs="Arial"/>
          <w:i/>
        </w:rPr>
        <w:t>of</w:t>
      </w:r>
      <w:r w:rsidRPr="00DA07FF">
        <w:rPr>
          <w:rFonts w:ascii="Arial" w:hAnsi="Arial" w:cs="Arial"/>
          <w:i/>
          <w:spacing w:val="-1"/>
        </w:rPr>
        <w:t xml:space="preserve"> </w:t>
      </w:r>
      <w:r w:rsidRPr="00DA07FF">
        <w:rPr>
          <w:rFonts w:ascii="Arial" w:hAnsi="Arial" w:cs="Arial"/>
          <w:i/>
        </w:rPr>
        <w:t>Malawi</w:t>
      </w:r>
      <w:r w:rsidRPr="00DA07FF">
        <w:rPr>
          <w:rFonts w:ascii="Arial" w:hAnsi="Arial" w:cs="Arial"/>
          <w:i/>
          <w:spacing w:val="2"/>
        </w:rPr>
        <w:t xml:space="preserve"> </w:t>
      </w:r>
      <w:r w:rsidRPr="00DA07FF">
        <w:rPr>
          <w:rFonts w:ascii="Arial" w:hAnsi="Arial" w:cs="Arial"/>
        </w:rPr>
        <w:t>(jurisdiction) (15 March 2013) 1 AfCLR 190</w:t>
      </w:r>
      <w:r w:rsidRPr="00DA07FF">
        <w:rPr>
          <w:rFonts w:ascii="Arial" w:hAnsi="Arial" w:cs="Arial"/>
          <w:spacing w:val="-1"/>
        </w:rPr>
        <w:t xml:space="preserve">, </w:t>
      </w:r>
      <w:r w:rsidRPr="00DA07FF">
        <w:rPr>
          <w:rFonts w:ascii="Arial" w:hAnsi="Arial" w:cs="Arial"/>
        </w:rPr>
        <w:t>§§</w:t>
      </w:r>
      <w:r w:rsidRPr="00DA07FF">
        <w:rPr>
          <w:rFonts w:ascii="Arial" w:hAnsi="Arial" w:cs="Arial"/>
          <w:spacing w:val="-3"/>
        </w:rPr>
        <w:t xml:space="preserve"> </w:t>
      </w:r>
      <w:r w:rsidRPr="00DA07FF">
        <w:rPr>
          <w:rFonts w:ascii="Arial" w:hAnsi="Arial" w:cs="Arial"/>
        </w:rPr>
        <w:t>14-16.</w:t>
      </w:r>
    </w:p>
  </w:footnote>
  <w:footnote w:id="6">
    <w:p w14:paraId="07C65413" w14:textId="04A2CF80" w:rsidR="00F02123" w:rsidRPr="00DA07FF" w:rsidRDefault="00F02123" w:rsidP="00DA07FF">
      <w:pPr>
        <w:pStyle w:val="FootnoteText"/>
        <w:jc w:val="both"/>
        <w:rPr>
          <w:rFonts w:ascii="Arial" w:hAnsi="Arial" w:cs="Arial"/>
          <w:lang w:val="en-US"/>
        </w:rPr>
      </w:pPr>
      <w:r w:rsidRPr="00DA07FF">
        <w:rPr>
          <w:rStyle w:val="FootnoteReference"/>
          <w:rFonts w:ascii="Arial" w:hAnsi="Arial" w:cs="Arial"/>
        </w:rPr>
        <w:footnoteRef/>
      </w:r>
      <w:r w:rsidRPr="00DA07FF">
        <w:rPr>
          <w:rFonts w:ascii="Arial" w:hAnsi="Arial" w:cs="Arial"/>
          <w:i/>
          <w:iCs/>
        </w:rPr>
        <w:t xml:space="preserve"> Cheusi v. Tanzania</w:t>
      </w:r>
      <w:r w:rsidRPr="00DA07FF">
        <w:rPr>
          <w:rFonts w:ascii="Arial" w:hAnsi="Arial" w:cs="Arial"/>
        </w:rPr>
        <w:t xml:space="preserve"> (judgment)</w:t>
      </w:r>
      <w:r>
        <w:rPr>
          <w:rFonts w:ascii="Arial" w:hAnsi="Arial" w:cs="Arial"/>
        </w:rPr>
        <w:t xml:space="preserve">, </w:t>
      </w:r>
      <w:r w:rsidRPr="00CF206F">
        <w:rPr>
          <w:rFonts w:ascii="Arial" w:hAnsi="Arial" w:cs="Arial"/>
          <w:i/>
        </w:rPr>
        <w:t>supra</w:t>
      </w:r>
      <w:r>
        <w:rPr>
          <w:rFonts w:ascii="Arial" w:hAnsi="Arial" w:cs="Arial"/>
        </w:rPr>
        <w:t>,</w:t>
      </w:r>
      <w:r w:rsidRPr="00DA07FF">
        <w:rPr>
          <w:rFonts w:ascii="Arial" w:hAnsi="Arial" w:cs="Arial"/>
        </w:rPr>
        <w:t xml:space="preserve"> § 32; </w:t>
      </w:r>
      <w:bookmarkStart w:id="16" w:name="_Hlk132968796"/>
      <w:r w:rsidRPr="00DA07FF">
        <w:rPr>
          <w:rFonts w:ascii="Arial" w:hAnsi="Arial" w:cs="Arial"/>
          <w:i/>
          <w:iCs/>
        </w:rPr>
        <w:t xml:space="preserve">Werema and </w:t>
      </w:r>
      <w:r w:rsidRPr="00DA07FF">
        <w:rPr>
          <w:rFonts w:ascii="Arial" w:hAnsi="Arial" w:cs="Arial"/>
          <w:i/>
          <w:iCs/>
          <w:lang w:val="en-ZA"/>
        </w:rPr>
        <w:t xml:space="preserve">Werema </w:t>
      </w:r>
      <w:r w:rsidRPr="00DA07FF">
        <w:rPr>
          <w:rFonts w:ascii="Arial" w:hAnsi="Arial" w:cs="Arial"/>
          <w:i/>
          <w:iCs/>
        </w:rPr>
        <w:t>v. Tanzania</w:t>
      </w:r>
      <w:r w:rsidRPr="00DA07FF">
        <w:rPr>
          <w:rFonts w:ascii="Arial" w:hAnsi="Arial" w:cs="Arial"/>
        </w:rPr>
        <w:t xml:space="preserve">, </w:t>
      </w:r>
      <w:r w:rsidRPr="00DA07FF">
        <w:rPr>
          <w:rFonts w:ascii="Arial" w:hAnsi="Arial" w:cs="Arial"/>
          <w:i/>
          <w:iCs/>
        </w:rPr>
        <w:t xml:space="preserve">ibid, </w:t>
      </w:r>
      <w:r w:rsidRPr="00DA07FF">
        <w:rPr>
          <w:rFonts w:ascii="Arial" w:hAnsi="Arial" w:cs="Arial"/>
        </w:rPr>
        <w:t xml:space="preserve">§ 29 </w:t>
      </w:r>
      <w:bookmarkEnd w:id="16"/>
      <w:r w:rsidRPr="00DA07FF">
        <w:rPr>
          <w:rFonts w:ascii="Arial" w:hAnsi="Arial" w:cs="Arial"/>
        </w:rPr>
        <w:t>and</w:t>
      </w:r>
      <w:r w:rsidRPr="00DA07FF">
        <w:rPr>
          <w:rFonts w:ascii="Arial" w:hAnsi="Arial" w:cs="Arial"/>
          <w:i/>
          <w:iCs/>
        </w:rPr>
        <w:t xml:space="preserve"> Alex Thomas v. United Republic of Tanzania, </w:t>
      </w:r>
      <w:r w:rsidRPr="00DA07FF">
        <w:rPr>
          <w:rFonts w:ascii="Arial" w:hAnsi="Arial" w:cs="Arial"/>
        </w:rPr>
        <w:t>(merits) (20 November 2015) 1 AfCLR 465, § 130.</w:t>
      </w:r>
    </w:p>
  </w:footnote>
  <w:footnote w:id="7">
    <w:p w14:paraId="75A86FC6" w14:textId="51749EAB" w:rsidR="00F02123" w:rsidRPr="00DA07FF" w:rsidRDefault="00F02123" w:rsidP="00DA07FF">
      <w:pPr>
        <w:pStyle w:val="FootnoteText"/>
        <w:jc w:val="both"/>
        <w:rPr>
          <w:rFonts w:ascii="Arial" w:hAnsi="Arial" w:cs="Arial"/>
        </w:rPr>
      </w:pPr>
      <w:r w:rsidRPr="00DA07FF">
        <w:rPr>
          <w:rStyle w:val="FootnoteReference"/>
          <w:rFonts w:ascii="Arial" w:hAnsi="Arial" w:cs="Arial"/>
        </w:rPr>
        <w:footnoteRef/>
      </w:r>
      <w:r w:rsidRPr="00DA07FF">
        <w:rPr>
          <w:rFonts w:ascii="Arial" w:hAnsi="Arial" w:cs="Arial"/>
        </w:rPr>
        <w:t xml:space="preserve"> </w:t>
      </w:r>
      <w:r w:rsidRPr="00DA07FF">
        <w:rPr>
          <w:rFonts w:ascii="Arial" w:hAnsi="Arial" w:cs="Arial"/>
          <w:i/>
          <w:iCs/>
        </w:rPr>
        <w:t xml:space="preserve">Chananja </w:t>
      </w:r>
      <w:r w:rsidRPr="00DA07FF">
        <w:rPr>
          <w:rFonts w:ascii="Arial" w:hAnsi="Arial" w:cs="Arial"/>
          <w:i/>
          <w:iCs/>
          <w:lang w:val="en-ZA"/>
        </w:rPr>
        <w:t xml:space="preserve">Luchagula v. United Republic of Tanzania </w:t>
      </w:r>
      <w:r w:rsidRPr="00DA07FF">
        <w:rPr>
          <w:rFonts w:ascii="Arial" w:hAnsi="Arial" w:cs="Arial"/>
          <w:lang w:val="en-ZA"/>
        </w:rPr>
        <w:t xml:space="preserve">(admissibility) (25 September 2020) 4 AfCLR 561, </w:t>
      </w:r>
      <w:bookmarkStart w:id="17" w:name="_Hlk132970578"/>
      <w:r w:rsidRPr="00DA07FF">
        <w:rPr>
          <w:rFonts w:ascii="Arial" w:hAnsi="Arial" w:cs="Arial"/>
          <w:lang w:val="en-ZA"/>
        </w:rPr>
        <w:t>§§</w:t>
      </w:r>
      <w:bookmarkEnd w:id="17"/>
      <w:r w:rsidRPr="00DA07FF">
        <w:rPr>
          <w:rFonts w:ascii="Arial" w:hAnsi="Arial" w:cs="Arial"/>
          <w:lang w:val="en-ZA"/>
        </w:rPr>
        <w:t xml:space="preserve"> 25-28; and </w:t>
      </w:r>
      <w:r w:rsidRPr="00DA07FF">
        <w:rPr>
          <w:rFonts w:ascii="Arial" w:hAnsi="Arial" w:cs="Arial"/>
          <w:i/>
          <w:iCs/>
        </w:rPr>
        <w:t>Actions pour la Protection des Droits de l</w:t>
      </w:r>
      <w:r>
        <w:rPr>
          <w:rFonts w:ascii="Arial" w:hAnsi="Arial" w:cs="Arial"/>
          <w:i/>
          <w:iCs/>
        </w:rPr>
        <w:t>’</w:t>
      </w:r>
      <w:r w:rsidRPr="00DA07FF">
        <w:rPr>
          <w:rFonts w:ascii="Arial" w:hAnsi="Arial" w:cs="Arial"/>
          <w:i/>
          <w:iCs/>
        </w:rPr>
        <w:t>Homme (APDH) v. Republic of Côte d</w:t>
      </w:r>
      <w:r>
        <w:rPr>
          <w:rFonts w:ascii="Arial" w:hAnsi="Arial" w:cs="Arial"/>
          <w:i/>
          <w:iCs/>
        </w:rPr>
        <w:t>’</w:t>
      </w:r>
      <w:r w:rsidRPr="00DA07FF">
        <w:rPr>
          <w:rFonts w:ascii="Arial" w:hAnsi="Arial" w:cs="Arial"/>
          <w:i/>
          <w:iCs/>
        </w:rPr>
        <w:t>Ivoire</w:t>
      </w:r>
      <w:r w:rsidRPr="00DA07FF">
        <w:rPr>
          <w:rFonts w:ascii="Arial" w:hAnsi="Arial" w:cs="Arial"/>
        </w:rPr>
        <w:t xml:space="preserve"> (merits and reparations) (18 November 2016) 1 AfCLR 668, </w:t>
      </w:r>
      <w:bookmarkStart w:id="18" w:name="_Hlk132024893"/>
      <w:r w:rsidRPr="00DA07FF">
        <w:rPr>
          <w:rFonts w:ascii="Arial" w:hAnsi="Arial" w:cs="Arial"/>
        </w:rPr>
        <w:t>§§</w:t>
      </w:r>
      <w:bookmarkEnd w:id="18"/>
      <w:r w:rsidRPr="00DA07FF">
        <w:rPr>
          <w:rFonts w:ascii="Arial" w:hAnsi="Arial" w:cs="Arial"/>
        </w:rPr>
        <w:t xml:space="preserve"> 47-65.</w:t>
      </w:r>
      <w:r>
        <w:rPr>
          <w:rFonts w:ascii="Arial" w:hAnsi="Arial" w:cs="Arial"/>
        </w:rPr>
        <w:t xml:space="preserve"> </w:t>
      </w:r>
    </w:p>
  </w:footnote>
  <w:footnote w:id="8">
    <w:p w14:paraId="74FC598E" w14:textId="4686237C" w:rsidR="00F02123" w:rsidRPr="00DA07FF" w:rsidRDefault="00F02123" w:rsidP="00DA07FF">
      <w:pPr>
        <w:pStyle w:val="FootnoteText"/>
        <w:jc w:val="both"/>
        <w:rPr>
          <w:rFonts w:ascii="Arial" w:hAnsi="Arial" w:cs="Arial"/>
          <w:lang w:val="en-US"/>
        </w:rPr>
      </w:pPr>
      <w:r w:rsidRPr="00DA07FF">
        <w:rPr>
          <w:rStyle w:val="FootnoteReference"/>
          <w:rFonts w:ascii="Arial" w:hAnsi="Arial" w:cs="Arial"/>
        </w:rPr>
        <w:footnoteRef/>
      </w:r>
      <w:r w:rsidRPr="00DA07FF">
        <w:rPr>
          <w:rFonts w:ascii="Arial" w:hAnsi="Arial" w:cs="Arial"/>
        </w:rPr>
        <w:t xml:space="preserve"> Rule 39(1) of Rules of Court, 2 June 2010.</w:t>
      </w:r>
    </w:p>
  </w:footnote>
  <w:footnote w:id="9">
    <w:p w14:paraId="1D281720" w14:textId="62E74128" w:rsidR="00F02123" w:rsidRPr="00F02123" w:rsidRDefault="00F02123" w:rsidP="00DA07FF">
      <w:pPr>
        <w:pStyle w:val="FootnoteText"/>
        <w:jc w:val="both"/>
        <w:rPr>
          <w:rFonts w:ascii="Arial" w:hAnsi="Arial" w:cs="Arial"/>
          <w:lang w:val="fr-FR"/>
        </w:rPr>
      </w:pPr>
      <w:r w:rsidRPr="00DA07FF">
        <w:rPr>
          <w:rStyle w:val="FootnoteReference"/>
          <w:rFonts w:ascii="Arial" w:hAnsi="Arial" w:cs="Arial"/>
        </w:rPr>
        <w:footnoteRef/>
      </w:r>
      <w:r w:rsidRPr="00F02123">
        <w:rPr>
          <w:rFonts w:ascii="Arial" w:hAnsi="Arial" w:cs="Arial"/>
          <w:lang w:val="fr-FR"/>
        </w:rPr>
        <w:t xml:space="preserve"> </w:t>
      </w:r>
      <w:r w:rsidRPr="00F02123">
        <w:rPr>
          <w:rFonts w:ascii="Arial" w:hAnsi="Arial" w:cs="Arial"/>
          <w:i/>
          <w:lang w:val="fr-FR"/>
        </w:rPr>
        <w:t>Cheusi v. Tanzania</w:t>
      </w:r>
      <w:r w:rsidRPr="00F02123">
        <w:rPr>
          <w:rFonts w:ascii="Arial" w:hAnsi="Arial" w:cs="Arial"/>
          <w:lang w:val="fr-FR"/>
        </w:rPr>
        <w:t xml:space="preserve"> (judgment), </w:t>
      </w:r>
      <w:r w:rsidRPr="00F02123">
        <w:rPr>
          <w:rFonts w:ascii="Arial" w:hAnsi="Arial" w:cs="Arial"/>
          <w:i/>
          <w:lang w:val="fr-FR"/>
        </w:rPr>
        <w:t>supra</w:t>
      </w:r>
      <w:r w:rsidRPr="00F02123">
        <w:rPr>
          <w:rFonts w:ascii="Arial" w:hAnsi="Arial" w:cs="Arial"/>
          <w:lang w:val="fr-FR"/>
        </w:rPr>
        <w:t xml:space="preserve">, § 38. </w:t>
      </w:r>
    </w:p>
  </w:footnote>
  <w:footnote w:id="10">
    <w:p w14:paraId="3F954510" w14:textId="0C87E499" w:rsidR="00F02123" w:rsidRPr="00F02123" w:rsidRDefault="00F02123" w:rsidP="00DA07FF">
      <w:pPr>
        <w:pStyle w:val="FootnoteText"/>
        <w:jc w:val="both"/>
        <w:rPr>
          <w:rFonts w:ascii="Arial" w:hAnsi="Arial" w:cs="Arial"/>
        </w:rPr>
      </w:pPr>
      <w:r w:rsidRPr="00DA07FF">
        <w:rPr>
          <w:rStyle w:val="FootnoteReference"/>
          <w:rFonts w:ascii="Arial" w:hAnsi="Arial" w:cs="Arial"/>
        </w:rPr>
        <w:footnoteRef/>
      </w:r>
      <w:r w:rsidRPr="00CF206F">
        <w:rPr>
          <w:rFonts w:ascii="Arial" w:hAnsi="Arial" w:cs="Arial"/>
        </w:rPr>
        <w:t xml:space="preserve"> </w:t>
      </w:r>
      <w:r w:rsidRPr="00CF206F">
        <w:rPr>
          <w:rFonts w:ascii="Arial" w:hAnsi="Arial" w:cs="Arial"/>
          <w:i/>
        </w:rPr>
        <w:t xml:space="preserve">Msuguri v. Tanzania </w:t>
      </w:r>
      <w:r w:rsidRPr="00CF206F">
        <w:rPr>
          <w:rFonts w:ascii="Arial" w:hAnsi="Arial" w:cs="Arial"/>
        </w:rPr>
        <w:t xml:space="preserve">(merits and reparations), </w:t>
      </w:r>
      <w:r w:rsidRPr="00CF206F">
        <w:rPr>
          <w:rFonts w:ascii="Arial" w:hAnsi="Arial" w:cs="Arial"/>
          <w:i/>
        </w:rPr>
        <w:t>supra</w:t>
      </w:r>
      <w:r w:rsidRPr="00CF206F">
        <w:rPr>
          <w:rFonts w:ascii="Arial" w:hAnsi="Arial" w:cs="Arial"/>
        </w:rPr>
        <w:t xml:space="preserve">, § 30 and </w:t>
      </w:r>
      <w:r w:rsidRPr="00F02123">
        <w:rPr>
          <w:rFonts w:ascii="Arial" w:hAnsi="Arial" w:cs="Arial"/>
          <w:i/>
        </w:rPr>
        <w:t xml:space="preserve">Jebra </w:t>
      </w:r>
      <w:r w:rsidRPr="00F02123">
        <w:rPr>
          <w:rFonts w:ascii="Arial" w:hAnsi="Arial" w:cs="Arial"/>
          <w:i/>
          <w:iCs/>
        </w:rPr>
        <w:t>Kambole v. United Republic of Tanzania</w:t>
      </w:r>
      <w:r w:rsidRPr="00F02123">
        <w:rPr>
          <w:rFonts w:ascii="Arial" w:hAnsi="Arial" w:cs="Arial"/>
          <w:iCs/>
        </w:rPr>
        <w:t xml:space="preserve"> </w:t>
      </w:r>
      <w:r w:rsidRPr="00F02123">
        <w:rPr>
          <w:rFonts w:ascii="Arial" w:hAnsi="Arial" w:cs="Arial"/>
        </w:rPr>
        <w:t xml:space="preserve"> (judgment) (15 July 2020) 4 AfCLR 460, §§ 23-24. </w:t>
      </w:r>
    </w:p>
  </w:footnote>
  <w:footnote w:id="11">
    <w:p w14:paraId="7655C358" w14:textId="10366907" w:rsidR="00F02123" w:rsidRPr="00DA07FF" w:rsidRDefault="00F02123" w:rsidP="00DA07FF">
      <w:pPr>
        <w:pStyle w:val="FootnoteText"/>
        <w:jc w:val="both"/>
        <w:rPr>
          <w:rFonts w:ascii="Arial" w:hAnsi="Arial" w:cs="Arial"/>
        </w:rPr>
      </w:pPr>
      <w:r w:rsidRPr="00DA07FF">
        <w:rPr>
          <w:rStyle w:val="FootnoteReference"/>
          <w:rFonts w:ascii="Arial" w:hAnsi="Arial" w:cs="Arial"/>
        </w:rPr>
        <w:footnoteRef/>
      </w:r>
      <w:r w:rsidRPr="00DA07FF">
        <w:rPr>
          <w:rFonts w:ascii="Arial" w:hAnsi="Arial" w:cs="Arial"/>
        </w:rPr>
        <w:t xml:space="preserve"> </w:t>
      </w:r>
      <w:r w:rsidRPr="00DA07FF">
        <w:rPr>
          <w:rFonts w:ascii="Arial" w:hAnsi="Arial" w:cs="Arial"/>
          <w:i/>
        </w:rPr>
        <w:t xml:space="preserve">Sébastien Germain </w:t>
      </w:r>
      <w:r w:rsidRPr="00DA07FF">
        <w:rPr>
          <w:rFonts w:ascii="Arial" w:hAnsi="Arial" w:cs="Arial"/>
          <w:i/>
          <w:iCs/>
        </w:rPr>
        <w:t>Ajavon v. Republic of Benin</w:t>
      </w:r>
      <w:r w:rsidRPr="00DA07FF">
        <w:rPr>
          <w:rFonts w:ascii="Arial" w:hAnsi="Arial" w:cs="Arial"/>
        </w:rPr>
        <w:t xml:space="preserve"> (judgment) (4 December 2020) 4 AfCLR 133, § 85 and </w:t>
      </w:r>
      <w:r w:rsidRPr="00DA07FF">
        <w:rPr>
          <w:rFonts w:ascii="Arial" w:hAnsi="Arial" w:cs="Arial"/>
          <w:i/>
          <w:iCs/>
        </w:rPr>
        <w:t>Diakité Couple v. Republic of Mali</w:t>
      </w:r>
      <w:r w:rsidRPr="00DA07FF">
        <w:rPr>
          <w:rFonts w:ascii="Arial" w:hAnsi="Arial" w:cs="Arial"/>
        </w:rPr>
        <w:t xml:space="preserve"> (jurisdiction and admissibility) (28 September 2017) 2 AfCLR 118, </w:t>
      </w:r>
      <w:bookmarkStart w:id="22" w:name="_Hlk132097967"/>
      <w:r w:rsidRPr="00DA07FF">
        <w:rPr>
          <w:rFonts w:ascii="Arial" w:hAnsi="Arial" w:cs="Arial"/>
        </w:rPr>
        <w:t>§</w:t>
      </w:r>
      <w:bookmarkEnd w:id="22"/>
      <w:r w:rsidRPr="00DA07FF">
        <w:rPr>
          <w:rFonts w:ascii="Arial" w:hAnsi="Arial" w:cs="Arial"/>
        </w:rPr>
        <w:t xml:space="preserve"> 41.</w:t>
      </w:r>
    </w:p>
  </w:footnote>
  <w:footnote w:id="12">
    <w:p w14:paraId="379EDD70" w14:textId="36C402BF" w:rsidR="00F02123" w:rsidRPr="00DA07FF" w:rsidRDefault="00F02123" w:rsidP="00DA07FF">
      <w:pPr>
        <w:pStyle w:val="FootnoteText"/>
        <w:jc w:val="both"/>
        <w:rPr>
          <w:rFonts w:ascii="Arial" w:hAnsi="Arial" w:cs="Arial"/>
          <w:lang w:val="en-US"/>
        </w:rPr>
      </w:pPr>
      <w:r w:rsidRPr="00DA07FF">
        <w:rPr>
          <w:rStyle w:val="FootnoteReference"/>
          <w:rFonts w:ascii="Arial" w:hAnsi="Arial" w:cs="Arial"/>
        </w:rPr>
        <w:footnoteRef/>
      </w:r>
      <w:r w:rsidRPr="00DA07FF">
        <w:rPr>
          <w:rFonts w:ascii="Arial" w:hAnsi="Arial" w:cs="Arial"/>
        </w:rPr>
        <w:t xml:space="preserve"> </w:t>
      </w:r>
      <w:r w:rsidRPr="00DA07FF">
        <w:rPr>
          <w:rFonts w:ascii="Arial" w:hAnsi="Arial" w:cs="Arial"/>
          <w:i/>
          <w:iCs/>
        </w:rPr>
        <w:t>Laurent Munyandilikirwa v. Republic of Rwanda</w:t>
      </w:r>
      <w:r w:rsidRPr="00DA07FF">
        <w:rPr>
          <w:rFonts w:ascii="Arial" w:hAnsi="Arial" w:cs="Arial"/>
        </w:rPr>
        <w:t xml:space="preserve">, ACtHPR, Application No. 023/2015, Ruling of 2 December 2021, § 74 and </w:t>
      </w:r>
      <w:r w:rsidRPr="00DA07FF">
        <w:rPr>
          <w:rFonts w:ascii="Arial" w:hAnsi="Arial" w:cs="Arial"/>
          <w:i/>
          <w:iCs/>
        </w:rPr>
        <w:t xml:space="preserve">Thomas v. Tanzania </w:t>
      </w:r>
      <w:r w:rsidRPr="00DA07FF">
        <w:rPr>
          <w:rFonts w:ascii="Arial" w:hAnsi="Arial" w:cs="Arial"/>
        </w:rPr>
        <w:t xml:space="preserve">(merits), </w:t>
      </w:r>
      <w:r w:rsidRPr="00DA07FF">
        <w:rPr>
          <w:rFonts w:ascii="Arial" w:hAnsi="Arial" w:cs="Arial"/>
          <w:i/>
          <w:iCs/>
        </w:rPr>
        <w:t xml:space="preserve">supra, </w:t>
      </w:r>
      <w:r w:rsidRPr="00DA07FF">
        <w:rPr>
          <w:rFonts w:ascii="Arial" w:hAnsi="Arial" w:cs="Arial"/>
        </w:rPr>
        <w:t>§ 64.</w:t>
      </w:r>
      <w:r>
        <w:rPr>
          <w:rFonts w:ascii="Arial" w:hAnsi="Arial" w:cs="Arial"/>
        </w:rPr>
        <w:t xml:space="preserve"> </w:t>
      </w:r>
    </w:p>
  </w:footnote>
  <w:footnote w:id="13">
    <w:p w14:paraId="06E706D3" w14:textId="1267E4DF" w:rsidR="00F02123" w:rsidRPr="00DA07FF" w:rsidRDefault="00F02123" w:rsidP="00DA07FF">
      <w:pPr>
        <w:pStyle w:val="FootnoteText"/>
        <w:jc w:val="both"/>
        <w:rPr>
          <w:rFonts w:ascii="Arial" w:hAnsi="Arial" w:cs="Arial"/>
          <w:lang w:val="en-US"/>
        </w:rPr>
      </w:pPr>
      <w:r w:rsidRPr="00DA07FF">
        <w:rPr>
          <w:rStyle w:val="FootnoteReference"/>
          <w:rFonts w:ascii="Arial" w:hAnsi="Arial" w:cs="Arial"/>
        </w:rPr>
        <w:footnoteRef/>
      </w:r>
      <w:r w:rsidRPr="00DA07FF">
        <w:rPr>
          <w:rFonts w:ascii="Arial" w:hAnsi="Arial" w:cs="Arial"/>
        </w:rPr>
        <w:t xml:space="preserve"> </w:t>
      </w:r>
      <w:bookmarkStart w:id="23" w:name="_Hlk133227572"/>
      <w:bookmarkStart w:id="24" w:name="_Hlk132100971"/>
      <w:r w:rsidRPr="00DA07FF">
        <w:rPr>
          <w:rFonts w:ascii="Arial" w:hAnsi="Arial" w:cs="Arial"/>
          <w:i/>
          <w:iCs/>
        </w:rPr>
        <w:t>Gozbert Henerico v. United Republic of Tanzania</w:t>
      </w:r>
      <w:bookmarkEnd w:id="23"/>
      <w:r w:rsidRPr="00DA07FF">
        <w:rPr>
          <w:rFonts w:ascii="Arial" w:hAnsi="Arial" w:cs="Arial"/>
          <w:i/>
          <w:iCs/>
        </w:rPr>
        <w:t>,</w:t>
      </w:r>
      <w:r w:rsidRPr="00DA07FF">
        <w:rPr>
          <w:rFonts w:ascii="Arial" w:hAnsi="Arial" w:cs="Arial"/>
        </w:rPr>
        <w:t xml:space="preserve"> ACtHPR, Application No. 056/2016, Judgment of 10 January 2022</w:t>
      </w:r>
      <w:bookmarkStart w:id="25" w:name="_Hlk133227688"/>
      <w:r w:rsidRPr="00DA07FF">
        <w:rPr>
          <w:rFonts w:ascii="Arial" w:hAnsi="Arial" w:cs="Arial"/>
        </w:rPr>
        <w:t xml:space="preserve">, § 61; </w:t>
      </w:r>
      <w:bookmarkEnd w:id="25"/>
      <w:r w:rsidRPr="00DA07FF">
        <w:rPr>
          <w:rFonts w:ascii="Arial" w:hAnsi="Arial" w:cs="Arial"/>
          <w:i/>
          <w:iCs/>
        </w:rPr>
        <w:t>Elisamehe v. Tanzania</w:t>
      </w:r>
      <w:r w:rsidRPr="00DA07FF">
        <w:rPr>
          <w:rFonts w:ascii="Arial" w:hAnsi="Arial" w:cs="Arial"/>
        </w:rPr>
        <w:t xml:space="preserve"> (judgment), </w:t>
      </w:r>
      <w:bookmarkStart w:id="26" w:name="_Hlk132973463"/>
      <w:r w:rsidRPr="00DA07FF">
        <w:rPr>
          <w:rFonts w:ascii="Arial" w:hAnsi="Arial" w:cs="Arial"/>
          <w:i/>
        </w:rPr>
        <w:t>supra</w:t>
      </w:r>
      <w:r w:rsidRPr="00DA07FF">
        <w:rPr>
          <w:rFonts w:ascii="Arial" w:hAnsi="Arial" w:cs="Arial"/>
        </w:rPr>
        <w:t xml:space="preserve">, §§ </w:t>
      </w:r>
      <w:bookmarkEnd w:id="26"/>
      <w:r w:rsidRPr="00DA07FF">
        <w:rPr>
          <w:rFonts w:ascii="Arial" w:hAnsi="Arial" w:cs="Arial"/>
        </w:rPr>
        <w:t>35-36</w:t>
      </w:r>
      <w:bookmarkEnd w:id="24"/>
      <w:r w:rsidRPr="00DA07FF">
        <w:rPr>
          <w:rFonts w:ascii="Arial" w:hAnsi="Arial" w:cs="Arial"/>
        </w:rPr>
        <w:t xml:space="preserve">; </w:t>
      </w:r>
      <w:r w:rsidRPr="00DA07FF">
        <w:rPr>
          <w:rFonts w:ascii="Arial" w:hAnsi="Arial" w:cs="Arial"/>
          <w:i/>
          <w:iCs/>
        </w:rPr>
        <w:t xml:space="preserve">Mgosi Mwita Makungu v. United Republic of Tanzania </w:t>
      </w:r>
      <w:r w:rsidRPr="00DA07FF">
        <w:rPr>
          <w:rFonts w:ascii="Arial" w:hAnsi="Arial" w:cs="Arial"/>
        </w:rPr>
        <w:t xml:space="preserve">(merits) (7 December 2018) 2 AfCLR 550, § 46 and </w:t>
      </w:r>
      <w:r w:rsidRPr="00DA07FF">
        <w:rPr>
          <w:rFonts w:ascii="Arial" w:hAnsi="Arial" w:cs="Arial"/>
          <w:i/>
          <w:iCs/>
        </w:rPr>
        <w:t>Wilfred Onyango Nganyi and Others v. United Republic of Tanzania</w:t>
      </w:r>
      <w:r w:rsidRPr="00DA07FF">
        <w:rPr>
          <w:rFonts w:ascii="Arial" w:hAnsi="Arial" w:cs="Arial"/>
        </w:rPr>
        <w:t xml:space="preserve"> (merits) (18 March 2016) 1 AfCLR 507, § 95.</w:t>
      </w:r>
    </w:p>
  </w:footnote>
  <w:footnote w:id="14">
    <w:p w14:paraId="612D91FE" w14:textId="18AA3B05" w:rsidR="00F02123" w:rsidRPr="00DA07FF" w:rsidRDefault="00F02123" w:rsidP="00DA07FF">
      <w:pPr>
        <w:pStyle w:val="FootnoteText"/>
        <w:jc w:val="both"/>
        <w:rPr>
          <w:rFonts w:ascii="Arial" w:hAnsi="Arial" w:cs="Arial"/>
          <w:lang w:val="en-US"/>
        </w:rPr>
      </w:pPr>
      <w:r w:rsidRPr="00DA07FF">
        <w:rPr>
          <w:rStyle w:val="FootnoteReference"/>
          <w:rFonts w:ascii="Arial" w:hAnsi="Arial" w:cs="Arial"/>
        </w:rPr>
        <w:footnoteRef/>
      </w:r>
      <w:r w:rsidRPr="00DA07FF">
        <w:rPr>
          <w:rFonts w:ascii="Arial" w:hAnsi="Arial" w:cs="Arial"/>
        </w:rPr>
        <w:t xml:space="preserve"> </w:t>
      </w:r>
      <w:r w:rsidRPr="00DA07FF">
        <w:rPr>
          <w:rFonts w:ascii="Arial" w:hAnsi="Arial" w:cs="Arial"/>
          <w:i/>
          <w:iCs/>
        </w:rPr>
        <w:t>Hamis Shaban alias Hamis Ustadh v. United Republic of Tanzania</w:t>
      </w:r>
      <w:r w:rsidRPr="00DA07FF">
        <w:rPr>
          <w:rFonts w:ascii="Arial" w:hAnsi="Arial" w:cs="Arial"/>
        </w:rPr>
        <w:t xml:space="preserve">, ACtHPR, Application No. 026/2015, Judgment of 2 December 2021, § 51 and </w:t>
      </w:r>
      <w:r w:rsidRPr="00DA07FF">
        <w:rPr>
          <w:rFonts w:ascii="Arial" w:hAnsi="Arial" w:cs="Arial"/>
          <w:i/>
          <w:iCs/>
        </w:rPr>
        <w:t xml:space="preserve">Mohamed Abubakari v. United Republic of Tanzania </w:t>
      </w:r>
      <w:r w:rsidRPr="00DA07FF">
        <w:rPr>
          <w:rFonts w:ascii="Arial" w:hAnsi="Arial" w:cs="Arial"/>
        </w:rPr>
        <w:t>(merits) (3 June 2016) 1 AfCLR 599, § 76.</w:t>
      </w:r>
    </w:p>
  </w:footnote>
  <w:footnote w:id="15">
    <w:p w14:paraId="1AF2F6D0" w14:textId="15792697" w:rsidR="00F02123" w:rsidRPr="00DA07FF" w:rsidRDefault="00F02123" w:rsidP="00DA07FF">
      <w:pPr>
        <w:pStyle w:val="FootnoteText"/>
        <w:jc w:val="both"/>
        <w:rPr>
          <w:rFonts w:ascii="Arial" w:hAnsi="Arial" w:cs="Arial"/>
          <w:lang w:val="en-ZA"/>
        </w:rPr>
      </w:pPr>
      <w:r w:rsidRPr="00DA07FF">
        <w:rPr>
          <w:rStyle w:val="FootnoteReference"/>
          <w:rFonts w:ascii="Arial" w:hAnsi="Arial" w:cs="Arial"/>
        </w:rPr>
        <w:footnoteRef/>
      </w:r>
      <w:r w:rsidRPr="00DA07FF">
        <w:rPr>
          <w:rFonts w:ascii="Arial" w:hAnsi="Arial" w:cs="Arial"/>
        </w:rPr>
        <w:t xml:space="preserve"> </w:t>
      </w:r>
      <w:bookmarkStart w:id="27" w:name="_Hlk133219724"/>
      <w:r w:rsidRPr="00DA07FF">
        <w:rPr>
          <w:rFonts w:ascii="Arial" w:hAnsi="Arial" w:cs="Arial"/>
          <w:i/>
          <w:iCs/>
        </w:rPr>
        <w:t>Jackson Godwin v. The Republic</w:t>
      </w:r>
      <w:r w:rsidRPr="00DA07FF">
        <w:rPr>
          <w:rFonts w:ascii="Arial" w:hAnsi="Arial" w:cs="Arial"/>
        </w:rPr>
        <w:t>, Criminal Appeal No.45 of 2014, Judgment of the High Court of Tanzania, 7 May 2015, pages 7-8</w:t>
      </w:r>
      <w:bookmarkEnd w:id="27"/>
      <w:r w:rsidRPr="00DA07FF">
        <w:rPr>
          <w:rFonts w:ascii="Arial" w:hAnsi="Arial" w:cs="Arial"/>
        </w:rPr>
        <w:t>.</w:t>
      </w:r>
    </w:p>
  </w:footnote>
  <w:footnote w:id="16">
    <w:p w14:paraId="7FD36948" w14:textId="7CE8BEAB" w:rsidR="00F02123" w:rsidRPr="00DA07FF" w:rsidRDefault="00F02123" w:rsidP="00DA07FF">
      <w:pPr>
        <w:pStyle w:val="FootnoteText"/>
        <w:jc w:val="both"/>
        <w:rPr>
          <w:rFonts w:ascii="Arial" w:hAnsi="Arial" w:cs="Arial"/>
        </w:rPr>
      </w:pPr>
      <w:r w:rsidRPr="00DA07FF">
        <w:rPr>
          <w:rStyle w:val="FootnoteReference"/>
          <w:rFonts w:ascii="Arial" w:hAnsi="Arial" w:cs="Arial"/>
        </w:rPr>
        <w:footnoteRef/>
      </w:r>
      <w:r w:rsidRPr="00DA07FF">
        <w:rPr>
          <w:rFonts w:ascii="Arial" w:hAnsi="Arial" w:cs="Arial"/>
        </w:rPr>
        <w:t xml:space="preserve"> </w:t>
      </w:r>
      <w:r w:rsidRPr="00DA07FF">
        <w:rPr>
          <w:rFonts w:ascii="Arial" w:hAnsi="Arial" w:cs="Arial"/>
          <w:i/>
        </w:rPr>
        <w:t>Niyonzima Augustine v. United Republic of Tanzania</w:t>
      </w:r>
      <w:r w:rsidRPr="00DA07FF">
        <w:rPr>
          <w:rFonts w:ascii="Arial" w:hAnsi="Arial" w:cs="Arial"/>
        </w:rPr>
        <w:t xml:space="preserve">, ACtHPR, Application No. 058/2016, Judgment of 13 June 2023 (merits and reparations), §§ 56-58; and </w:t>
      </w:r>
      <w:r w:rsidRPr="00DA07FF">
        <w:rPr>
          <w:rFonts w:ascii="Arial" w:hAnsi="Arial" w:cs="Arial"/>
          <w:i/>
          <w:iCs/>
        </w:rPr>
        <w:t>Ajavon v. Benin</w:t>
      </w:r>
      <w:r w:rsidRPr="00DA07FF">
        <w:rPr>
          <w:rFonts w:ascii="Arial" w:hAnsi="Arial" w:cs="Arial"/>
        </w:rPr>
        <w:t xml:space="preserve"> (judgment), </w:t>
      </w:r>
      <w:r w:rsidRPr="00DA07FF">
        <w:rPr>
          <w:rFonts w:ascii="Arial" w:hAnsi="Arial" w:cs="Arial"/>
          <w:i/>
          <w:iCs/>
        </w:rPr>
        <w:t xml:space="preserve">supra, </w:t>
      </w:r>
      <w:r w:rsidRPr="00DA07FF">
        <w:rPr>
          <w:rFonts w:ascii="Arial" w:hAnsi="Arial" w:cs="Arial"/>
        </w:rPr>
        <w:t>§§ 89-91.</w:t>
      </w:r>
      <w:r>
        <w:rPr>
          <w:rFonts w:ascii="Arial" w:hAnsi="Arial" w:cs="Arial"/>
        </w:rPr>
        <w:t xml:space="preserve"> </w:t>
      </w:r>
    </w:p>
  </w:footnote>
  <w:footnote w:id="17">
    <w:p w14:paraId="48259B88" w14:textId="707DC02A" w:rsidR="00F02123" w:rsidRPr="00DA07FF" w:rsidRDefault="00F02123" w:rsidP="00DA07FF">
      <w:pPr>
        <w:pStyle w:val="FootnoteText"/>
        <w:jc w:val="both"/>
        <w:rPr>
          <w:rFonts w:ascii="Arial" w:hAnsi="Arial" w:cs="Arial"/>
        </w:rPr>
      </w:pPr>
      <w:r w:rsidRPr="00DA07FF">
        <w:rPr>
          <w:rStyle w:val="FootnoteReference"/>
          <w:rFonts w:ascii="Arial" w:hAnsi="Arial" w:cs="Arial"/>
        </w:rPr>
        <w:footnoteRef/>
      </w:r>
      <w:r w:rsidRPr="00DA07FF">
        <w:rPr>
          <w:rFonts w:ascii="Arial" w:hAnsi="Arial" w:cs="Arial"/>
        </w:rPr>
        <w:t xml:space="preserve"> Ratified by the Respondent State on 11 June 1976.</w:t>
      </w:r>
    </w:p>
  </w:footnote>
  <w:footnote w:id="18">
    <w:p w14:paraId="1C413F97" w14:textId="5459798D" w:rsidR="00F02123" w:rsidRPr="00DA07FF" w:rsidRDefault="00F02123" w:rsidP="00DA07FF">
      <w:pPr>
        <w:pStyle w:val="FootnoteText"/>
        <w:jc w:val="both"/>
        <w:rPr>
          <w:rFonts w:ascii="Arial" w:hAnsi="Arial" w:cs="Arial"/>
        </w:rPr>
      </w:pPr>
      <w:r w:rsidRPr="00DA07FF">
        <w:rPr>
          <w:rStyle w:val="FootnoteReference"/>
          <w:rFonts w:ascii="Arial" w:hAnsi="Arial" w:cs="Arial"/>
        </w:rPr>
        <w:footnoteRef/>
      </w:r>
      <w:r w:rsidRPr="00DA07FF">
        <w:rPr>
          <w:rFonts w:ascii="Arial" w:hAnsi="Arial" w:cs="Arial"/>
        </w:rPr>
        <w:t xml:space="preserve"> </w:t>
      </w:r>
      <w:r w:rsidRPr="00DA07FF">
        <w:rPr>
          <w:rFonts w:ascii="Arial" w:hAnsi="Arial" w:cs="Arial"/>
          <w:i/>
          <w:iCs/>
        </w:rPr>
        <w:t>Ajavon v. Benin</w:t>
      </w:r>
      <w:r w:rsidRPr="00DA07FF">
        <w:rPr>
          <w:rFonts w:ascii="Arial" w:hAnsi="Arial" w:cs="Arial"/>
        </w:rPr>
        <w:t xml:space="preserve"> (judgment), </w:t>
      </w:r>
      <w:r w:rsidRPr="00DA07FF">
        <w:rPr>
          <w:rFonts w:ascii="Arial" w:hAnsi="Arial" w:cs="Arial"/>
          <w:i/>
        </w:rPr>
        <w:t>supra</w:t>
      </w:r>
      <w:r w:rsidRPr="00DA07FF">
        <w:rPr>
          <w:rFonts w:ascii="Arial" w:hAnsi="Arial" w:cs="Arial"/>
        </w:rPr>
        <w:t xml:space="preserve">, § 161. See also, </w:t>
      </w:r>
      <w:r w:rsidRPr="00DA07FF">
        <w:rPr>
          <w:rFonts w:ascii="Arial" w:hAnsi="Arial" w:cs="Arial"/>
          <w:i/>
          <w:iCs/>
        </w:rPr>
        <w:t xml:space="preserve">Nguza Viking (Babu Seya) and </w:t>
      </w:r>
      <w:r w:rsidRPr="00B05175">
        <w:rPr>
          <w:rFonts w:ascii="Arial" w:hAnsi="Arial" w:cs="Arial"/>
          <w:i/>
          <w:iCs/>
        </w:rPr>
        <w:t>Johnson Nguza (Papi Kocha)</w:t>
      </w:r>
      <w:r w:rsidRPr="00DA07FF">
        <w:rPr>
          <w:rFonts w:ascii="Arial" w:hAnsi="Arial" w:cs="Arial"/>
          <w:i/>
          <w:iCs/>
        </w:rPr>
        <w:t xml:space="preserve"> v. United Republic of Tanzania</w:t>
      </w:r>
      <w:r w:rsidRPr="00DA07FF">
        <w:rPr>
          <w:rFonts w:ascii="Arial" w:hAnsi="Arial" w:cs="Arial"/>
        </w:rPr>
        <w:t xml:space="preserve"> (merits) (23 March 2018) 2 AfCLR 287, §§ 76-82.</w:t>
      </w:r>
    </w:p>
  </w:footnote>
  <w:footnote w:id="19">
    <w:p w14:paraId="740590B8" w14:textId="634FCBC1" w:rsidR="00F02123" w:rsidRPr="00DA07FF" w:rsidRDefault="00F02123" w:rsidP="00DA07FF">
      <w:pPr>
        <w:pStyle w:val="FootnoteText"/>
        <w:jc w:val="both"/>
        <w:rPr>
          <w:rFonts w:ascii="Arial" w:hAnsi="Arial" w:cs="Arial"/>
        </w:rPr>
      </w:pPr>
      <w:r w:rsidRPr="00DA07FF">
        <w:rPr>
          <w:rStyle w:val="FootnoteReference"/>
          <w:rFonts w:ascii="Arial" w:hAnsi="Arial" w:cs="Arial"/>
        </w:rPr>
        <w:footnoteRef/>
      </w:r>
      <w:r w:rsidRPr="00DA07FF">
        <w:rPr>
          <w:rFonts w:ascii="Arial" w:hAnsi="Arial" w:cs="Arial"/>
        </w:rPr>
        <w:t xml:space="preserve"> </w:t>
      </w:r>
      <w:r w:rsidRPr="00DA07FF">
        <w:rPr>
          <w:rFonts w:ascii="Arial" w:hAnsi="Arial" w:cs="Arial"/>
          <w:i/>
        </w:rPr>
        <w:t>Ajavon v. Benin</w:t>
      </w:r>
      <w:r w:rsidRPr="00DA07FF">
        <w:rPr>
          <w:rFonts w:ascii="Arial" w:hAnsi="Arial" w:cs="Arial"/>
        </w:rPr>
        <w:t xml:space="preserve">, </w:t>
      </w:r>
      <w:r w:rsidRPr="00DA07FF">
        <w:rPr>
          <w:rFonts w:ascii="Arial" w:hAnsi="Arial" w:cs="Arial"/>
          <w:i/>
        </w:rPr>
        <w:t>ibid</w:t>
      </w:r>
      <w:r w:rsidRPr="00DA07FF">
        <w:rPr>
          <w:rFonts w:ascii="Arial" w:hAnsi="Arial" w:cs="Arial"/>
        </w:rPr>
        <w:t>.</w:t>
      </w:r>
    </w:p>
  </w:footnote>
  <w:footnote w:id="20">
    <w:p w14:paraId="2787B530" w14:textId="07990A5E" w:rsidR="00F02123" w:rsidRPr="00DA07FF" w:rsidRDefault="00F02123" w:rsidP="00DA07FF">
      <w:pPr>
        <w:pStyle w:val="FootnoteText"/>
        <w:jc w:val="both"/>
        <w:rPr>
          <w:rFonts w:ascii="Arial" w:hAnsi="Arial" w:cs="Arial"/>
        </w:rPr>
      </w:pPr>
      <w:r w:rsidRPr="00DA07FF">
        <w:rPr>
          <w:rStyle w:val="FootnoteReference"/>
          <w:rFonts w:ascii="Arial" w:hAnsi="Arial" w:cs="Arial"/>
        </w:rPr>
        <w:footnoteRef/>
      </w:r>
      <w:r w:rsidRPr="00DA07FF">
        <w:rPr>
          <w:rFonts w:ascii="Arial" w:hAnsi="Arial" w:cs="Arial"/>
        </w:rPr>
        <w:t xml:space="preserve"> </w:t>
      </w:r>
      <w:r w:rsidRPr="00DA07FF">
        <w:rPr>
          <w:rFonts w:ascii="Arial" w:hAnsi="Arial" w:cs="Arial"/>
          <w:i/>
          <w:iCs/>
        </w:rPr>
        <w:t xml:space="preserve">Viking (Babu Seya) and </w:t>
      </w:r>
      <w:r w:rsidRPr="005566B7">
        <w:rPr>
          <w:rFonts w:ascii="Arial" w:hAnsi="Arial" w:cs="Arial"/>
          <w:i/>
          <w:color w:val="4D5156"/>
          <w:shd w:val="clear" w:color="auto" w:fill="FFFFFF"/>
        </w:rPr>
        <w:t>Nguza (Papi Kocha)</w:t>
      </w:r>
      <w:r w:rsidRPr="00DA07FF">
        <w:rPr>
          <w:rFonts w:ascii="Arial" w:hAnsi="Arial" w:cs="Arial"/>
          <w:i/>
          <w:iCs/>
        </w:rPr>
        <w:t xml:space="preserve"> v. Tanzania</w:t>
      </w:r>
      <w:r w:rsidRPr="00DA07FF">
        <w:rPr>
          <w:rFonts w:ascii="Arial" w:hAnsi="Arial" w:cs="Arial"/>
        </w:rPr>
        <w:t xml:space="preserve"> (merits), </w:t>
      </w:r>
      <w:r w:rsidRPr="00DA07FF">
        <w:rPr>
          <w:rFonts w:ascii="Arial" w:hAnsi="Arial" w:cs="Arial"/>
          <w:i/>
        </w:rPr>
        <w:t>supra</w:t>
      </w:r>
      <w:r w:rsidRPr="00DA07FF">
        <w:rPr>
          <w:rFonts w:ascii="Arial" w:hAnsi="Arial" w:cs="Arial"/>
        </w:rPr>
        <w:t>, § 71;</w:t>
      </w:r>
      <w:r w:rsidRPr="00DA07FF">
        <w:rPr>
          <w:rFonts w:ascii="Arial" w:hAnsi="Arial" w:cs="Arial"/>
          <w:i/>
          <w:iCs/>
        </w:rPr>
        <w:t xml:space="preserve"> Cheusi v. Tanzania </w:t>
      </w:r>
      <w:r w:rsidRPr="00DA07FF">
        <w:rPr>
          <w:rFonts w:ascii="Arial" w:hAnsi="Arial" w:cs="Arial"/>
        </w:rPr>
        <w:t xml:space="preserve">(judgment), </w:t>
      </w:r>
      <w:r w:rsidRPr="00DA07FF">
        <w:rPr>
          <w:rFonts w:ascii="Arial" w:hAnsi="Arial" w:cs="Arial"/>
          <w:i/>
          <w:iCs/>
        </w:rPr>
        <w:t xml:space="preserve">supra, </w:t>
      </w:r>
      <w:r w:rsidRPr="00DA07FF">
        <w:rPr>
          <w:rFonts w:ascii="Arial" w:hAnsi="Arial" w:cs="Arial"/>
        </w:rPr>
        <w:t>§ 129.</w:t>
      </w:r>
    </w:p>
  </w:footnote>
  <w:footnote w:id="21">
    <w:p w14:paraId="69C216B7" w14:textId="5A5AED20" w:rsidR="00F02123" w:rsidRPr="00DA07FF" w:rsidRDefault="00F02123" w:rsidP="00DA07FF">
      <w:pPr>
        <w:pStyle w:val="FootnoteText"/>
        <w:jc w:val="both"/>
        <w:rPr>
          <w:rFonts w:ascii="Arial" w:hAnsi="Arial" w:cs="Arial"/>
        </w:rPr>
      </w:pPr>
      <w:r w:rsidRPr="00DA07FF">
        <w:rPr>
          <w:rStyle w:val="FootnoteReference"/>
          <w:rFonts w:ascii="Arial" w:hAnsi="Arial" w:cs="Arial"/>
        </w:rPr>
        <w:footnoteRef/>
      </w:r>
      <w:r>
        <w:rPr>
          <w:rFonts w:ascii="Arial" w:hAnsi="Arial" w:cs="Arial"/>
        </w:rPr>
        <w:t xml:space="preserve"> </w:t>
      </w:r>
      <w:bookmarkStart w:id="37" w:name="_Hlk133218906"/>
      <w:r w:rsidRPr="00DA07FF">
        <w:rPr>
          <w:rFonts w:ascii="Arial" w:hAnsi="Arial" w:cs="Arial"/>
          <w:i/>
          <w:iCs/>
        </w:rPr>
        <w:t>Republic v. Jackson S/O Godwin,</w:t>
      </w:r>
      <w:r w:rsidRPr="00DA07FF">
        <w:rPr>
          <w:rFonts w:ascii="Arial" w:hAnsi="Arial" w:cs="Arial"/>
        </w:rPr>
        <w:t xml:space="preserve"> Criminal Case No. 44/2013,</w:t>
      </w:r>
      <w:r w:rsidRPr="00DA07FF">
        <w:rPr>
          <w:rFonts w:ascii="Arial" w:hAnsi="Arial" w:cs="Arial"/>
          <w:i/>
          <w:iCs/>
        </w:rPr>
        <w:t xml:space="preserve"> </w:t>
      </w:r>
      <w:r w:rsidRPr="00DA07FF">
        <w:rPr>
          <w:rFonts w:ascii="Arial" w:hAnsi="Arial" w:cs="Arial"/>
        </w:rPr>
        <w:t>Judgment of the District Court of Biharamulo, 8 April 2014, page 22.</w:t>
      </w:r>
      <w:bookmarkEnd w:id="37"/>
    </w:p>
  </w:footnote>
  <w:footnote w:id="22">
    <w:p w14:paraId="0EF9F4E4" w14:textId="76F4EF49" w:rsidR="00F02123" w:rsidRPr="00DA07FF" w:rsidRDefault="00F02123" w:rsidP="00DA07FF">
      <w:pPr>
        <w:pStyle w:val="FootnoteText"/>
        <w:jc w:val="both"/>
        <w:rPr>
          <w:rFonts w:ascii="Arial" w:hAnsi="Arial" w:cs="Arial"/>
        </w:rPr>
      </w:pPr>
      <w:r w:rsidRPr="00DA07FF">
        <w:rPr>
          <w:rStyle w:val="FootnoteReference"/>
          <w:rFonts w:ascii="Arial" w:hAnsi="Arial" w:cs="Arial"/>
        </w:rPr>
        <w:footnoteRef/>
      </w:r>
      <w:r w:rsidRPr="00DA07FF">
        <w:rPr>
          <w:rFonts w:ascii="Arial" w:hAnsi="Arial" w:cs="Arial"/>
        </w:rPr>
        <w:t xml:space="preserve"> </w:t>
      </w:r>
      <w:r w:rsidRPr="00DA07FF">
        <w:rPr>
          <w:rFonts w:ascii="Arial" w:hAnsi="Arial" w:cs="Arial"/>
          <w:i/>
          <w:iCs/>
        </w:rPr>
        <w:t>APDH v.</w:t>
      </w:r>
      <w:r>
        <w:rPr>
          <w:rFonts w:ascii="Arial" w:hAnsi="Arial" w:cs="Arial"/>
          <w:i/>
          <w:iCs/>
        </w:rPr>
        <w:t xml:space="preserve"> </w:t>
      </w:r>
      <w:r w:rsidRPr="00DA07FF">
        <w:rPr>
          <w:rFonts w:ascii="Arial" w:hAnsi="Arial" w:cs="Arial"/>
          <w:i/>
          <w:iCs/>
        </w:rPr>
        <w:t>Côte d</w:t>
      </w:r>
      <w:r>
        <w:rPr>
          <w:rFonts w:ascii="Arial" w:hAnsi="Arial" w:cs="Arial"/>
          <w:i/>
          <w:iCs/>
        </w:rPr>
        <w:t>’</w:t>
      </w:r>
      <w:r w:rsidRPr="00DA07FF">
        <w:rPr>
          <w:rFonts w:ascii="Arial" w:hAnsi="Arial" w:cs="Arial"/>
          <w:i/>
          <w:iCs/>
        </w:rPr>
        <w:t xml:space="preserve">Ivoire </w:t>
      </w:r>
      <w:r w:rsidRPr="00DA07FF">
        <w:rPr>
          <w:rFonts w:ascii="Arial" w:hAnsi="Arial" w:cs="Arial"/>
        </w:rPr>
        <w:t xml:space="preserve">(merits and reparations), </w:t>
      </w:r>
      <w:r w:rsidRPr="00DA07FF">
        <w:rPr>
          <w:rFonts w:ascii="Arial" w:hAnsi="Arial" w:cs="Arial"/>
          <w:i/>
          <w:iCs/>
        </w:rPr>
        <w:t xml:space="preserve">supra, </w:t>
      </w:r>
      <w:r w:rsidRPr="00DA07FF">
        <w:rPr>
          <w:rFonts w:ascii="Arial" w:hAnsi="Arial" w:cs="Arial"/>
        </w:rPr>
        <w:t>§§ 146-147.</w:t>
      </w:r>
    </w:p>
  </w:footnote>
  <w:footnote w:id="23">
    <w:p w14:paraId="3D709AA2" w14:textId="62B4B669" w:rsidR="00F02123" w:rsidRPr="004C4E43" w:rsidRDefault="00F02123" w:rsidP="00DA07FF">
      <w:pPr>
        <w:pStyle w:val="FootnoteText"/>
        <w:jc w:val="both"/>
        <w:rPr>
          <w:rFonts w:ascii="Arial" w:hAnsi="Arial" w:cs="Arial"/>
        </w:rPr>
      </w:pPr>
      <w:r w:rsidRPr="00DA07FF">
        <w:rPr>
          <w:rStyle w:val="FootnoteReference"/>
          <w:rFonts w:ascii="Arial" w:hAnsi="Arial" w:cs="Arial"/>
        </w:rPr>
        <w:footnoteRef/>
      </w:r>
      <w:r w:rsidRPr="004C4E43">
        <w:rPr>
          <w:rFonts w:ascii="Arial" w:hAnsi="Arial" w:cs="Arial"/>
        </w:rPr>
        <w:t xml:space="preserve"> </w:t>
      </w:r>
      <w:r w:rsidRPr="004C4E43">
        <w:rPr>
          <w:rFonts w:ascii="Arial" w:hAnsi="Arial" w:cs="Arial"/>
          <w:i/>
        </w:rPr>
        <w:t>Harold Mbalanda Munthali v. Republic of Malawi</w:t>
      </w:r>
      <w:r w:rsidRPr="004C4E43">
        <w:rPr>
          <w:rFonts w:ascii="Arial" w:hAnsi="Arial" w:cs="Arial"/>
        </w:rPr>
        <w:t xml:space="preserve">, ACtHPR, Application No. 022/2017, Judgment of 23 June 2022 (merits and reparations), </w:t>
      </w:r>
      <w:bookmarkStart w:id="41" w:name="_Hlk132531809"/>
      <w:r w:rsidRPr="004C4E43">
        <w:rPr>
          <w:rFonts w:ascii="Arial" w:hAnsi="Arial" w:cs="Arial"/>
        </w:rPr>
        <w:t>§</w:t>
      </w:r>
      <w:bookmarkEnd w:id="41"/>
      <w:r w:rsidRPr="004C4E43">
        <w:rPr>
          <w:rFonts w:ascii="Arial" w:hAnsi="Arial" w:cs="Arial"/>
        </w:rPr>
        <w:t xml:space="preserve"> 81; and </w:t>
      </w:r>
      <w:r w:rsidRPr="004C4E43">
        <w:rPr>
          <w:rFonts w:ascii="Arial" w:hAnsi="Arial" w:cs="Arial"/>
          <w:i/>
        </w:rPr>
        <w:t>APDH v. Côte d</w:t>
      </w:r>
      <w:r>
        <w:rPr>
          <w:rFonts w:ascii="Arial" w:hAnsi="Arial" w:cs="Arial"/>
          <w:i/>
        </w:rPr>
        <w:t>’</w:t>
      </w:r>
      <w:r w:rsidRPr="004C4E43">
        <w:rPr>
          <w:rFonts w:ascii="Arial" w:hAnsi="Arial" w:cs="Arial"/>
          <w:i/>
        </w:rPr>
        <w:t>Ivoire</w:t>
      </w:r>
      <w:r w:rsidRPr="004C4E43">
        <w:rPr>
          <w:rFonts w:ascii="Arial" w:hAnsi="Arial" w:cs="Arial"/>
        </w:rPr>
        <w:t xml:space="preserve">, </w:t>
      </w:r>
      <w:r w:rsidRPr="004C4E43">
        <w:rPr>
          <w:rFonts w:ascii="Arial" w:hAnsi="Arial" w:cs="Arial"/>
          <w:i/>
          <w:iCs/>
        </w:rPr>
        <w:t>ibid.</w:t>
      </w:r>
      <w:r w:rsidRPr="004C4E43">
        <w:rPr>
          <w:rFonts w:ascii="Arial" w:hAnsi="Arial" w:cs="Arial"/>
        </w:rPr>
        <w:t xml:space="preserve"> </w:t>
      </w:r>
    </w:p>
  </w:footnote>
  <w:footnote w:id="24">
    <w:p w14:paraId="23E912EB" w14:textId="25452AEA" w:rsidR="00F02123" w:rsidRPr="00DA07FF" w:rsidRDefault="00F02123" w:rsidP="00DA07FF">
      <w:pPr>
        <w:pStyle w:val="FootnoteText"/>
        <w:jc w:val="both"/>
        <w:rPr>
          <w:rFonts w:ascii="Arial" w:hAnsi="Arial" w:cs="Arial"/>
        </w:rPr>
      </w:pPr>
      <w:r w:rsidRPr="00DA07FF">
        <w:rPr>
          <w:rStyle w:val="FootnoteReference"/>
          <w:rFonts w:ascii="Arial" w:hAnsi="Arial" w:cs="Arial"/>
        </w:rPr>
        <w:footnoteRef/>
      </w:r>
      <w:r w:rsidRPr="00DA07FF">
        <w:rPr>
          <w:rFonts w:ascii="Arial" w:hAnsi="Arial" w:cs="Arial"/>
        </w:rPr>
        <w:t xml:space="preserve"> </w:t>
      </w:r>
      <w:r w:rsidRPr="00DA07FF">
        <w:rPr>
          <w:rFonts w:ascii="Arial" w:hAnsi="Arial" w:cs="Arial"/>
          <w:i/>
        </w:rPr>
        <w:t>Oscar Josiah v. United Republic of Tanzania</w:t>
      </w:r>
      <w:r w:rsidRPr="00DA07FF">
        <w:rPr>
          <w:rFonts w:ascii="Arial" w:hAnsi="Arial" w:cs="Arial"/>
        </w:rPr>
        <w:t xml:space="preserve"> (merits) (28 March 2019) 3 AfCLR 83, </w:t>
      </w:r>
      <w:r w:rsidRPr="00DA07FF">
        <w:rPr>
          <w:rFonts w:ascii="Arial" w:hAnsi="Arial" w:cs="Arial"/>
          <w:lang w:val="en-ZW"/>
        </w:rPr>
        <w:t xml:space="preserve">§ </w:t>
      </w:r>
      <w:r w:rsidRPr="00DA07FF">
        <w:rPr>
          <w:rFonts w:ascii="Arial" w:hAnsi="Arial" w:cs="Arial"/>
        </w:rPr>
        <w:t xml:space="preserve">73 and </w:t>
      </w:r>
      <w:r w:rsidRPr="00DA07FF">
        <w:rPr>
          <w:rFonts w:ascii="Arial" w:hAnsi="Arial" w:cs="Arial"/>
          <w:i/>
        </w:rPr>
        <w:t>Makungu v. Tanzania</w:t>
      </w:r>
      <w:r w:rsidRPr="00DA07FF">
        <w:rPr>
          <w:rFonts w:ascii="Arial" w:hAnsi="Arial" w:cs="Arial"/>
        </w:rPr>
        <w:t xml:space="preserve"> (merits), </w:t>
      </w:r>
      <w:bookmarkStart w:id="42" w:name="_Hlk132575424"/>
      <w:r w:rsidRPr="00DA07FF">
        <w:rPr>
          <w:rFonts w:ascii="Arial" w:hAnsi="Arial" w:cs="Arial"/>
          <w:i/>
          <w:iCs/>
        </w:rPr>
        <w:t xml:space="preserve">supra, </w:t>
      </w:r>
      <w:bookmarkStart w:id="43" w:name="_Hlk133220574"/>
      <w:r w:rsidRPr="00DA07FF">
        <w:rPr>
          <w:rFonts w:ascii="Arial" w:hAnsi="Arial" w:cs="Arial"/>
          <w:lang w:val="en-ZW"/>
        </w:rPr>
        <w:t>§</w:t>
      </w:r>
      <w:bookmarkEnd w:id="42"/>
      <w:bookmarkEnd w:id="43"/>
      <w:r w:rsidRPr="00DA07FF">
        <w:rPr>
          <w:rFonts w:ascii="Arial" w:hAnsi="Arial" w:cs="Arial"/>
          <w:lang w:val="en-ZW"/>
        </w:rPr>
        <w:t xml:space="preserve"> </w:t>
      </w:r>
      <w:r w:rsidRPr="00DA07FF">
        <w:rPr>
          <w:rFonts w:ascii="Arial" w:hAnsi="Arial" w:cs="Arial"/>
        </w:rPr>
        <w:t>69.</w:t>
      </w:r>
    </w:p>
  </w:footnote>
  <w:footnote w:id="25">
    <w:p w14:paraId="5F48C8EE" w14:textId="79E8A268" w:rsidR="00F02123" w:rsidRPr="00DA07FF" w:rsidRDefault="00F02123" w:rsidP="00DA07FF">
      <w:pPr>
        <w:pStyle w:val="FootnoteText"/>
        <w:jc w:val="both"/>
        <w:rPr>
          <w:rFonts w:ascii="Arial" w:hAnsi="Arial" w:cs="Arial"/>
          <w:lang w:val="en-ZA"/>
        </w:rPr>
      </w:pPr>
      <w:r w:rsidRPr="00DA07FF">
        <w:rPr>
          <w:rStyle w:val="FootnoteReference"/>
          <w:rFonts w:ascii="Arial" w:hAnsi="Arial" w:cs="Arial"/>
        </w:rPr>
        <w:footnoteRef/>
      </w:r>
      <w:r w:rsidRPr="00DA07FF">
        <w:rPr>
          <w:rFonts w:ascii="Arial" w:hAnsi="Arial" w:cs="Arial"/>
        </w:rPr>
        <w:t xml:space="preserve"> </w:t>
      </w:r>
      <w:r w:rsidRPr="00DA07FF">
        <w:rPr>
          <w:rFonts w:ascii="Arial" w:hAnsi="Arial" w:cs="Arial"/>
          <w:i/>
          <w:iCs/>
          <w:lang w:val="en-ZA"/>
        </w:rPr>
        <w:t xml:space="preserve">Kambole v. Tanzania </w:t>
      </w:r>
      <w:r w:rsidRPr="00DA07FF">
        <w:rPr>
          <w:rFonts w:ascii="Arial" w:hAnsi="Arial" w:cs="Arial"/>
          <w:lang w:val="en-ZA"/>
        </w:rPr>
        <w:t xml:space="preserve">(judgment), </w:t>
      </w:r>
      <w:r w:rsidRPr="00DA07FF">
        <w:rPr>
          <w:rFonts w:ascii="Arial" w:hAnsi="Arial" w:cs="Arial"/>
          <w:i/>
          <w:iCs/>
          <w:lang w:val="en-ZA"/>
        </w:rPr>
        <w:t>supra,</w:t>
      </w:r>
      <w:r w:rsidRPr="00DA07FF">
        <w:rPr>
          <w:rFonts w:ascii="Arial" w:hAnsi="Arial" w:cs="Arial"/>
          <w:lang w:val="en-ZA"/>
        </w:rPr>
        <w:t xml:space="preserve"> </w:t>
      </w:r>
      <w:bookmarkStart w:id="44" w:name="_Hlk133220967"/>
      <w:r w:rsidRPr="00DA07FF">
        <w:rPr>
          <w:rFonts w:ascii="Arial" w:hAnsi="Arial" w:cs="Arial"/>
          <w:lang w:val="en-ZA"/>
        </w:rPr>
        <w:t>§</w:t>
      </w:r>
      <w:bookmarkEnd w:id="44"/>
      <w:r w:rsidRPr="00DA07FF">
        <w:rPr>
          <w:rFonts w:ascii="Arial" w:hAnsi="Arial" w:cs="Arial"/>
          <w:lang w:val="en-ZA"/>
        </w:rPr>
        <w:t xml:space="preserve">§ 96-97; and </w:t>
      </w:r>
      <w:r w:rsidRPr="00DA07FF">
        <w:rPr>
          <w:rFonts w:ascii="Arial" w:hAnsi="Arial" w:cs="Arial"/>
          <w:i/>
          <w:iCs/>
          <w:lang w:val="en-ZA"/>
        </w:rPr>
        <w:t xml:space="preserve">Werema </w:t>
      </w:r>
      <w:r>
        <w:rPr>
          <w:rFonts w:ascii="Arial" w:hAnsi="Arial" w:cs="Arial"/>
          <w:i/>
          <w:iCs/>
          <w:lang w:val="en-ZA"/>
        </w:rPr>
        <w:t xml:space="preserve">and </w:t>
      </w:r>
      <w:r w:rsidRPr="00DA07FF">
        <w:rPr>
          <w:rFonts w:ascii="Arial" w:hAnsi="Arial" w:cs="Arial"/>
          <w:i/>
          <w:iCs/>
          <w:lang w:val="en-ZA"/>
        </w:rPr>
        <w:t>Werema v. Tanzania</w:t>
      </w:r>
      <w:r w:rsidRPr="00DA07FF">
        <w:rPr>
          <w:rFonts w:ascii="Arial" w:hAnsi="Arial" w:cs="Arial"/>
          <w:lang w:val="en-ZA"/>
        </w:rPr>
        <w:t xml:space="preserve"> (merits), </w:t>
      </w:r>
      <w:r w:rsidRPr="00DA07FF">
        <w:rPr>
          <w:rFonts w:ascii="Arial" w:hAnsi="Arial" w:cs="Arial"/>
          <w:i/>
          <w:iCs/>
          <w:lang w:val="en-ZA"/>
        </w:rPr>
        <w:t xml:space="preserve">supra, </w:t>
      </w:r>
      <w:r w:rsidRPr="00DA07FF">
        <w:rPr>
          <w:rFonts w:ascii="Arial" w:hAnsi="Arial" w:cs="Arial"/>
          <w:lang w:val="en-ZA"/>
        </w:rPr>
        <w:t xml:space="preserve">§§ 68-69. </w:t>
      </w:r>
    </w:p>
  </w:footnote>
  <w:footnote w:id="26">
    <w:p w14:paraId="5518485A" w14:textId="152F5A18" w:rsidR="00F02123" w:rsidRPr="00DA07FF" w:rsidRDefault="00F02123" w:rsidP="00DA07FF">
      <w:pPr>
        <w:pStyle w:val="FootnoteText"/>
        <w:jc w:val="both"/>
        <w:rPr>
          <w:rFonts w:ascii="Arial" w:hAnsi="Arial" w:cs="Arial"/>
          <w:lang w:val="en-US"/>
        </w:rPr>
      </w:pPr>
      <w:r w:rsidRPr="008E29DC">
        <w:rPr>
          <w:rStyle w:val="FootnoteReference"/>
          <w:rFonts w:ascii="Arial" w:hAnsi="Arial" w:cs="Arial"/>
        </w:rPr>
        <w:footnoteRef/>
      </w:r>
      <w:r w:rsidRPr="008E29DC">
        <w:rPr>
          <w:rFonts w:ascii="Arial" w:hAnsi="Arial" w:cs="Arial"/>
        </w:rPr>
        <w:t xml:space="preserve"> </w:t>
      </w:r>
      <w:r w:rsidRPr="00DA07FF">
        <w:rPr>
          <w:rFonts w:ascii="Arial" w:hAnsi="Arial" w:cs="Arial"/>
          <w:i/>
          <w:iCs/>
        </w:rPr>
        <w:t>Kenedy Ivan</w:t>
      </w:r>
      <w:r w:rsidRPr="00DA07FF">
        <w:rPr>
          <w:rFonts w:ascii="Arial" w:hAnsi="Arial" w:cs="Arial"/>
        </w:rPr>
        <w:t xml:space="preserve"> </w:t>
      </w:r>
      <w:r w:rsidRPr="00DA07FF">
        <w:rPr>
          <w:rFonts w:ascii="Arial" w:hAnsi="Arial" w:cs="Arial"/>
          <w:i/>
          <w:iCs/>
        </w:rPr>
        <w:t>v. United Republic of Tanzania</w:t>
      </w:r>
      <w:r w:rsidRPr="00DA07FF">
        <w:rPr>
          <w:rFonts w:ascii="Arial" w:hAnsi="Arial" w:cs="Arial"/>
        </w:rPr>
        <w:t xml:space="preserve"> (merits and reparations) (28 March 2019) 3 AfCLR 48, § 64.</w:t>
      </w:r>
    </w:p>
  </w:footnote>
  <w:footnote w:id="27">
    <w:p w14:paraId="36015FD5" w14:textId="798A2BB1" w:rsidR="00F02123" w:rsidRPr="00DA07FF" w:rsidRDefault="00F02123" w:rsidP="00DA07FF">
      <w:pPr>
        <w:pStyle w:val="FootnoteText"/>
        <w:jc w:val="both"/>
        <w:rPr>
          <w:rFonts w:ascii="Arial" w:hAnsi="Arial" w:cs="Arial"/>
          <w:lang w:val="en-US"/>
        </w:rPr>
      </w:pPr>
      <w:r w:rsidRPr="00DA07FF">
        <w:rPr>
          <w:rStyle w:val="FootnoteReference"/>
          <w:rFonts w:ascii="Arial" w:hAnsi="Arial" w:cs="Arial"/>
        </w:rPr>
        <w:footnoteRef/>
      </w:r>
      <w:r w:rsidRPr="00DA07FF">
        <w:rPr>
          <w:rFonts w:ascii="Arial" w:hAnsi="Arial" w:cs="Arial"/>
        </w:rPr>
        <w:t xml:space="preserve"> </w:t>
      </w:r>
      <w:bookmarkStart w:id="47" w:name="_Hlk133224898"/>
      <w:r w:rsidRPr="00DA07FF">
        <w:rPr>
          <w:rFonts w:ascii="Arial" w:hAnsi="Arial" w:cs="Arial"/>
          <w:i/>
          <w:iCs/>
        </w:rPr>
        <w:t>Republic v. Jackson S/O Godwin</w:t>
      </w:r>
      <w:r w:rsidRPr="00DA07FF">
        <w:rPr>
          <w:rFonts w:ascii="Arial" w:hAnsi="Arial" w:cs="Arial"/>
        </w:rPr>
        <w:t xml:space="preserve">, Criminal Case No. 44/2013, </w:t>
      </w:r>
      <w:r w:rsidRPr="00DA07FF">
        <w:rPr>
          <w:rFonts w:ascii="Arial" w:hAnsi="Arial" w:cs="Arial"/>
          <w:i/>
          <w:iCs/>
        </w:rPr>
        <w:t>supra,</w:t>
      </w:r>
      <w:r w:rsidRPr="00DA07FF">
        <w:rPr>
          <w:rFonts w:ascii="Arial" w:hAnsi="Arial" w:cs="Arial"/>
        </w:rPr>
        <w:t xml:space="preserve"> pages 25-28; </w:t>
      </w:r>
      <w:r w:rsidRPr="00DA07FF">
        <w:rPr>
          <w:rFonts w:ascii="Arial" w:hAnsi="Arial" w:cs="Arial"/>
          <w:i/>
          <w:iCs/>
        </w:rPr>
        <w:t>Jackson Godwin v. The Republic</w:t>
      </w:r>
      <w:r w:rsidRPr="00DA07FF">
        <w:rPr>
          <w:rFonts w:ascii="Arial" w:hAnsi="Arial" w:cs="Arial"/>
        </w:rPr>
        <w:t xml:space="preserve">, Criminal Appeal No.45 of 2014, </w:t>
      </w:r>
      <w:r w:rsidRPr="00DA07FF">
        <w:rPr>
          <w:rFonts w:ascii="Arial" w:hAnsi="Arial" w:cs="Arial"/>
          <w:i/>
          <w:iCs/>
        </w:rPr>
        <w:t>supra</w:t>
      </w:r>
      <w:r w:rsidRPr="00DA07FF">
        <w:rPr>
          <w:rFonts w:ascii="Arial" w:hAnsi="Arial" w:cs="Arial"/>
        </w:rPr>
        <w:t xml:space="preserve">, pages 2-3; and </w:t>
      </w:r>
      <w:r w:rsidRPr="00DA07FF">
        <w:rPr>
          <w:rFonts w:ascii="Arial" w:hAnsi="Arial" w:cs="Arial"/>
          <w:i/>
          <w:iCs/>
        </w:rPr>
        <w:t>Jackson Godwin v. The Republic,</w:t>
      </w:r>
      <w:r w:rsidRPr="00DA07FF">
        <w:rPr>
          <w:rFonts w:ascii="Arial" w:hAnsi="Arial" w:cs="Arial"/>
        </w:rPr>
        <w:t xml:space="preserve"> Criminal Appeal No. 278 of 2015, 16 February 2016</w:t>
      </w:r>
      <w:r w:rsidRPr="00DA07FF">
        <w:rPr>
          <w:rFonts w:ascii="Arial" w:hAnsi="Arial" w:cs="Arial"/>
          <w:i/>
          <w:iCs/>
        </w:rPr>
        <w:t>,</w:t>
      </w:r>
      <w:r w:rsidRPr="00DA07FF">
        <w:rPr>
          <w:rFonts w:ascii="Arial" w:hAnsi="Arial" w:cs="Arial"/>
        </w:rPr>
        <w:t xml:space="preserve"> pages 3-5.</w:t>
      </w:r>
      <w:bookmarkEnd w:id="47"/>
    </w:p>
  </w:footnote>
  <w:footnote w:id="28">
    <w:p w14:paraId="2F46EE40" w14:textId="01ED0053" w:rsidR="00F02123" w:rsidRPr="00DA07FF" w:rsidRDefault="00F02123" w:rsidP="00DA07FF">
      <w:pPr>
        <w:pStyle w:val="FootnoteText"/>
        <w:jc w:val="both"/>
        <w:rPr>
          <w:rFonts w:ascii="Arial" w:hAnsi="Arial" w:cs="Arial"/>
          <w:i/>
          <w:iCs/>
          <w:lang w:val="en-ZA"/>
        </w:rPr>
      </w:pPr>
      <w:r w:rsidRPr="008E29DC">
        <w:rPr>
          <w:rStyle w:val="FootnoteReference"/>
          <w:rFonts w:ascii="Arial" w:hAnsi="Arial" w:cs="Arial"/>
        </w:rPr>
        <w:footnoteRef/>
      </w:r>
      <w:r w:rsidRPr="008E29DC">
        <w:rPr>
          <w:rFonts w:ascii="Arial" w:hAnsi="Arial" w:cs="Arial"/>
        </w:rPr>
        <w:t xml:space="preserve"> </w:t>
      </w:r>
      <w:r w:rsidRPr="00DA07FF">
        <w:rPr>
          <w:rFonts w:ascii="Arial" w:hAnsi="Arial" w:cs="Arial"/>
          <w:i/>
          <w:iCs/>
          <w:lang w:val="en-ZA"/>
        </w:rPr>
        <w:t>Ibid.</w:t>
      </w:r>
    </w:p>
  </w:footnote>
  <w:footnote w:id="29">
    <w:p w14:paraId="6D876681" w14:textId="61EF1D13" w:rsidR="00F02123" w:rsidRPr="00DA07FF" w:rsidRDefault="00F02123" w:rsidP="00DA07FF">
      <w:pPr>
        <w:pStyle w:val="FootnoteText"/>
        <w:jc w:val="both"/>
        <w:rPr>
          <w:rFonts w:ascii="Arial" w:hAnsi="Arial" w:cs="Arial"/>
        </w:rPr>
      </w:pPr>
      <w:r w:rsidRPr="00DA07FF">
        <w:rPr>
          <w:rStyle w:val="FootnoteReference"/>
          <w:rFonts w:ascii="Arial" w:hAnsi="Arial" w:cs="Arial"/>
        </w:rPr>
        <w:footnoteRef/>
      </w:r>
      <w:r w:rsidRPr="00DA07FF">
        <w:rPr>
          <w:rFonts w:ascii="Arial" w:hAnsi="Arial" w:cs="Arial"/>
        </w:rPr>
        <w:t xml:space="preserve"> </w:t>
      </w:r>
      <w:r w:rsidRPr="00DA07FF">
        <w:rPr>
          <w:rFonts w:ascii="Arial" w:hAnsi="Arial" w:cs="Arial"/>
          <w:i/>
          <w:iCs/>
        </w:rPr>
        <w:t>Kijiji Isiaga v. United Republic of Tanzania</w:t>
      </w:r>
      <w:r w:rsidRPr="00DA07FF">
        <w:rPr>
          <w:rFonts w:ascii="Arial" w:hAnsi="Arial" w:cs="Arial"/>
          <w:lang w:val="en-ZA"/>
          <w14:ligatures w14:val="standardContextual"/>
        </w:rPr>
        <w:t xml:space="preserve"> (merits) (21 March 2018) 2 AfCLR 218,</w:t>
      </w:r>
      <w:r w:rsidRPr="00DA07FF">
        <w:rPr>
          <w:rFonts w:ascii="Arial" w:hAnsi="Arial" w:cs="Arial"/>
        </w:rPr>
        <w:t xml:space="preserve"> </w:t>
      </w:r>
      <w:r w:rsidRPr="004C4E43">
        <w:rPr>
          <w:rFonts w:ascii="Arial" w:hAnsi="Arial" w:cs="Arial"/>
          <w:lang w:val="en-US"/>
        </w:rPr>
        <w:t xml:space="preserve">§ </w:t>
      </w:r>
      <w:r w:rsidRPr="00DA07FF">
        <w:rPr>
          <w:rFonts w:ascii="Arial" w:hAnsi="Arial" w:cs="Arial"/>
        </w:rPr>
        <w:t>65.</w:t>
      </w:r>
    </w:p>
  </w:footnote>
  <w:footnote w:id="30">
    <w:p w14:paraId="1A3740B6" w14:textId="54A0090F" w:rsidR="00F02123" w:rsidRPr="00DA07FF" w:rsidRDefault="00F02123" w:rsidP="00DA07FF">
      <w:pPr>
        <w:pStyle w:val="FootnoteText"/>
        <w:jc w:val="both"/>
        <w:rPr>
          <w:rFonts w:ascii="Arial" w:hAnsi="Arial" w:cs="Arial"/>
          <w:lang w:val="en-US"/>
        </w:rPr>
      </w:pPr>
      <w:r w:rsidRPr="00DA07FF">
        <w:rPr>
          <w:rStyle w:val="FootnoteReference"/>
          <w:rFonts w:ascii="Arial" w:hAnsi="Arial" w:cs="Arial"/>
        </w:rPr>
        <w:footnoteRef/>
      </w:r>
      <w:r w:rsidRPr="00DA07FF">
        <w:rPr>
          <w:rFonts w:ascii="Arial" w:hAnsi="Arial" w:cs="Arial"/>
        </w:rPr>
        <w:t xml:space="preserve"> </w:t>
      </w:r>
      <w:bookmarkStart w:id="54" w:name="_Hlk132248054"/>
      <w:r w:rsidRPr="00DA07FF">
        <w:rPr>
          <w:rFonts w:ascii="Arial" w:hAnsi="Arial" w:cs="Arial"/>
          <w:i/>
          <w:iCs/>
        </w:rPr>
        <w:t>Ivan v. Tanzania</w:t>
      </w:r>
      <w:r w:rsidRPr="00DA07FF">
        <w:rPr>
          <w:rFonts w:ascii="Arial" w:hAnsi="Arial" w:cs="Arial"/>
        </w:rPr>
        <w:t xml:space="preserve"> (merits and reparations), </w:t>
      </w:r>
      <w:r w:rsidRPr="00DA07FF">
        <w:rPr>
          <w:rFonts w:ascii="Arial" w:hAnsi="Arial" w:cs="Arial"/>
          <w:i/>
          <w:iCs/>
        </w:rPr>
        <w:t>supra,</w:t>
      </w:r>
      <w:r w:rsidRPr="00DA07FF">
        <w:rPr>
          <w:rFonts w:ascii="Arial" w:hAnsi="Arial" w:cs="Arial"/>
        </w:rPr>
        <w:t xml:space="preserve"> </w:t>
      </w:r>
      <w:bookmarkStart w:id="55" w:name="_Hlk132575772"/>
      <w:r w:rsidRPr="004C4E43">
        <w:rPr>
          <w:rFonts w:ascii="Arial" w:hAnsi="Arial" w:cs="Arial"/>
        </w:rPr>
        <w:t>§</w:t>
      </w:r>
      <w:bookmarkEnd w:id="55"/>
      <w:r w:rsidRPr="004C4E43">
        <w:rPr>
          <w:rFonts w:ascii="Arial" w:hAnsi="Arial" w:cs="Arial"/>
        </w:rPr>
        <w:t xml:space="preserve"> 61</w:t>
      </w:r>
      <w:bookmarkEnd w:id="54"/>
      <w:r w:rsidRPr="004C4E43">
        <w:rPr>
          <w:rFonts w:ascii="Arial" w:hAnsi="Arial" w:cs="Arial"/>
        </w:rPr>
        <w:t xml:space="preserve">; and </w:t>
      </w:r>
      <w:r w:rsidRPr="004C4E43">
        <w:rPr>
          <w:rFonts w:ascii="Arial" w:hAnsi="Arial" w:cs="Arial"/>
          <w:i/>
        </w:rPr>
        <w:t>Abubakari v. Tanzania</w:t>
      </w:r>
      <w:r w:rsidRPr="004C4E43">
        <w:rPr>
          <w:rFonts w:ascii="Arial" w:hAnsi="Arial" w:cs="Arial"/>
        </w:rPr>
        <w:t xml:space="preserve"> (merits), </w:t>
      </w:r>
      <w:r w:rsidRPr="004C4E43">
        <w:rPr>
          <w:rFonts w:ascii="Arial" w:hAnsi="Arial" w:cs="Arial"/>
          <w:i/>
        </w:rPr>
        <w:t>supra</w:t>
      </w:r>
      <w:r w:rsidRPr="004C4E43">
        <w:rPr>
          <w:rFonts w:ascii="Arial" w:hAnsi="Arial" w:cs="Arial"/>
        </w:rPr>
        <w:t>, §§ 26 and 173.</w:t>
      </w:r>
    </w:p>
  </w:footnote>
  <w:footnote w:id="31">
    <w:p w14:paraId="25B70902" w14:textId="698A30AF" w:rsidR="00F02123" w:rsidRPr="00DA07FF" w:rsidRDefault="00F02123" w:rsidP="00DA07FF">
      <w:pPr>
        <w:pStyle w:val="FootnoteText"/>
        <w:jc w:val="both"/>
        <w:rPr>
          <w:rFonts w:ascii="Arial" w:hAnsi="Arial" w:cs="Arial"/>
          <w:lang w:val="en-ZA"/>
        </w:rPr>
      </w:pPr>
      <w:r w:rsidRPr="00DA07FF">
        <w:rPr>
          <w:rStyle w:val="FootnoteReference"/>
          <w:rFonts w:ascii="Arial" w:hAnsi="Arial" w:cs="Arial"/>
        </w:rPr>
        <w:footnoteRef/>
      </w:r>
      <w:r w:rsidRPr="00DA07FF">
        <w:rPr>
          <w:rFonts w:ascii="Arial" w:hAnsi="Arial" w:cs="Arial"/>
        </w:rPr>
        <w:t xml:space="preserve"> </w:t>
      </w:r>
      <w:r w:rsidRPr="00DA07FF">
        <w:rPr>
          <w:rFonts w:ascii="Arial" w:hAnsi="Arial" w:cs="Arial"/>
          <w:i/>
          <w:iCs/>
        </w:rPr>
        <w:t>Republic v. Jackson S/O Godwin</w:t>
      </w:r>
      <w:r w:rsidRPr="00DA07FF">
        <w:rPr>
          <w:rFonts w:ascii="Arial" w:hAnsi="Arial" w:cs="Arial"/>
        </w:rPr>
        <w:t xml:space="preserve">, Criminal Case No. 44/2013, </w:t>
      </w:r>
      <w:r w:rsidRPr="00DA07FF">
        <w:rPr>
          <w:rFonts w:ascii="Arial" w:hAnsi="Arial" w:cs="Arial"/>
          <w:i/>
          <w:iCs/>
        </w:rPr>
        <w:t>supra,</w:t>
      </w:r>
      <w:r w:rsidRPr="00DA07FF">
        <w:rPr>
          <w:rFonts w:ascii="Arial" w:hAnsi="Arial" w:cs="Arial"/>
        </w:rPr>
        <w:t xml:space="preserve"> pages 26-34; </w:t>
      </w:r>
      <w:r w:rsidRPr="00DA07FF">
        <w:rPr>
          <w:rFonts w:ascii="Arial" w:hAnsi="Arial" w:cs="Arial"/>
          <w:i/>
          <w:iCs/>
        </w:rPr>
        <w:t>Jackson Godwin v. The Republic</w:t>
      </w:r>
      <w:r w:rsidRPr="00DA07FF">
        <w:rPr>
          <w:rFonts w:ascii="Arial" w:hAnsi="Arial" w:cs="Arial"/>
        </w:rPr>
        <w:t xml:space="preserve">, Criminal Appeal No.45 of 2014, </w:t>
      </w:r>
      <w:r w:rsidRPr="00DA07FF">
        <w:rPr>
          <w:rFonts w:ascii="Arial" w:hAnsi="Arial" w:cs="Arial"/>
          <w:i/>
          <w:iCs/>
        </w:rPr>
        <w:t>supra</w:t>
      </w:r>
      <w:r w:rsidRPr="00DA07FF">
        <w:rPr>
          <w:rFonts w:ascii="Arial" w:hAnsi="Arial" w:cs="Arial"/>
        </w:rPr>
        <w:t xml:space="preserve">, pages 2-3; and </w:t>
      </w:r>
      <w:r w:rsidRPr="00DA07FF">
        <w:rPr>
          <w:rFonts w:ascii="Arial" w:hAnsi="Arial" w:cs="Arial"/>
          <w:i/>
          <w:iCs/>
        </w:rPr>
        <w:t>Jackson Godwin v. The Republic,</w:t>
      </w:r>
      <w:r w:rsidRPr="00DA07FF">
        <w:rPr>
          <w:rFonts w:ascii="Arial" w:hAnsi="Arial" w:cs="Arial"/>
        </w:rPr>
        <w:t xml:space="preserve"> Criminal Appeal No. 278 of 2015, </w:t>
      </w:r>
      <w:r w:rsidRPr="00DA07FF">
        <w:rPr>
          <w:rFonts w:ascii="Arial" w:hAnsi="Arial" w:cs="Arial"/>
          <w:i/>
          <w:iCs/>
        </w:rPr>
        <w:t>supra,</w:t>
      </w:r>
      <w:r w:rsidRPr="00DA07FF">
        <w:rPr>
          <w:rFonts w:ascii="Arial" w:hAnsi="Arial" w:cs="Arial"/>
        </w:rPr>
        <w:t xml:space="preserve"> pages 1-3.</w:t>
      </w:r>
    </w:p>
  </w:footnote>
  <w:footnote w:id="32">
    <w:p w14:paraId="33F6071E" w14:textId="6302AB2F" w:rsidR="00F02123" w:rsidRPr="00DA07FF" w:rsidRDefault="00F02123" w:rsidP="00DA07FF">
      <w:pPr>
        <w:pStyle w:val="FootnoteText"/>
        <w:jc w:val="both"/>
        <w:rPr>
          <w:rFonts w:ascii="Arial" w:hAnsi="Arial" w:cs="Arial"/>
          <w:i/>
          <w:iCs/>
          <w:lang w:val="en-ZA"/>
        </w:rPr>
      </w:pPr>
      <w:r w:rsidRPr="00DA07FF">
        <w:rPr>
          <w:rStyle w:val="FootnoteReference"/>
          <w:rFonts w:ascii="Arial" w:hAnsi="Arial" w:cs="Arial"/>
        </w:rPr>
        <w:footnoteRef/>
      </w:r>
      <w:r w:rsidRPr="00DA07FF">
        <w:rPr>
          <w:rFonts w:ascii="Arial" w:hAnsi="Arial" w:cs="Arial"/>
          <w:i/>
          <w:iCs/>
        </w:rPr>
        <w:t xml:space="preserve"> </w:t>
      </w:r>
      <w:r w:rsidRPr="00DA07FF">
        <w:rPr>
          <w:rFonts w:ascii="Arial" w:hAnsi="Arial" w:cs="Arial"/>
          <w:i/>
          <w:iCs/>
          <w:lang w:val="en-ZA"/>
        </w:rPr>
        <w:t xml:space="preserve">Ibid. </w:t>
      </w:r>
    </w:p>
  </w:footnote>
  <w:footnote w:id="33">
    <w:p w14:paraId="5661B00A" w14:textId="5DA82192" w:rsidR="00F02123" w:rsidRPr="00DA07FF" w:rsidRDefault="00F02123" w:rsidP="00DA07FF">
      <w:pPr>
        <w:pStyle w:val="FootnoteText"/>
        <w:jc w:val="both"/>
        <w:rPr>
          <w:rFonts w:ascii="Arial" w:hAnsi="Arial" w:cs="Arial"/>
          <w:lang w:val="en-ZA"/>
        </w:rPr>
      </w:pPr>
      <w:r w:rsidRPr="00DA07FF">
        <w:rPr>
          <w:rStyle w:val="FootnoteReference"/>
          <w:rFonts w:ascii="Arial" w:hAnsi="Arial" w:cs="Arial"/>
        </w:rPr>
        <w:footnoteRef/>
      </w:r>
      <w:r w:rsidRPr="00DA07FF">
        <w:rPr>
          <w:rFonts w:ascii="Arial" w:hAnsi="Arial" w:cs="Arial"/>
        </w:rPr>
        <w:t xml:space="preserve"> </w:t>
      </w:r>
      <w:r w:rsidRPr="00DA07FF">
        <w:rPr>
          <w:rFonts w:ascii="Arial" w:hAnsi="Arial" w:cs="Arial"/>
          <w:i/>
          <w:iCs/>
        </w:rPr>
        <w:t>Jackson Godwin v. The Republic,</w:t>
      </w:r>
      <w:r w:rsidRPr="00DA07FF">
        <w:rPr>
          <w:rFonts w:ascii="Arial" w:hAnsi="Arial" w:cs="Arial"/>
        </w:rPr>
        <w:t xml:space="preserve"> Criminal Appeal No.45 of 2014, </w:t>
      </w:r>
      <w:r w:rsidRPr="00DA07FF">
        <w:rPr>
          <w:rFonts w:ascii="Arial" w:hAnsi="Arial" w:cs="Arial"/>
          <w:i/>
          <w:iCs/>
        </w:rPr>
        <w:t>supra,</w:t>
      </w:r>
      <w:r w:rsidRPr="00DA07FF">
        <w:rPr>
          <w:rFonts w:ascii="Arial" w:hAnsi="Arial" w:cs="Arial"/>
        </w:rPr>
        <w:t xml:space="preserve"> pages 8-9; and </w:t>
      </w:r>
      <w:r w:rsidRPr="00DA07FF">
        <w:rPr>
          <w:rFonts w:ascii="Arial" w:hAnsi="Arial" w:cs="Arial"/>
          <w:i/>
          <w:iCs/>
        </w:rPr>
        <w:t>Jackson Godwin v. The Republic, Criminal</w:t>
      </w:r>
      <w:r w:rsidRPr="00DA07FF">
        <w:rPr>
          <w:rFonts w:ascii="Arial" w:hAnsi="Arial" w:cs="Arial"/>
        </w:rPr>
        <w:t xml:space="preserve"> Appeal No. 278 of 2015, </w:t>
      </w:r>
      <w:r w:rsidRPr="00DA07FF">
        <w:rPr>
          <w:rFonts w:ascii="Arial" w:hAnsi="Arial" w:cs="Arial"/>
          <w:i/>
          <w:iCs/>
        </w:rPr>
        <w:t>supra</w:t>
      </w:r>
      <w:r w:rsidRPr="00DA07FF">
        <w:rPr>
          <w:rFonts w:ascii="Arial" w:hAnsi="Arial" w:cs="Arial"/>
        </w:rPr>
        <w:t>, page 7.</w:t>
      </w:r>
    </w:p>
  </w:footnote>
  <w:footnote w:id="34">
    <w:p w14:paraId="01B08393" w14:textId="0A90403F" w:rsidR="00F02123" w:rsidRPr="00DA07FF" w:rsidRDefault="00F02123" w:rsidP="00DA07FF">
      <w:pPr>
        <w:pStyle w:val="FootnoteText"/>
        <w:jc w:val="both"/>
        <w:rPr>
          <w:rFonts w:ascii="Arial" w:hAnsi="Arial" w:cs="Arial"/>
        </w:rPr>
      </w:pPr>
      <w:r w:rsidRPr="00DA07FF">
        <w:rPr>
          <w:rStyle w:val="FootnoteReference"/>
          <w:rFonts w:ascii="Arial" w:hAnsi="Arial" w:cs="Arial"/>
        </w:rPr>
        <w:footnoteRef/>
      </w:r>
      <w:r w:rsidRPr="00DA07FF">
        <w:rPr>
          <w:rFonts w:ascii="Arial" w:hAnsi="Arial" w:cs="Arial"/>
        </w:rPr>
        <w:t xml:space="preserve"> </w:t>
      </w:r>
      <w:r w:rsidRPr="00DA07FF">
        <w:rPr>
          <w:rFonts w:ascii="Arial" w:hAnsi="Arial" w:cs="Arial"/>
          <w:i/>
          <w:iCs/>
        </w:rPr>
        <w:t xml:space="preserve">Ajavon v. Benin </w:t>
      </w:r>
      <w:r w:rsidRPr="00DA07FF">
        <w:rPr>
          <w:rFonts w:ascii="Arial" w:hAnsi="Arial" w:cs="Arial"/>
        </w:rPr>
        <w:t xml:space="preserve">(judgment), </w:t>
      </w:r>
      <w:r w:rsidRPr="00DA07FF">
        <w:rPr>
          <w:rFonts w:ascii="Arial" w:hAnsi="Arial" w:cs="Arial"/>
          <w:i/>
          <w:iCs/>
        </w:rPr>
        <w:t>supra,</w:t>
      </w:r>
      <w:r w:rsidRPr="00DA07FF">
        <w:rPr>
          <w:rFonts w:ascii="Arial" w:hAnsi="Arial" w:cs="Arial"/>
        </w:rPr>
        <w:t xml:space="preserve"> </w:t>
      </w:r>
      <w:bookmarkStart w:id="60" w:name="_Hlk132575896"/>
      <w:r w:rsidRPr="00DA07FF">
        <w:rPr>
          <w:rFonts w:ascii="Arial" w:hAnsi="Arial" w:cs="Arial"/>
        </w:rPr>
        <w:t>§</w:t>
      </w:r>
      <w:bookmarkEnd w:id="60"/>
      <w:r w:rsidRPr="00DA07FF">
        <w:rPr>
          <w:rFonts w:ascii="Arial" w:hAnsi="Arial" w:cs="Arial"/>
        </w:rPr>
        <w:t xml:space="preserve"> 141.</w:t>
      </w:r>
    </w:p>
  </w:footnote>
  <w:footnote w:id="35">
    <w:p w14:paraId="10A61D0E" w14:textId="659BF1DD" w:rsidR="00F02123" w:rsidRPr="00DA07FF" w:rsidRDefault="00F02123" w:rsidP="00DA07FF">
      <w:pPr>
        <w:pStyle w:val="FootnoteText"/>
        <w:jc w:val="both"/>
        <w:rPr>
          <w:rFonts w:ascii="Arial" w:hAnsi="Arial" w:cs="Arial"/>
        </w:rPr>
      </w:pPr>
      <w:r w:rsidRPr="00DA07FF">
        <w:rPr>
          <w:rStyle w:val="FootnoteReference"/>
          <w:rFonts w:ascii="Arial" w:hAnsi="Arial" w:cs="Arial"/>
        </w:rPr>
        <w:footnoteRef/>
      </w:r>
      <w:r w:rsidRPr="00DA07FF">
        <w:rPr>
          <w:rFonts w:ascii="Arial" w:hAnsi="Arial" w:cs="Arial"/>
        </w:rPr>
        <w:t xml:space="preserve"> </w:t>
      </w:r>
      <w:r w:rsidRPr="00DA07FF">
        <w:rPr>
          <w:rFonts w:ascii="Arial" w:hAnsi="Arial" w:cs="Arial"/>
          <w:i/>
          <w:iCs/>
        </w:rPr>
        <w:t>Ingabire Victoire Umuhoza v. Republic of Rwanda</w:t>
      </w:r>
      <w:r w:rsidRPr="00DA07FF">
        <w:rPr>
          <w:rFonts w:ascii="Arial" w:hAnsi="Arial" w:cs="Arial"/>
        </w:rPr>
        <w:t xml:space="preserve"> (merits) (24 November 2017) 2 AfCLR 165, § 9</w:t>
      </w:r>
      <w:r>
        <w:rPr>
          <w:rFonts w:ascii="Arial" w:hAnsi="Arial" w:cs="Arial"/>
        </w:rPr>
        <w:t>3</w:t>
      </w:r>
      <w:r w:rsidRPr="00DA07FF">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036B" w14:textId="77777777" w:rsidR="00F02123" w:rsidRDefault="00F02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4155"/>
    <w:multiLevelType w:val="hybridMultilevel"/>
    <w:tmpl w:val="7AEE710C"/>
    <w:lvl w:ilvl="0" w:tplc="2B7E0C16">
      <w:start w:val="1"/>
      <w:numFmt w:val="lowerRoman"/>
      <w:lvlText w:val="%1."/>
      <w:lvlJc w:val="left"/>
      <w:pPr>
        <w:ind w:left="72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A2A237D"/>
    <w:multiLevelType w:val="hybridMultilevel"/>
    <w:tmpl w:val="3D4E6BC8"/>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2211C86"/>
    <w:multiLevelType w:val="hybridMultilevel"/>
    <w:tmpl w:val="185E1DAA"/>
    <w:lvl w:ilvl="0" w:tplc="77AED3DA">
      <w:start w:val="1"/>
      <w:numFmt w:val="lowerRoman"/>
      <w:lvlText w:val="%1."/>
      <w:lvlJc w:val="left"/>
      <w:pPr>
        <w:ind w:left="720" w:hanging="360"/>
      </w:pPr>
      <w:rPr>
        <w:rFonts w:hint="default"/>
        <w:b/>
        <w:bCs w:val="0"/>
        <w:i w:val="0"/>
        <w:color w:val="auto"/>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5B61E8"/>
    <w:multiLevelType w:val="hybridMultilevel"/>
    <w:tmpl w:val="A29E2E8E"/>
    <w:lvl w:ilvl="0" w:tplc="F86AADD0">
      <w:start w:val="1"/>
      <w:numFmt w:val="decimal"/>
      <w:lvlText w:val="%1."/>
      <w:lvlJc w:val="left"/>
      <w:pPr>
        <w:ind w:left="2520" w:hanging="360"/>
      </w:pPr>
      <w:rPr>
        <w:rFonts w:hint="default"/>
      </w:r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4" w15:restartNumberingAfterBreak="0">
    <w:nsid w:val="28EE7352"/>
    <w:multiLevelType w:val="hybridMultilevel"/>
    <w:tmpl w:val="FB96642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DB36C33"/>
    <w:multiLevelType w:val="hybridMultilevel"/>
    <w:tmpl w:val="B40832CA"/>
    <w:lvl w:ilvl="0" w:tplc="DB0864DC">
      <w:start w:val="1"/>
      <w:numFmt w:val="upp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6093866"/>
    <w:multiLevelType w:val="hybridMultilevel"/>
    <w:tmpl w:val="D5A23E88"/>
    <w:lvl w:ilvl="0" w:tplc="1C09000F">
      <w:start w:val="1"/>
      <w:numFmt w:val="decimal"/>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7" w15:restartNumberingAfterBreak="0">
    <w:nsid w:val="3C460838"/>
    <w:multiLevelType w:val="hybridMultilevel"/>
    <w:tmpl w:val="FB96642C"/>
    <w:lvl w:ilvl="0" w:tplc="4C28FA1C">
      <w:start w:val="1"/>
      <w:numFmt w:val="lowerRoman"/>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 w15:restartNumberingAfterBreak="0">
    <w:nsid w:val="443A35F3"/>
    <w:multiLevelType w:val="hybridMultilevel"/>
    <w:tmpl w:val="9B7EAD50"/>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B4971D7"/>
    <w:multiLevelType w:val="hybridMultilevel"/>
    <w:tmpl w:val="C2E2D874"/>
    <w:lvl w:ilvl="0" w:tplc="C906A314">
      <w:start w:val="1"/>
      <w:numFmt w:val="lowerRoman"/>
      <w:lvlText w:val="%1."/>
      <w:lvlJc w:val="left"/>
      <w:pPr>
        <w:ind w:left="2381" w:hanging="360"/>
      </w:pPr>
      <w:rPr>
        <w:rFonts w:hint="default"/>
      </w:rPr>
    </w:lvl>
    <w:lvl w:ilvl="1" w:tplc="08090019" w:tentative="1">
      <w:start w:val="1"/>
      <w:numFmt w:val="lowerLetter"/>
      <w:lvlText w:val="%2."/>
      <w:lvlJc w:val="left"/>
      <w:pPr>
        <w:ind w:left="3101" w:hanging="360"/>
      </w:pPr>
    </w:lvl>
    <w:lvl w:ilvl="2" w:tplc="0809001B" w:tentative="1">
      <w:start w:val="1"/>
      <w:numFmt w:val="lowerRoman"/>
      <w:lvlText w:val="%3."/>
      <w:lvlJc w:val="right"/>
      <w:pPr>
        <w:ind w:left="3821" w:hanging="180"/>
      </w:pPr>
    </w:lvl>
    <w:lvl w:ilvl="3" w:tplc="0809000F" w:tentative="1">
      <w:start w:val="1"/>
      <w:numFmt w:val="decimal"/>
      <w:lvlText w:val="%4."/>
      <w:lvlJc w:val="left"/>
      <w:pPr>
        <w:ind w:left="4541" w:hanging="360"/>
      </w:pPr>
    </w:lvl>
    <w:lvl w:ilvl="4" w:tplc="08090019" w:tentative="1">
      <w:start w:val="1"/>
      <w:numFmt w:val="lowerLetter"/>
      <w:lvlText w:val="%5."/>
      <w:lvlJc w:val="left"/>
      <w:pPr>
        <w:ind w:left="5261" w:hanging="360"/>
      </w:pPr>
    </w:lvl>
    <w:lvl w:ilvl="5" w:tplc="0809001B" w:tentative="1">
      <w:start w:val="1"/>
      <w:numFmt w:val="lowerRoman"/>
      <w:lvlText w:val="%6."/>
      <w:lvlJc w:val="right"/>
      <w:pPr>
        <w:ind w:left="5981" w:hanging="180"/>
      </w:pPr>
    </w:lvl>
    <w:lvl w:ilvl="6" w:tplc="0809000F" w:tentative="1">
      <w:start w:val="1"/>
      <w:numFmt w:val="decimal"/>
      <w:lvlText w:val="%7."/>
      <w:lvlJc w:val="left"/>
      <w:pPr>
        <w:ind w:left="6701" w:hanging="360"/>
      </w:pPr>
    </w:lvl>
    <w:lvl w:ilvl="7" w:tplc="08090019" w:tentative="1">
      <w:start w:val="1"/>
      <w:numFmt w:val="lowerLetter"/>
      <w:lvlText w:val="%8."/>
      <w:lvlJc w:val="left"/>
      <w:pPr>
        <w:ind w:left="7421" w:hanging="360"/>
      </w:pPr>
    </w:lvl>
    <w:lvl w:ilvl="8" w:tplc="0809001B" w:tentative="1">
      <w:start w:val="1"/>
      <w:numFmt w:val="lowerRoman"/>
      <w:lvlText w:val="%9."/>
      <w:lvlJc w:val="right"/>
      <w:pPr>
        <w:ind w:left="8141" w:hanging="180"/>
      </w:pPr>
    </w:lvl>
  </w:abstractNum>
  <w:abstractNum w:abstractNumId="10" w15:restartNumberingAfterBreak="0">
    <w:nsid w:val="50A64226"/>
    <w:multiLevelType w:val="hybridMultilevel"/>
    <w:tmpl w:val="BDA4B5AC"/>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73435BC"/>
    <w:multiLevelType w:val="hybridMultilevel"/>
    <w:tmpl w:val="1F960142"/>
    <w:lvl w:ilvl="0" w:tplc="8D92A76C">
      <w:start w:val="1"/>
      <w:numFmt w:val="decimal"/>
      <w:lvlText w:val="%1."/>
      <w:lvlJc w:val="lef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9DC1A2C"/>
    <w:multiLevelType w:val="hybridMultilevel"/>
    <w:tmpl w:val="47C4AC4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CC36CA6"/>
    <w:multiLevelType w:val="hybridMultilevel"/>
    <w:tmpl w:val="87BE2BD2"/>
    <w:lvl w:ilvl="0" w:tplc="F90A7D0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F4938B2"/>
    <w:multiLevelType w:val="hybridMultilevel"/>
    <w:tmpl w:val="4BD0BB80"/>
    <w:lvl w:ilvl="0" w:tplc="35D45E5A">
      <w:start w:val="1"/>
      <w:numFmt w:val="lowerRoman"/>
      <w:lvlText w:val="%1."/>
      <w:lvlJc w:val="left"/>
      <w:pPr>
        <w:ind w:left="1440" w:hanging="720"/>
      </w:pPr>
      <w:rPr>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67B54D6D"/>
    <w:multiLevelType w:val="hybridMultilevel"/>
    <w:tmpl w:val="1A26A680"/>
    <w:lvl w:ilvl="0" w:tplc="1C090019">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6" w15:restartNumberingAfterBreak="0">
    <w:nsid w:val="740F4421"/>
    <w:multiLevelType w:val="hybridMultilevel"/>
    <w:tmpl w:val="FB96642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791507116">
    <w:abstractNumId w:val="0"/>
  </w:num>
  <w:num w:numId="2" w16cid:durableId="822427219">
    <w:abstractNumId w:val="15"/>
  </w:num>
  <w:num w:numId="3" w16cid:durableId="2044791139">
    <w:abstractNumId w:val="7"/>
  </w:num>
  <w:num w:numId="4" w16cid:durableId="2134639376">
    <w:abstractNumId w:val="11"/>
  </w:num>
  <w:num w:numId="5" w16cid:durableId="1431580334">
    <w:abstractNumId w:val="6"/>
  </w:num>
  <w:num w:numId="6" w16cid:durableId="339744564">
    <w:abstractNumId w:val="14"/>
  </w:num>
  <w:num w:numId="7" w16cid:durableId="1640919563">
    <w:abstractNumId w:val="5"/>
  </w:num>
  <w:num w:numId="8" w16cid:durableId="922103967">
    <w:abstractNumId w:val="10"/>
  </w:num>
  <w:num w:numId="9" w16cid:durableId="771323767">
    <w:abstractNumId w:val="12"/>
  </w:num>
  <w:num w:numId="10" w16cid:durableId="532890378">
    <w:abstractNumId w:val="8"/>
  </w:num>
  <w:num w:numId="11" w16cid:durableId="1482191109">
    <w:abstractNumId w:val="1"/>
  </w:num>
  <w:num w:numId="12" w16cid:durableId="340204108">
    <w:abstractNumId w:val="13"/>
  </w:num>
  <w:num w:numId="13" w16cid:durableId="472649111">
    <w:abstractNumId w:val="9"/>
  </w:num>
  <w:num w:numId="14" w16cid:durableId="1263345366">
    <w:abstractNumId w:val="4"/>
  </w:num>
  <w:num w:numId="15" w16cid:durableId="1353991889">
    <w:abstractNumId w:val="16"/>
  </w:num>
  <w:num w:numId="16" w16cid:durableId="403334735">
    <w:abstractNumId w:val="3"/>
  </w:num>
  <w:num w:numId="17" w16cid:durableId="49449794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D9"/>
    <w:rsid w:val="00000099"/>
    <w:rsid w:val="00003708"/>
    <w:rsid w:val="00004459"/>
    <w:rsid w:val="000054C4"/>
    <w:rsid w:val="00011D56"/>
    <w:rsid w:val="00016641"/>
    <w:rsid w:val="00020391"/>
    <w:rsid w:val="00021FC0"/>
    <w:rsid w:val="00022B98"/>
    <w:rsid w:val="00023662"/>
    <w:rsid w:val="00025A7F"/>
    <w:rsid w:val="00025DF2"/>
    <w:rsid w:val="00025FF3"/>
    <w:rsid w:val="0002619B"/>
    <w:rsid w:val="00027E23"/>
    <w:rsid w:val="000320E9"/>
    <w:rsid w:val="00032C2E"/>
    <w:rsid w:val="00034652"/>
    <w:rsid w:val="00035D05"/>
    <w:rsid w:val="00046D54"/>
    <w:rsid w:val="00046E1F"/>
    <w:rsid w:val="0005292B"/>
    <w:rsid w:val="00054418"/>
    <w:rsid w:val="00057B6C"/>
    <w:rsid w:val="00063C0B"/>
    <w:rsid w:val="00066BE7"/>
    <w:rsid w:val="000670BA"/>
    <w:rsid w:val="000672D0"/>
    <w:rsid w:val="000672E7"/>
    <w:rsid w:val="00073C2D"/>
    <w:rsid w:val="00076846"/>
    <w:rsid w:val="00080822"/>
    <w:rsid w:val="00082998"/>
    <w:rsid w:val="00085338"/>
    <w:rsid w:val="000853BA"/>
    <w:rsid w:val="00087A5E"/>
    <w:rsid w:val="000914ED"/>
    <w:rsid w:val="000970BD"/>
    <w:rsid w:val="00097A41"/>
    <w:rsid w:val="00097F1F"/>
    <w:rsid w:val="000A0CAC"/>
    <w:rsid w:val="000A131A"/>
    <w:rsid w:val="000A2AF1"/>
    <w:rsid w:val="000A709B"/>
    <w:rsid w:val="000B089C"/>
    <w:rsid w:val="000B2B40"/>
    <w:rsid w:val="000B373F"/>
    <w:rsid w:val="000B3A3D"/>
    <w:rsid w:val="000B3BEC"/>
    <w:rsid w:val="000B6187"/>
    <w:rsid w:val="000B7014"/>
    <w:rsid w:val="000B7D91"/>
    <w:rsid w:val="000B7DA9"/>
    <w:rsid w:val="000C1E27"/>
    <w:rsid w:val="000C2A74"/>
    <w:rsid w:val="000C2EF2"/>
    <w:rsid w:val="000C3645"/>
    <w:rsid w:val="000C4B43"/>
    <w:rsid w:val="000C4E0C"/>
    <w:rsid w:val="000D00E2"/>
    <w:rsid w:val="000D1375"/>
    <w:rsid w:val="000D368B"/>
    <w:rsid w:val="000D4AA9"/>
    <w:rsid w:val="000D4AE9"/>
    <w:rsid w:val="000D5C38"/>
    <w:rsid w:val="000D5C50"/>
    <w:rsid w:val="000E0F6F"/>
    <w:rsid w:val="000E1489"/>
    <w:rsid w:val="000E4EBE"/>
    <w:rsid w:val="000E52AE"/>
    <w:rsid w:val="000F162C"/>
    <w:rsid w:val="000F36B1"/>
    <w:rsid w:val="000F47A4"/>
    <w:rsid w:val="00102DC5"/>
    <w:rsid w:val="0010305D"/>
    <w:rsid w:val="00104FD9"/>
    <w:rsid w:val="00107C13"/>
    <w:rsid w:val="00110FB1"/>
    <w:rsid w:val="001132AA"/>
    <w:rsid w:val="00114DA9"/>
    <w:rsid w:val="0011665D"/>
    <w:rsid w:val="00117AAF"/>
    <w:rsid w:val="001208C1"/>
    <w:rsid w:val="00122339"/>
    <w:rsid w:val="00122A7A"/>
    <w:rsid w:val="00132CF9"/>
    <w:rsid w:val="00134D0E"/>
    <w:rsid w:val="00136594"/>
    <w:rsid w:val="0014312D"/>
    <w:rsid w:val="00157BE1"/>
    <w:rsid w:val="001607AF"/>
    <w:rsid w:val="00160C20"/>
    <w:rsid w:val="001617C6"/>
    <w:rsid w:val="00162A92"/>
    <w:rsid w:val="0016371F"/>
    <w:rsid w:val="00176AAB"/>
    <w:rsid w:val="00180087"/>
    <w:rsid w:val="0018641A"/>
    <w:rsid w:val="00187DCA"/>
    <w:rsid w:val="0019001D"/>
    <w:rsid w:val="0019252C"/>
    <w:rsid w:val="00193183"/>
    <w:rsid w:val="001935BB"/>
    <w:rsid w:val="00194293"/>
    <w:rsid w:val="00194896"/>
    <w:rsid w:val="001958A8"/>
    <w:rsid w:val="001A27E6"/>
    <w:rsid w:val="001A3562"/>
    <w:rsid w:val="001A3623"/>
    <w:rsid w:val="001B034E"/>
    <w:rsid w:val="001B03B0"/>
    <w:rsid w:val="001B4220"/>
    <w:rsid w:val="001B6FD9"/>
    <w:rsid w:val="001C1D6F"/>
    <w:rsid w:val="001C1EA2"/>
    <w:rsid w:val="001D05E2"/>
    <w:rsid w:val="001D060C"/>
    <w:rsid w:val="001D0FBB"/>
    <w:rsid w:val="001D28F3"/>
    <w:rsid w:val="001D6C9A"/>
    <w:rsid w:val="001D7C94"/>
    <w:rsid w:val="001E2BDC"/>
    <w:rsid w:val="001E3954"/>
    <w:rsid w:val="001E3BC0"/>
    <w:rsid w:val="001E4273"/>
    <w:rsid w:val="001E4C49"/>
    <w:rsid w:val="001E55AB"/>
    <w:rsid w:val="001E6BFB"/>
    <w:rsid w:val="001E7A48"/>
    <w:rsid w:val="001F07BC"/>
    <w:rsid w:val="001F758E"/>
    <w:rsid w:val="00200411"/>
    <w:rsid w:val="00201291"/>
    <w:rsid w:val="00201E5D"/>
    <w:rsid w:val="00202EA9"/>
    <w:rsid w:val="00203FFC"/>
    <w:rsid w:val="002106CD"/>
    <w:rsid w:val="00211280"/>
    <w:rsid w:val="00213DF6"/>
    <w:rsid w:val="00215570"/>
    <w:rsid w:val="00217236"/>
    <w:rsid w:val="00224839"/>
    <w:rsid w:val="00227434"/>
    <w:rsid w:val="002361F6"/>
    <w:rsid w:val="0023791D"/>
    <w:rsid w:val="00240ACB"/>
    <w:rsid w:val="00241AF6"/>
    <w:rsid w:val="00244130"/>
    <w:rsid w:val="0025112F"/>
    <w:rsid w:val="0025178D"/>
    <w:rsid w:val="00255AC9"/>
    <w:rsid w:val="002563B7"/>
    <w:rsid w:val="00257EDA"/>
    <w:rsid w:val="002605ED"/>
    <w:rsid w:val="00260BD5"/>
    <w:rsid w:val="00261B22"/>
    <w:rsid w:val="002628CF"/>
    <w:rsid w:val="002634E9"/>
    <w:rsid w:val="002674C5"/>
    <w:rsid w:val="00271C28"/>
    <w:rsid w:val="00272F2D"/>
    <w:rsid w:val="00274D12"/>
    <w:rsid w:val="00277E49"/>
    <w:rsid w:val="00281582"/>
    <w:rsid w:val="00282C4E"/>
    <w:rsid w:val="00283EED"/>
    <w:rsid w:val="002923EE"/>
    <w:rsid w:val="0029376C"/>
    <w:rsid w:val="00295BE4"/>
    <w:rsid w:val="00297174"/>
    <w:rsid w:val="002A1C1B"/>
    <w:rsid w:val="002A225E"/>
    <w:rsid w:val="002A7846"/>
    <w:rsid w:val="002B0CEA"/>
    <w:rsid w:val="002B0F32"/>
    <w:rsid w:val="002B120F"/>
    <w:rsid w:val="002C3516"/>
    <w:rsid w:val="002C3BD4"/>
    <w:rsid w:val="002C578E"/>
    <w:rsid w:val="002C6465"/>
    <w:rsid w:val="002C7F62"/>
    <w:rsid w:val="002D4BCB"/>
    <w:rsid w:val="002D57F6"/>
    <w:rsid w:val="002D6CA5"/>
    <w:rsid w:val="002E1D3A"/>
    <w:rsid w:val="002E20CB"/>
    <w:rsid w:val="002E5351"/>
    <w:rsid w:val="002E540F"/>
    <w:rsid w:val="002E560B"/>
    <w:rsid w:val="002E59FD"/>
    <w:rsid w:val="002E5E70"/>
    <w:rsid w:val="002E6122"/>
    <w:rsid w:val="002E7555"/>
    <w:rsid w:val="002E798D"/>
    <w:rsid w:val="002F2225"/>
    <w:rsid w:val="002F5427"/>
    <w:rsid w:val="002F7131"/>
    <w:rsid w:val="00302071"/>
    <w:rsid w:val="00303679"/>
    <w:rsid w:val="0030483A"/>
    <w:rsid w:val="00304B30"/>
    <w:rsid w:val="0030741B"/>
    <w:rsid w:val="00312D91"/>
    <w:rsid w:val="00314C38"/>
    <w:rsid w:val="00317D37"/>
    <w:rsid w:val="003203FC"/>
    <w:rsid w:val="00320C2A"/>
    <w:rsid w:val="0032367A"/>
    <w:rsid w:val="00323AC1"/>
    <w:rsid w:val="003302B5"/>
    <w:rsid w:val="00331108"/>
    <w:rsid w:val="003322DC"/>
    <w:rsid w:val="00335E88"/>
    <w:rsid w:val="0033649B"/>
    <w:rsid w:val="0034034D"/>
    <w:rsid w:val="00341081"/>
    <w:rsid w:val="00341214"/>
    <w:rsid w:val="00342ADB"/>
    <w:rsid w:val="00343A43"/>
    <w:rsid w:val="0034546B"/>
    <w:rsid w:val="003464B1"/>
    <w:rsid w:val="00351BFE"/>
    <w:rsid w:val="003526CD"/>
    <w:rsid w:val="00360B81"/>
    <w:rsid w:val="00363383"/>
    <w:rsid w:val="0036381A"/>
    <w:rsid w:val="0036429E"/>
    <w:rsid w:val="00371CF7"/>
    <w:rsid w:val="0038399F"/>
    <w:rsid w:val="003850F9"/>
    <w:rsid w:val="003853AA"/>
    <w:rsid w:val="003921D6"/>
    <w:rsid w:val="003958DF"/>
    <w:rsid w:val="00396781"/>
    <w:rsid w:val="0039696F"/>
    <w:rsid w:val="003A0437"/>
    <w:rsid w:val="003A1C50"/>
    <w:rsid w:val="003A612F"/>
    <w:rsid w:val="003B0AC2"/>
    <w:rsid w:val="003B1A07"/>
    <w:rsid w:val="003B45CC"/>
    <w:rsid w:val="003B6D11"/>
    <w:rsid w:val="003C1E42"/>
    <w:rsid w:val="003C1FD0"/>
    <w:rsid w:val="003D0B2B"/>
    <w:rsid w:val="003D1245"/>
    <w:rsid w:val="003D14AA"/>
    <w:rsid w:val="003D1E8D"/>
    <w:rsid w:val="003D43BC"/>
    <w:rsid w:val="003E06AA"/>
    <w:rsid w:val="003E1274"/>
    <w:rsid w:val="003E31A1"/>
    <w:rsid w:val="003E34D1"/>
    <w:rsid w:val="003E3C42"/>
    <w:rsid w:val="003E59A5"/>
    <w:rsid w:val="003E7049"/>
    <w:rsid w:val="003F2881"/>
    <w:rsid w:val="003F5541"/>
    <w:rsid w:val="003F7883"/>
    <w:rsid w:val="004038C8"/>
    <w:rsid w:val="00404B73"/>
    <w:rsid w:val="00410113"/>
    <w:rsid w:val="00410E79"/>
    <w:rsid w:val="0041159E"/>
    <w:rsid w:val="00415F15"/>
    <w:rsid w:val="00421D69"/>
    <w:rsid w:val="00422A18"/>
    <w:rsid w:val="0042445F"/>
    <w:rsid w:val="00426179"/>
    <w:rsid w:val="004262F6"/>
    <w:rsid w:val="0043011F"/>
    <w:rsid w:val="00431B44"/>
    <w:rsid w:val="004323DF"/>
    <w:rsid w:val="0043373E"/>
    <w:rsid w:val="00436520"/>
    <w:rsid w:val="00437CC2"/>
    <w:rsid w:val="00442CEA"/>
    <w:rsid w:val="00445D9F"/>
    <w:rsid w:val="00447567"/>
    <w:rsid w:val="004477C9"/>
    <w:rsid w:val="0045490E"/>
    <w:rsid w:val="00454A76"/>
    <w:rsid w:val="00454F38"/>
    <w:rsid w:val="00461183"/>
    <w:rsid w:val="004620AF"/>
    <w:rsid w:val="00463B93"/>
    <w:rsid w:val="00467B9A"/>
    <w:rsid w:val="00471659"/>
    <w:rsid w:val="004758B8"/>
    <w:rsid w:val="004777C8"/>
    <w:rsid w:val="004806F7"/>
    <w:rsid w:val="00482611"/>
    <w:rsid w:val="00483DEF"/>
    <w:rsid w:val="004903D8"/>
    <w:rsid w:val="00490D68"/>
    <w:rsid w:val="00491BC6"/>
    <w:rsid w:val="00492194"/>
    <w:rsid w:val="00494EFB"/>
    <w:rsid w:val="0049541D"/>
    <w:rsid w:val="00495B12"/>
    <w:rsid w:val="00495B9C"/>
    <w:rsid w:val="004A18ED"/>
    <w:rsid w:val="004A5EBE"/>
    <w:rsid w:val="004B2F33"/>
    <w:rsid w:val="004B6A87"/>
    <w:rsid w:val="004B6B81"/>
    <w:rsid w:val="004B6D34"/>
    <w:rsid w:val="004B7023"/>
    <w:rsid w:val="004B7336"/>
    <w:rsid w:val="004C07D8"/>
    <w:rsid w:val="004C4E43"/>
    <w:rsid w:val="004C65F2"/>
    <w:rsid w:val="004D737F"/>
    <w:rsid w:val="004E1EB3"/>
    <w:rsid w:val="004E220F"/>
    <w:rsid w:val="004E22EA"/>
    <w:rsid w:val="004E290A"/>
    <w:rsid w:val="004E7699"/>
    <w:rsid w:val="004F2141"/>
    <w:rsid w:val="004F2E51"/>
    <w:rsid w:val="004F54F4"/>
    <w:rsid w:val="004F5A44"/>
    <w:rsid w:val="00505431"/>
    <w:rsid w:val="0050634D"/>
    <w:rsid w:val="00511E86"/>
    <w:rsid w:val="00513901"/>
    <w:rsid w:val="005214A6"/>
    <w:rsid w:val="00521CA6"/>
    <w:rsid w:val="00526F77"/>
    <w:rsid w:val="00531C0D"/>
    <w:rsid w:val="005326B6"/>
    <w:rsid w:val="00532E54"/>
    <w:rsid w:val="005332FB"/>
    <w:rsid w:val="00537650"/>
    <w:rsid w:val="005406FE"/>
    <w:rsid w:val="00541DAD"/>
    <w:rsid w:val="00541E13"/>
    <w:rsid w:val="00543D1E"/>
    <w:rsid w:val="00547BDC"/>
    <w:rsid w:val="0055101B"/>
    <w:rsid w:val="0055278F"/>
    <w:rsid w:val="005566B7"/>
    <w:rsid w:val="00557B6E"/>
    <w:rsid w:val="00560E0E"/>
    <w:rsid w:val="00561EF8"/>
    <w:rsid w:val="005651BE"/>
    <w:rsid w:val="0057024C"/>
    <w:rsid w:val="00571210"/>
    <w:rsid w:val="005750A3"/>
    <w:rsid w:val="00575C44"/>
    <w:rsid w:val="00582ADC"/>
    <w:rsid w:val="00582D2C"/>
    <w:rsid w:val="00583942"/>
    <w:rsid w:val="00586612"/>
    <w:rsid w:val="0058779F"/>
    <w:rsid w:val="00590B24"/>
    <w:rsid w:val="005942E7"/>
    <w:rsid w:val="0059499C"/>
    <w:rsid w:val="00597D1C"/>
    <w:rsid w:val="005A0C86"/>
    <w:rsid w:val="005A0D64"/>
    <w:rsid w:val="005A128D"/>
    <w:rsid w:val="005A23E8"/>
    <w:rsid w:val="005A277F"/>
    <w:rsid w:val="005A3E8E"/>
    <w:rsid w:val="005B071A"/>
    <w:rsid w:val="005B086C"/>
    <w:rsid w:val="005B3017"/>
    <w:rsid w:val="005B31B6"/>
    <w:rsid w:val="005B41BE"/>
    <w:rsid w:val="005B5BB7"/>
    <w:rsid w:val="005B6F25"/>
    <w:rsid w:val="005B72B8"/>
    <w:rsid w:val="005C090E"/>
    <w:rsid w:val="005C37D5"/>
    <w:rsid w:val="005C37E6"/>
    <w:rsid w:val="005C4B31"/>
    <w:rsid w:val="005C4DB1"/>
    <w:rsid w:val="005C5AE8"/>
    <w:rsid w:val="005D1C25"/>
    <w:rsid w:val="005D7C29"/>
    <w:rsid w:val="005E5640"/>
    <w:rsid w:val="005E568C"/>
    <w:rsid w:val="005E5A07"/>
    <w:rsid w:val="005F0947"/>
    <w:rsid w:val="005F0FAD"/>
    <w:rsid w:val="00600457"/>
    <w:rsid w:val="00602D9D"/>
    <w:rsid w:val="006038B3"/>
    <w:rsid w:val="0060643E"/>
    <w:rsid w:val="006064D9"/>
    <w:rsid w:val="006104C2"/>
    <w:rsid w:val="00611CE4"/>
    <w:rsid w:val="00612919"/>
    <w:rsid w:val="00624D56"/>
    <w:rsid w:val="006262F6"/>
    <w:rsid w:val="00643F0F"/>
    <w:rsid w:val="006458A1"/>
    <w:rsid w:val="006503D4"/>
    <w:rsid w:val="00651AF4"/>
    <w:rsid w:val="0066108C"/>
    <w:rsid w:val="00661DDD"/>
    <w:rsid w:val="006627A0"/>
    <w:rsid w:val="0066540E"/>
    <w:rsid w:val="00671D19"/>
    <w:rsid w:val="00680808"/>
    <w:rsid w:val="00685A9C"/>
    <w:rsid w:val="00686BCD"/>
    <w:rsid w:val="0069553F"/>
    <w:rsid w:val="006962A5"/>
    <w:rsid w:val="00696305"/>
    <w:rsid w:val="0069636B"/>
    <w:rsid w:val="006964D6"/>
    <w:rsid w:val="00697CC7"/>
    <w:rsid w:val="006A1180"/>
    <w:rsid w:val="006A24DD"/>
    <w:rsid w:val="006A2E0C"/>
    <w:rsid w:val="006A6E69"/>
    <w:rsid w:val="006B1D9A"/>
    <w:rsid w:val="006B5F9E"/>
    <w:rsid w:val="006B6EA8"/>
    <w:rsid w:val="006C36C6"/>
    <w:rsid w:val="006C3B1E"/>
    <w:rsid w:val="006C5D23"/>
    <w:rsid w:val="006C76D5"/>
    <w:rsid w:val="006D4977"/>
    <w:rsid w:val="006D4A19"/>
    <w:rsid w:val="006D4D3B"/>
    <w:rsid w:val="006D5ED2"/>
    <w:rsid w:val="006D6B34"/>
    <w:rsid w:val="006D6E42"/>
    <w:rsid w:val="006E00D8"/>
    <w:rsid w:val="006E022A"/>
    <w:rsid w:val="006E0F3E"/>
    <w:rsid w:val="006E3A53"/>
    <w:rsid w:val="006E504D"/>
    <w:rsid w:val="006E51D6"/>
    <w:rsid w:val="006F3381"/>
    <w:rsid w:val="006F424C"/>
    <w:rsid w:val="0070009C"/>
    <w:rsid w:val="00704A0E"/>
    <w:rsid w:val="00706534"/>
    <w:rsid w:val="0070681C"/>
    <w:rsid w:val="00710200"/>
    <w:rsid w:val="00711148"/>
    <w:rsid w:val="007133E2"/>
    <w:rsid w:val="00715D76"/>
    <w:rsid w:val="00720B6A"/>
    <w:rsid w:val="0072549D"/>
    <w:rsid w:val="007307FE"/>
    <w:rsid w:val="00742364"/>
    <w:rsid w:val="00745EF8"/>
    <w:rsid w:val="007524BC"/>
    <w:rsid w:val="00752F38"/>
    <w:rsid w:val="007542F2"/>
    <w:rsid w:val="00756B40"/>
    <w:rsid w:val="00756C38"/>
    <w:rsid w:val="007609C0"/>
    <w:rsid w:val="00761EAD"/>
    <w:rsid w:val="00771A68"/>
    <w:rsid w:val="00775089"/>
    <w:rsid w:val="007750A8"/>
    <w:rsid w:val="00776432"/>
    <w:rsid w:val="0077648B"/>
    <w:rsid w:val="00780BF3"/>
    <w:rsid w:val="00781778"/>
    <w:rsid w:val="00781CE7"/>
    <w:rsid w:val="00795F23"/>
    <w:rsid w:val="00795F7D"/>
    <w:rsid w:val="00795F93"/>
    <w:rsid w:val="007A41B8"/>
    <w:rsid w:val="007A7056"/>
    <w:rsid w:val="007A7631"/>
    <w:rsid w:val="007A77A1"/>
    <w:rsid w:val="007B4666"/>
    <w:rsid w:val="007B734A"/>
    <w:rsid w:val="007C1412"/>
    <w:rsid w:val="007C1891"/>
    <w:rsid w:val="007C215C"/>
    <w:rsid w:val="007D3C83"/>
    <w:rsid w:val="007D5151"/>
    <w:rsid w:val="007E0FF9"/>
    <w:rsid w:val="007E1733"/>
    <w:rsid w:val="007F1816"/>
    <w:rsid w:val="007F4F93"/>
    <w:rsid w:val="007F6159"/>
    <w:rsid w:val="0080303D"/>
    <w:rsid w:val="00805223"/>
    <w:rsid w:val="008052F7"/>
    <w:rsid w:val="008107D1"/>
    <w:rsid w:val="008133F5"/>
    <w:rsid w:val="00820207"/>
    <w:rsid w:val="0082109B"/>
    <w:rsid w:val="00822677"/>
    <w:rsid w:val="00823713"/>
    <w:rsid w:val="0082472C"/>
    <w:rsid w:val="008251DA"/>
    <w:rsid w:val="00831CF8"/>
    <w:rsid w:val="00832CEF"/>
    <w:rsid w:val="0083319C"/>
    <w:rsid w:val="008357CD"/>
    <w:rsid w:val="00840593"/>
    <w:rsid w:val="00840991"/>
    <w:rsid w:val="00841253"/>
    <w:rsid w:val="00842DB7"/>
    <w:rsid w:val="00843069"/>
    <w:rsid w:val="008449CB"/>
    <w:rsid w:val="00846F4B"/>
    <w:rsid w:val="00847BA6"/>
    <w:rsid w:val="00850037"/>
    <w:rsid w:val="0085045E"/>
    <w:rsid w:val="00853C3D"/>
    <w:rsid w:val="008603EF"/>
    <w:rsid w:val="00863649"/>
    <w:rsid w:val="008704D8"/>
    <w:rsid w:val="00870EBA"/>
    <w:rsid w:val="0087249E"/>
    <w:rsid w:val="008728E4"/>
    <w:rsid w:val="00880470"/>
    <w:rsid w:val="008850B2"/>
    <w:rsid w:val="00885F80"/>
    <w:rsid w:val="0089006D"/>
    <w:rsid w:val="008918C8"/>
    <w:rsid w:val="00891B43"/>
    <w:rsid w:val="00893048"/>
    <w:rsid w:val="008933A4"/>
    <w:rsid w:val="0089375C"/>
    <w:rsid w:val="008956D3"/>
    <w:rsid w:val="00895862"/>
    <w:rsid w:val="00895FDB"/>
    <w:rsid w:val="008A24E7"/>
    <w:rsid w:val="008A2AB6"/>
    <w:rsid w:val="008A609A"/>
    <w:rsid w:val="008A7D35"/>
    <w:rsid w:val="008B1241"/>
    <w:rsid w:val="008B1761"/>
    <w:rsid w:val="008B7E0F"/>
    <w:rsid w:val="008C7098"/>
    <w:rsid w:val="008C7FA1"/>
    <w:rsid w:val="008D1FB8"/>
    <w:rsid w:val="008D4819"/>
    <w:rsid w:val="008D7C5B"/>
    <w:rsid w:val="008E0318"/>
    <w:rsid w:val="008E1629"/>
    <w:rsid w:val="008E18DA"/>
    <w:rsid w:val="008E1A2B"/>
    <w:rsid w:val="008E29DC"/>
    <w:rsid w:val="008E2E7B"/>
    <w:rsid w:val="008E3B2F"/>
    <w:rsid w:val="008E50B4"/>
    <w:rsid w:val="008E6791"/>
    <w:rsid w:val="008F0842"/>
    <w:rsid w:val="008F0C1E"/>
    <w:rsid w:val="008F2309"/>
    <w:rsid w:val="008F280D"/>
    <w:rsid w:val="008F3545"/>
    <w:rsid w:val="008F3E99"/>
    <w:rsid w:val="008F4937"/>
    <w:rsid w:val="008F5E9D"/>
    <w:rsid w:val="009033A0"/>
    <w:rsid w:val="00904904"/>
    <w:rsid w:val="0090696D"/>
    <w:rsid w:val="0091213C"/>
    <w:rsid w:val="009153DE"/>
    <w:rsid w:val="00921D39"/>
    <w:rsid w:val="009223BF"/>
    <w:rsid w:val="00922FBC"/>
    <w:rsid w:val="0093559F"/>
    <w:rsid w:val="00937EC2"/>
    <w:rsid w:val="00940146"/>
    <w:rsid w:val="00944038"/>
    <w:rsid w:val="0094451E"/>
    <w:rsid w:val="009528A8"/>
    <w:rsid w:val="00954DAE"/>
    <w:rsid w:val="009636A7"/>
    <w:rsid w:val="00972894"/>
    <w:rsid w:val="009737E7"/>
    <w:rsid w:val="0097483A"/>
    <w:rsid w:val="00976778"/>
    <w:rsid w:val="009773C0"/>
    <w:rsid w:val="00977B93"/>
    <w:rsid w:val="009817D2"/>
    <w:rsid w:val="009830EC"/>
    <w:rsid w:val="009833AB"/>
    <w:rsid w:val="00983D69"/>
    <w:rsid w:val="00985241"/>
    <w:rsid w:val="00994B1D"/>
    <w:rsid w:val="009951F0"/>
    <w:rsid w:val="009A6286"/>
    <w:rsid w:val="009B3011"/>
    <w:rsid w:val="009B68C9"/>
    <w:rsid w:val="009B6A4C"/>
    <w:rsid w:val="009C01B0"/>
    <w:rsid w:val="009C0B5F"/>
    <w:rsid w:val="009C1878"/>
    <w:rsid w:val="009C259C"/>
    <w:rsid w:val="009C6970"/>
    <w:rsid w:val="009D5584"/>
    <w:rsid w:val="009D762E"/>
    <w:rsid w:val="009E453D"/>
    <w:rsid w:val="009E5695"/>
    <w:rsid w:val="009E6D85"/>
    <w:rsid w:val="00A00657"/>
    <w:rsid w:val="00A024FB"/>
    <w:rsid w:val="00A04874"/>
    <w:rsid w:val="00A109D2"/>
    <w:rsid w:val="00A15EC4"/>
    <w:rsid w:val="00A16FD7"/>
    <w:rsid w:val="00A17492"/>
    <w:rsid w:val="00A2054D"/>
    <w:rsid w:val="00A22A0D"/>
    <w:rsid w:val="00A22D5A"/>
    <w:rsid w:val="00A2492B"/>
    <w:rsid w:val="00A30AF7"/>
    <w:rsid w:val="00A331F3"/>
    <w:rsid w:val="00A33F88"/>
    <w:rsid w:val="00A3644D"/>
    <w:rsid w:val="00A42234"/>
    <w:rsid w:val="00A435EF"/>
    <w:rsid w:val="00A446D3"/>
    <w:rsid w:val="00A448E3"/>
    <w:rsid w:val="00A45965"/>
    <w:rsid w:val="00A4601A"/>
    <w:rsid w:val="00A474D9"/>
    <w:rsid w:val="00A51BFA"/>
    <w:rsid w:val="00A53107"/>
    <w:rsid w:val="00A63A78"/>
    <w:rsid w:val="00A67347"/>
    <w:rsid w:val="00A73A73"/>
    <w:rsid w:val="00A77FF6"/>
    <w:rsid w:val="00A83902"/>
    <w:rsid w:val="00A83BCC"/>
    <w:rsid w:val="00A912EA"/>
    <w:rsid w:val="00A93335"/>
    <w:rsid w:val="00A9479C"/>
    <w:rsid w:val="00A951A3"/>
    <w:rsid w:val="00A96997"/>
    <w:rsid w:val="00A96D49"/>
    <w:rsid w:val="00A96E4B"/>
    <w:rsid w:val="00A9796C"/>
    <w:rsid w:val="00A97D7B"/>
    <w:rsid w:val="00AA0E52"/>
    <w:rsid w:val="00AA1655"/>
    <w:rsid w:val="00AA31C7"/>
    <w:rsid w:val="00AA5A33"/>
    <w:rsid w:val="00AA73D2"/>
    <w:rsid w:val="00AA7B76"/>
    <w:rsid w:val="00AB11D4"/>
    <w:rsid w:val="00AB256B"/>
    <w:rsid w:val="00AC0583"/>
    <w:rsid w:val="00AC16C4"/>
    <w:rsid w:val="00AC46DC"/>
    <w:rsid w:val="00AC7FC4"/>
    <w:rsid w:val="00AD1AC8"/>
    <w:rsid w:val="00AD64BE"/>
    <w:rsid w:val="00AE031F"/>
    <w:rsid w:val="00AE06DD"/>
    <w:rsid w:val="00AE38EB"/>
    <w:rsid w:val="00AE6D2A"/>
    <w:rsid w:val="00AF1299"/>
    <w:rsid w:val="00AF1C67"/>
    <w:rsid w:val="00AF67BD"/>
    <w:rsid w:val="00AF69BA"/>
    <w:rsid w:val="00B04858"/>
    <w:rsid w:val="00B05175"/>
    <w:rsid w:val="00B05E0A"/>
    <w:rsid w:val="00B06047"/>
    <w:rsid w:val="00B07B8B"/>
    <w:rsid w:val="00B16C49"/>
    <w:rsid w:val="00B16E4E"/>
    <w:rsid w:val="00B2340D"/>
    <w:rsid w:val="00B243C1"/>
    <w:rsid w:val="00B24614"/>
    <w:rsid w:val="00B31C67"/>
    <w:rsid w:val="00B32676"/>
    <w:rsid w:val="00B328E5"/>
    <w:rsid w:val="00B41BF5"/>
    <w:rsid w:val="00B43120"/>
    <w:rsid w:val="00B44172"/>
    <w:rsid w:val="00B50557"/>
    <w:rsid w:val="00B53520"/>
    <w:rsid w:val="00B6321C"/>
    <w:rsid w:val="00B66219"/>
    <w:rsid w:val="00B7034B"/>
    <w:rsid w:val="00B73E7A"/>
    <w:rsid w:val="00B742DC"/>
    <w:rsid w:val="00B82467"/>
    <w:rsid w:val="00B82C4F"/>
    <w:rsid w:val="00B84C6A"/>
    <w:rsid w:val="00B86438"/>
    <w:rsid w:val="00B86665"/>
    <w:rsid w:val="00B9555F"/>
    <w:rsid w:val="00BA0C35"/>
    <w:rsid w:val="00BA16EB"/>
    <w:rsid w:val="00BA3064"/>
    <w:rsid w:val="00BA30CD"/>
    <w:rsid w:val="00BA4A4A"/>
    <w:rsid w:val="00BA7F59"/>
    <w:rsid w:val="00BB2094"/>
    <w:rsid w:val="00BB5091"/>
    <w:rsid w:val="00BB646E"/>
    <w:rsid w:val="00BC0125"/>
    <w:rsid w:val="00BD076E"/>
    <w:rsid w:val="00BD500B"/>
    <w:rsid w:val="00BD5457"/>
    <w:rsid w:val="00BD6040"/>
    <w:rsid w:val="00BE1F13"/>
    <w:rsid w:val="00BE1F15"/>
    <w:rsid w:val="00BE49FB"/>
    <w:rsid w:val="00BE66D5"/>
    <w:rsid w:val="00BE6722"/>
    <w:rsid w:val="00BF165B"/>
    <w:rsid w:val="00BF2443"/>
    <w:rsid w:val="00BF4887"/>
    <w:rsid w:val="00C04F6B"/>
    <w:rsid w:val="00C05613"/>
    <w:rsid w:val="00C073B9"/>
    <w:rsid w:val="00C122C3"/>
    <w:rsid w:val="00C12749"/>
    <w:rsid w:val="00C16AE8"/>
    <w:rsid w:val="00C16D7B"/>
    <w:rsid w:val="00C201A0"/>
    <w:rsid w:val="00C20224"/>
    <w:rsid w:val="00C21AB9"/>
    <w:rsid w:val="00C22178"/>
    <w:rsid w:val="00C23972"/>
    <w:rsid w:val="00C30D45"/>
    <w:rsid w:val="00C322FB"/>
    <w:rsid w:val="00C34A98"/>
    <w:rsid w:val="00C358F0"/>
    <w:rsid w:val="00C374A8"/>
    <w:rsid w:val="00C42F20"/>
    <w:rsid w:val="00C456A4"/>
    <w:rsid w:val="00C507AB"/>
    <w:rsid w:val="00C51776"/>
    <w:rsid w:val="00C56086"/>
    <w:rsid w:val="00C56AF3"/>
    <w:rsid w:val="00C60B83"/>
    <w:rsid w:val="00C61F8F"/>
    <w:rsid w:val="00C62A80"/>
    <w:rsid w:val="00C648AD"/>
    <w:rsid w:val="00C7083F"/>
    <w:rsid w:val="00C71730"/>
    <w:rsid w:val="00C73107"/>
    <w:rsid w:val="00C73DBE"/>
    <w:rsid w:val="00C75061"/>
    <w:rsid w:val="00C75CB7"/>
    <w:rsid w:val="00C77BC7"/>
    <w:rsid w:val="00C87A74"/>
    <w:rsid w:val="00C92336"/>
    <w:rsid w:val="00C93A44"/>
    <w:rsid w:val="00C94A25"/>
    <w:rsid w:val="00C95FB0"/>
    <w:rsid w:val="00CA0623"/>
    <w:rsid w:val="00CA2838"/>
    <w:rsid w:val="00CA2926"/>
    <w:rsid w:val="00CA6025"/>
    <w:rsid w:val="00CA72B8"/>
    <w:rsid w:val="00CB11C3"/>
    <w:rsid w:val="00CB1D0C"/>
    <w:rsid w:val="00CB2DB0"/>
    <w:rsid w:val="00CB334B"/>
    <w:rsid w:val="00CB3EC5"/>
    <w:rsid w:val="00CB530E"/>
    <w:rsid w:val="00CB665F"/>
    <w:rsid w:val="00CC07B1"/>
    <w:rsid w:val="00CC3D84"/>
    <w:rsid w:val="00CC3E17"/>
    <w:rsid w:val="00CC6A8F"/>
    <w:rsid w:val="00CC7D1F"/>
    <w:rsid w:val="00CD1695"/>
    <w:rsid w:val="00CD7298"/>
    <w:rsid w:val="00CE1BEC"/>
    <w:rsid w:val="00CE30CD"/>
    <w:rsid w:val="00CE467A"/>
    <w:rsid w:val="00CE6ADE"/>
    <w:rsid w:val="00CE75AA"/>
    <w:rsid w:val="00CF0CEE"/>
    <w:rsid w:val="00CF206F"/>
    <w:rsid w:val="00CF3F67"/>
    <w:rsid w:val="00CF4644"/>
    <w:rsid w:val="00CF53E2"/>
    <w:rsid w:val="00CF6B6C"/>
    <w:rsid w:val="00D0381C"/>
    <w:rsid w:val="00D04DCA"/>
    <w:rsid w:val="00D069ED"/>
    <w:rsid w:val="00D2381E"/>
    <w:rsid w:val="00D27175"/>
    <w:rsid w:val="00D279FA"/>
    <w:rsid w:val="00D27BE5"/>
    <w:rsid w:val="00D3353C"/>
    <w:rsid w:val="00D35002"/>
    <w:rsid w:val="00D4230D"/>
    <w:rsid w:val="00D45E91"/>
    <w:rsid w:val="00D50717"/>
    <w:rsid w:val="00D508BC"/>
    <w:rsid w:val="00D5613A"/>
    <w:rsid w:val="00D61ECB"/>
    <w:rsid w:val="00D64487"/>
    <w:rsid w:val="00D678B7"/>
    <w:rsid w:val="00D67DF1"/>
    <w:rsid w:val="00D752E0"/>
    <w:rsid w:val="00D75B72"/>
    <w:rsid w:val="00D83AFD"/>
    <w:rsid w:val="00D96B74"/>
    <w:rsid w:val="00DA07FF"/>
    <w:rsid w:val="00DA0AF6"/>
    <w:rsid w:val="00DA11E6"/>
    <w:rsid w:val="00DA3835"/>
    <w:rsid w:val="00DA441B"/>
    <w:rsid w:val="00DA542B"/>
    <w:rsid w:val="00DA778E"/>
    <w:rsid w:val="00DB166A"/>
    <w:rsid w:val="00DB625A"/>
    <w:rsid w:val="00DB763F"/>
    <w:rsid w:val="00DC175A"/>
    <w:rsid w:val="00DC46F2"/>
    <w:rsid w:val="00DC776B"/>
    <w:rsid w:val="00DD0D84"/>
    <w:rsid w:val="00DD1420"/>
    <w:rsid w:val="00DD159B"/>
    <w:rsid w:val="00DD3297"/>
    <w:rsid w:val="00DD6315"/>
    <w:rsid w:val="00DD6598"/>
    <w:rsid w:val="00DD6AC9"/>
    <w:rsid w:val="00DD7716"/>
    <w:rsid w:val="00DD77D4"/>
    <w:rsid w:val="00DE2256"/>
    <w:rsid w:val="00DE36D5"/>
    <w:rsid w:val="00DE5E0C"/>
    <w:rsid w:val="00DF0DD5"/>
    <w:rsid w:val="00DF31ED"/>
    <w:rsid w:val="00DF4449"/>
    <w:rsid w:val="00DF4912"/>
    <w:rsid w:val="00DF4AFF"/>
    <w:rsid w:val="00DF70E5"/>
    <w:rsid w:val="00E00715"/>
    <w:rsid w:val="00E0090B"/>
    <w:rsid w:val="00E02C42"/>
    <w:rsid w:val="00E04688"/>
    <w:rsid w:val="00E05F6C"/>
    <w:rsid w:val="00E07A37"/>
    <w:rsid w:val="00E14322"/>
    <w:rsid w:val="00E153F6"/>
    <w:rsid w:val="00E1687C"/>
    <w:rsid w:val="00E17563"/>
    <w:rsid w:val="00E17BF6"/>
    <w:rsid w:val="00E214E7"/>
    <w:rsid w:val="00E21A79"/>
    <w:rsid w:val="00E232E8"/>
    <w:rsid w:val="00E252D0"/>
    <w:rsid w:val="00E3135B"/>
    <w:rsid w:val="00E3246C"/>
    <w:rsid w:val="00E326CE"/>
    <w:rsid w:val="00E3270E"/>
    <w:rsid w:val="00E341E7"/>
    <w:rsid w:val="00E406BE"/>
    <w:rsid w:val="00E4453B"/>
    <w:rsid w:val="00E53FFB"/>
    <w:rsid w:val="00E57462"/>
    <w:rsid w:val="00E65122"/>
    <w:rsid w:val="00E65145"/>
    <w:rsid w:val="00E65DE4"/>
    <w:rsid w:val="00E71821"/>
    <w:rsid w:val="00E733A9"/>
    <w:rsid w:val="00E735BB"/>
    <w:rsid w:val="00E7648C"/>
    <w:rsid w:val="00E8105B"/>
    <w:rsid w:val="00E83B6D"/>
    <w:rsid w:val="00E83C26"/>
    <w:rsid w:val="00E857F7"/>
    <w:rsid w:val="00E85BCE"/>
    <w:rsid w:val="00E9072E"/>
    <w:rsid w:val="00E90BAE"/>
    <w:rsid w:val="00E919FC"/>
    <w:rsid w:val="00E91DCD"/>
    <w:rsid w:val="00E91FF2"/>
    <w:rsid w:val="00E964F8"/>
    <w:rsid w:val="00EA1E5C"/>
    <w:rsid w:val="00EA1EDD"/>
    <w:rsid w:val="00EA2B0F"/>
    <w:rsid w:val="00EA3388"/>
    <w:rsid w:val="00EA5E05"/>
    <w:rsid w:val="00EB1863"/>
    <w:rsid w:val="00EB1B11"/>
    <w:rsid w:val="00EB3945"/>
    <w:rsid w:val="00EB600F"/>
    <w:rsid w:val="00EC15F4"/>
    <w:rsid w:val="00EC1B47"/>
    <w:rsid w:val="00EC2BD6"/>
    <w:rsid w:val="00EC396E"/>
    <w:rsid w:val="00EC3B07"/>
    <w:rsid w:val="00EC5F47"/>
    <w:rsid w:val="00EC64FD"/>
    <w:rsid w:val="00ED28D7"/>
    <w:rsid w:val="00ED3CBB"/>
    <w:rsid w:val="00ED522C"/>
    <w:rsid w:val="00ED5CAE"/>
    <w:rsid w:val="00ED725C"/>
    <w:rsid w:val="00EE0687"/>
    <w:rsid w:val="00EE06BF"/>
    <w:rsid w:val="00EE0DDA"/>
    <w:rsid w:val="00EE152C"/>
    <w:rsid w:val="00EE7BFC"/>
    <w:rsid w:val="00EF1891"/>
    <w:rsid w:val="00EF2053"/>
    <w:rsid w:val="00EF2EB4"/>
    <w:rsid w:val="00EF535C"/>
    <w:rsid w:val="00EF5B11"/>
    <w:rsid w:val="00EF6590"/>
    <w:rsid w:val="00EF78B9"/>
    <w:rsid w:val="00EF7CFB"/>
    <w:rsid w:val="00F02123"/>
    <w:rsid w:val="00F063EA"/>
    <w:rsid w:val="00F067F8"/>
    <w:rsid w:val="00F10B81"/>
    <w:rsid w:val="00F169DB"/>
    <w:rsid w:val="00F20B47"/>
    <w:rsid w:val="00F24F07"/>
    <w:rsid w:val="00F25026"/>
    <w:rsid w:val="00F26F8E"/>
    <w:rsid w:val="00F30CEA"/>
    <w:rsid w:val="00F31879"/>
    <w:rsid w:val="00F4098D"/>
    <w:rsid w:val="00F421F8"/>
    <w:rsid w:val="00F43F52"/>
    <w:rsid w:val="00F44A0B"/>
    <w:rsid w:val="00F44D6E"/>
    <w:rsid w:val="00F45883"/>
    <w:rsid w:val="00F45CFF"/>
    <w:rsid w:val="00F50C19"/>
    <w:rsid w:val="00F51E76"/>
    <w:rsid w:val="00F5731E"/>
    <w:rsid w:val="00F57F35"/>
    <w:rsid w:val="00F6028C"/>
    <w:rsid w:val="00F64481"/>
    <w:rsid w:val="00F70AE8"/>
    <w:rsid w:val="00F761F9"/>
    <w:rsid w:val="00F801CF"/>
    <w:rsid w:val="00F80B8D"/>
    <w:rsid w:val="00F823BA"/>
    <w:rsid w:val="00F86A6D"/>
    <w:rsid w:val="00F90DB2"/>
    <w:rsid w:val="00F96B27"/>
    <w:rsid w:val="00FA0ABE"/>
    <w:rsid w:val="00FA1368"/>
    <w:rsid w:val="00FA1660"/>
    <w:rsid w:val="00FA4B06"/>
    <w:rsid w:val="00FA6240"/>
    <w:rsid w:val="00FB1F5A"/>
    <w:rsid w:val="00FC3CB7"/>
    <w:rsid w:val="00FC55E3"/>
    <w:rsid w:val="00FC5B59"/>
    <w:rsid w:val="00FC77CE"/>
    <w:rsid w:val="00FD3BC3"/>
    <w:rsid w:val="00FE4CB0"/>
    <w:rsid w:val="00FE4F40"/>
    <w:rsid w:val="00FF235E"/>
    <w:rsid w:val="00FF7DA2"/>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F5576"/>
  <w15:chartTrackingRefBased/>
  <w15:docId w15:val="{667B8693-8085-4E69-A966-3EE8CC12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4D9"/>
    <w:rPr>
      <w:kern w:val="0"/>
      <w:lang w:val="en-GB"/>
      <w14:ligatures w14:val="none"/>
    </w:rPr>
  </w:style>
  <w:style w:type="paragraph" w:styleId="Heading1">
    <w:name w:val="heading 1"/>
    <w:basedOn w:val="Normal"/>
    <w:next w:val="Normal"/>
    <w:link w:val="Heading1Char"/>
    <w:uiPriority w:val="9"/>
    <w:qFormat/>
    <w:rsid w:val="00C20224"/>
    <w:pPr>
      <w:keepNext/>
      <w:keepLines/>
      <w:spacing w:before="240" w:after="0"/>
      <w:jc w:val="both"/>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295BE4"/>
    <w:pPr>
      <w:keepNext/>
      <w:keepLines/>
      <w:spacing w:before="40" w:after="0"/>
      <w:jc w:val="both"/>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0B37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6064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C20224"/>
    <w:rPr>
      <w:rFonts w:ascii="Arial" w:eastAsiaTheme="majorEastAsia" w:hAnsi="Arial" w:cstheme="majorBidi"/>
      <w:b/>
      <w:kern w:val="0"/>
      <w:sz w:val="24"/>
      <w:szCs w:val="32"/>
      <w:lang w:val="en-GB"/>
      <w14:ligatures w14:val="none"/>
    </w:rPr>
  </w:style>
  <w:style w:type="paragraph" w:styleId="TOCHeading">
    <w:name w:val="TOC Heading"/>
    <w:basedOn w:val="Heading1"/>
    <w:next w:val="Normal"/>
    <w:uiPriority w:val="39"/>
    <w:unhideWhenUsed/>
    <w:qFormat/>
    <w:rsid w:val="006064D9"/>
    <w:pPr>
      <w:outlineLvl w:val="9"/>
    </w:pPr>
    <w:rPr>
      <w:lang w:val="en-US"/>
    </w:rPr>
  </w:style>
  <w:style w:type="paragraph" w:styleId="ListParagraph">
    <w:name w:val="List Paragraph"/>
    <w:aliases w:val="Párrafo de lista1,Colorful List - Accent 11"/>
    <w:basedOn w:val="Normal"/>
    <w:link w:val="ListParagraphChar"/>
    <w:uiPriority w:val="34"/>
    <w:qFormat/>
    <w:rsid w:val="006064D9"/>
    <w:pPr>
      <w:ind w:left="720"/>
      <w:contextualSpacing/>
    </w:pPr>
  </w:style>
  <w:style w:type="paragraph" w:styleId="FootnoteText">
    <w:name w:val="footnote text"/>
    <w:aliases w:val="FA Fu,FA Fu Char,Footnote Text Char Char Char,Footnote Text Char Char Char Char,Footnote Text Char Char Char Char Char,Footnote Text Char Char Char Char Char Char Char Char,Footnote Text Char Char Char Char Char Char,footnote text,Ca"/>
    <w:basedOn w:val="Normal"/>
    <w:link w:val="FootnoteTextChar"/>
    <w:uiPriority w:val="99"/>
    <w:unhideWhenUsed/>
    <w:qFormat/>
    <w:rsid w:val="006064D9"/>
    <w:pPr>
      <w:spacing w:after="0" w:line="240" w:lineRule="auto"/>
    </w:pPr>
    <w:rPr>
      <w:sz w:val="20"/>
      <w:szCs w:val="20"/>
    </w:rPr>
  </w:style>
  <w:style w:type="character" w:customStyle="1" w:styleId="FootnoteTextChar">
    <w:name w:val="Footnote Text Char"/>
    <w:aliases w:val="FA Fu Char1,FA Fu Char Char,Footnote Text Char Char Char Char1,Footnote Text Char Char Char Char Char1,Footnote Text Char Char Char Char Char Char1,Footnote Text Char Char Char Char Char Char Char Char Char,footnote text Char,Ca Char"/>
    <w:basedOn w:val="DefaultParagraphFont"/>
    <w:link w:val="FootnoteText"/>
    <w:uiPriority w:val="99"/>
    <w:rsid w:val="006064D9"/>
    <w:rPr>
      <w:kern w:val="0"/>
      <w:sz w:val="20"/>
      <w:szCs w:val="20"/>
      <w:lang w:val="en-GB"/>
      <w14:ligatures w14:val="none"/>
    </w:rPr>
  </w:style>
  <w:style w:type="character" w:styleId="FootnoteReference">
    <w:name w:val="footnote reference"/>
    <w:aliases w:val="Texto de nota al pie,Footnote number,Footnote Reference Char3,Footnote Reference Char1 Char,Char Char Car Char Car Char Car Char Car Char Car Char Char Char1 Char,Footnote Reference Char Char Char,4_G,Appel note de bas de page"/>
    <w:basedOn w:val="DefaultParagraphFont"/>
    <w:link w:val="AppelnotedebasdepageCharCharCharCharCharCharChar"/>
    <w:uiPriority w:val="99"/>
    <w:unhideWhenUsed/>
    <w:qFormat/>
    <w:rsid w:val="006064D9"/>
    <w:rPr>
      <w:vertAlign w:val="superscript"/>
    </w:rPr>
  </w:style>
  <w:style w:type="paragraph" w:styleId="Header">
    <w:name w:val="header"/>
    <w:basedOn w:val="Normal"/>
    <w:link w:val="HeaderChar"/>
    <w:uiPriority w:val="99"/>
    <w:unhideWhenUsed/>
    <w:rsid w:val="00143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12D"/>
    <w:rPr>
      <w:kern w:val="0"/>
      <w:lang w:val="en-GB"/>
      <w14:ligatures w14:val="none"/>
    </w:rPr>
  </w:style>
  <w:style w:type="paragraph" w:styleId="Footer">
    <w:name w:val="footer"/>
    <w:basedOn w:val="Normal"/>
    <w:link w:val="FooterChar"/>
    <w:uiPriority w:val="99"/>
    <w:unhideWhenUsed/>
    <w:rsid w:val="00143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12D"/>
    <w:rPr>
      <w:kern w:val="0"/>
      <w:lang w:val="en-GB"/>
      <w14:ligatures w14:val="none"/>
    </w:rPr>
  </w:style>
  <w:style w:type="paragraph" w:customStyle="1" w:styleId="AppelnotedebasdepageCharCharCharCharCharCharChar">
    <w:name w:val="Appel note de bas de page Char Char Char Char Char Char Char"/>
    <w:aliases w:val="Appel note de bas de page Char2 Char Char Char Char Char Char Char Char Char,Footnote Reference Char,Appel note de ba...,Appel note de bas de page Char Char Char"/>
    <w:basedOn w:val="Normal"/>
    <w:link w:val="FootnoteReference"/>
    <w:uiPriority w:val="99"/>
    <w:rsid w:val="00B73E7A"/>
    <w:pPr>
      <w:spacing w:after="0" w:line="240" w:lineRule="auto"/>
      <w:jc w:val="both"/>
    </w:pPr>
    <w:rPr>
      <w:kern w:val="2"/>
      <w:vertAlign w:val="superscript"/>
      <w:lang w:val="en-ZA"/>
      <w14:ligatures w14:val="standardContextual"/>
    </w:rPr>
  </w:style>
  <w:style w:type="character" w:customStyle="1" w:styleId="ListParagraphChar">
    <w:name w:val="List Paragraph Char"/>
    <w:aliases w:val="Párrafo de lista1 Char,Colorful List - Accent 11 Char"/>
    <w:link w:val="ListParagraph"/>
    <w:uiPriority w:val="34"/>
    <w:locked/>
    <w:rsid w:val="0070009C"/>
    <w:rPr>
      <w:kern w:val="0"/>
      <w:lang w:val="en-GB"/>
      <w14:ligatures w14:val="none"/>
    </w:rPr>
  </w:style>
  <w:style w:type="paragraph" w:styleId="TOC1">
    <w:name w:val="toc 1"/>
    <w:basedOn w:val="Normal"/>
    <w:next w:val="Normal"/>
    <w:autoRedefine/>
    <w:uiPriority w:val="39"/>
    <w:unhideWhenUsed/>
    <w:rsid w:val="000B373F"/>
    <w:pPr>
      <w:tabs>
        <w:tab w:val="right" w:leader="dot" w:pos="9016"/>
      </w:tabs>
      <w:spacing w:after="100"/>
      <w:ind w:left="567" w:hanging="567"/>
      <w:jc w:val="both"/>
    </w:pPr>
  </w:style>
  <w:style w:type="character" w:styleId="Hyperlink">
    <w:name w:val="Hyperlink"/>
    <w:basedOn w:val="DefaultParagraphFont"/>
    <w:uiPriority w:val="99"/>
    <w:unhideWhenUsed/>
    <w:rsid w:val="00295BE4"/>
    <w:rPr>
      <w:color w:val="0563C1" w:themeColor="hyperlink"/>
      <w:u w:val="single"/>
    </w:rPr>
  </w:style>
  <w:style w:type="character" w:customStyle="1" w:styleId="Heading2Char">
    <w:name w:val="Heading 2 Char"/>
    <w:basedOn w:val="DefaultParagraphFont"/>
    <w:link w:val="Heading2"/>
    <w:uiPriority w:val="9"/>
    <w:rsid w:val="00295BE4"/>
    <w:rPr>
      <w:rFonts w:ascii="Arial" w:eastAsiaTheme="majorEastAsia" w:hAnsi="Arial" w:cstheme="majorBidi"/>
      <w:b/>
      <w:kern w:val="0"/>
      <w:sz w:val="24"/>
      <w:szCs w:val="26"/>
      <w:lang w:val="en-GB"/>
      <w14:ligatures w14:val="none"/>
    </w:rPr>
  </w:style>
  <w:style w:type="paragraph" w:styleId="TOC2">
    <w:name w:val="toc 2"/>
    <w:basedOn w:val="Normal"/>
    <w:next w:val="Normal"/>
    <w:autoRedefine/>
    <w:uiPriority w:val="39"/>
    <w:unhideWhenUsed/>
    <w:rsid w:val="000B373F"/>
    <w:pPr>
      <w:tabs>
        <w:tab w:val="right" w:leader="dot" w:pos="9016"/>
      </w:tabs>
      <w:spacing w:after="100"/>
      <w:ind w:left="1134" w:hanging="567"/>
      <w:jc w:val="both"/>
    </w:pPr>
  </w:style>
  <w:style w:type="paragraph" w:styleId="BalloonText">
    <w:name w:val="Balloon Text"/>
    <w:basedOn w:val="Normal"/>
    <w:link w:val="BalloonTextChar"/>
    <w:uiPriority w:val="99"/>
    <w:semiHidden/>
    <w:unhideWhenUsed/>
    <w:rsid w:val="000D5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C38"/>
    <w:rPr>
      <w:rFonts w:ascii="Segoe UI" w:hAnsi="Segoe UI" w:cs="Segoe UI"/>
      <w:kern w:val="0"/>
      <w:sz w:val="18"/>
      <w:szCs w:val="18"/>
      <w:lang w:val="en-GB"/>
      <w14:ligatures w14:val="none"/>
    </w:rPr>
  </w:style>
  <w:style w:type="character" w:styleId="CommentReference">
    <w:name w:val="annotation reference"/>
    <w:basedOn w:val="DefaultParagraphFont"/>
    <w:uiPriority w:val="99"/>
    <w:semiHidden/>
    <w:unhideWhenUsed/>
    <w:rsid w:val="000D5C38"/>
    <w:rPr>
      <w:sz w:val="16"/>
      <w:szCs w:val="16"/>
    </w:rPr>
  </w:style>
  <w:style w:type="paragraph" w:styleId="CommentText">
    <w:name w:val="annotation text"/>
    <w:basedOn w:val="Normal"/>
    <w:link w:val="CommentTextChar"/>
    <w:uiPriority w:val="99"/>
    <w:unhideWhenUsed/>
    <w:rsid w:val="000D5C38"/>
    <w:pPr>
      <w:spacing w:line="240" w:lineRule="auto"/>
    </w:pPr>
    <w:rPr>
      <w:sz w:val="20"/>
      <w:szCs w:val="20"/>
    </w:rPr>
  </w:style>
  <w:style w:type="character" w:customStyle="1" w:styleId="CommentTextChar">
    <w:name w:val="Comment Text Char"/>
    <w:basedOn w:val="DefaultParagraphFont"/>
    <w:link w:val="CommentText"/>
    <w:uiPriority w:val="99"/>
    <w:rsid w:val="000D5C38"/>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0D5C38"/>
    <w:rPr>
      <w:b/>
      <w:bCs/>
    </w:rPr>
  </w:style>
  <w:style w:type="character" w:customStyle="1" w:styleId="CommentSubjectChar">
    <w:name w:val="Comment Subject Char"/>
    <w:basedOn w:val="CommentTextChar"/>
    <w:link w:val="CommentSubject"/>
    <w:uiPriority w:val="99"/>
    <w:semiHidden/>
    <w:rsid w:val="000D5C38"/>
    <w:rPr>
      <w:b/>
      <w:bCs/>
      <w:kern w:val="0"/>
      <w:sz w:val="20"/>
      <w:szCs w:val="20"/>
      <w:lang w:val="en-GB"/>
      <w14:ligatures w14:val="none"/>
    </w:rPr>
  </w:style>
  <w:style w:type="paragraph" w:styleId="Revision">
    <w:name w:val="Revision"/>
    <w:hidden/>
    <w:uiPriority w:val="99"/>
    <w:semiHidden/>
    <w:rsid w:val="008133F5"/>
    <w:pPr>
      <w:spacing w:after="0" w:line="240" w:lineRule="auto"/>
    </w:pPr>
    <w:rPr>
      <w:kern w:val="0"/>
      <w:lang w:val="en-GB"/>
      <w14:ligatures w14:val="none"/>
    </w:rPr>
  </w:style>
  <w:style w:type="table" w:styleId="TableGrid">
    <w:name w:val="Table Grid"/>
    <w:basedOn w:val="TableNormal"/>
    <w:uiPriority w:val="39"/>
    <w:qFormat/>
    <w:rsid w:val="007C215C"/>
    <w:pPr>
      <w:spacing w:after="0" w:line="240" w:lineRule="auto"/>
    </w:pPr>
    <w:rPr>
      <w:rFonts w:ascii="Arial" w:hAnsi="Arial" w:cs="Leelawadee UI Semilight"/>
      <w:kern w:val="0"/>
      <w:sz w:val="24"/>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B373F"/>
    <w:rPr>
      <w:rFonts w:asciiTheme="majorHAnsi" w:eastAsiaTheme="majorEastAsia" w:hAnsiTheme="majorHAnsi" w:cstheme="majorBidi"/>
      <w:color w:val="1F3763" w:themeColor="accent1" w:themeShade="7F"/>
      <w:kern w:val="0"/>
      <w:sz w:val="24"/>
      <w:szCs w:val="24"/>
      <w:lang w:val="en-GB"/>
      <w14:ligatures w14:val="none"/>
    </w:rPr>
  </w:style>
  <w:style w:type="paragraph" w:styleId="TOC3">
    <w:name w:val="toc 3"/>
    <w:basedOn w:val="Normal"/>
    <w:next w:val="Normal"/>
    <w:autoRedefine/>
    <w:uiPriority w:val="39"/>
    <w:unhideWhenUsed/>
    <w:rsid w:val="000B373F"/>
    <w:pPr>
      <w:tabs>
        <w:tab w:val="right" w:leader="dot" w:pos="9060"/>
      </w:tabs>
      <w:spacing w:after="0" w:line="360" w:lineRule="auto"/>
      <w:ind w:left="1560" w:hanging="426"/>
    </w:pPr>
  </w:style>
  <w:style w:type="character" w:styleId="LineNumber">
    <w:name w:val="line number"/>
    <w:basedOn w:val="DefaultParagraphFont"/>
    <w:uiPriority w:val="99"/>
    <w:semiHidden/>
    <w:unhideWhenUsed/>
    <w:rsid w:val="00602D9D"/>
  </w:style>
  <w:style w:type="paragraph" w:styleId="NoSpacing">
    <w:name w:val="No Spacing"/>
    <w:uiPriority w:val="1"/>
    <w:qFormat/>
    <w:rsid w:val="00BE6722"/>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FFCC1-765D-417D-A8AE-FF6EB2973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25</Pages>
  <Words>6260</Words>
  <Characters>35682</Characters>
  <Application>Microsoft Office Word</Application>
  <DocSecurity>0</DocSecurity>
  <Lines>297</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MM Nare</dc:creator>
  <cp:keywords/>
  <dc:description/>
  <cp:lastModifiedBy>sathish mohan</cp:lastModifiedBy>
  <cp:revision>9</cp:revision>
  <cp:lastPrinted>2023-06-28T14:23:00Z</cp:lastPrinted>
  <dcterms:created xsi:type="dcterms:W3CDTF">2023-08-16T13:06:00Z</dcterms:created>
  <dcterms:modified xsi:type="dcterms:W3CDTF">2025-06-28T18:18:00Z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32302587748211e30dc5f6720de8bbebf476aeb0568802dec73905af77b81bf2</vt:lpwstr>
  </property>
</Properties>
</file>