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74"/>
        <w:gridCol w:w="2167"/>
        <w:gridCol w:w="3164"/>
      </w:tblGrid>
      <w:tr w:rsidR="00B9062A" w:rsidRPr="00071529" w14:paraId="187059A3" w14:textId="77777777" w:rsidTr="005617CB">
        <w:trPr>
          <w:cantSplit/>
          <w:trHeight w:val="1199"/>
        </w:trPr>
        <w:tc>
          <w:tcPr>
            <w:tcW w:w="3174" w:type="dxa"/>
            <w:tcBorders>
              <w:top w:val="single" w:sz="4" w:space="0" w:color="auto"/>
              <w:left w:val="single" w:sz="4" w:space="0" w:color="auto"/>
              <w:bottom w:val="single" w:sz="4" w:space="0" w:color="auto"/>
              <w:right w:val="single" w:sz="4" w:space="0" w:color="auto"/>
            </w:tcBorders>
          </w:tcPr>
          <w:p w14:paraId="559535B9" w14:textId="18AC8098" w:rsidR="00B9062A" w:rsidRPr="00245620" w:rsidRDefault="00B9062A" w:rsidP="00744733">
            <w:pPr>
              <w:rPr>
                <w:b/>
                <w:bCs/>
                <w:sz w:val="24"/>
                <w:szCs w:val="24"/>
                <w:lang w:val="en-US"/>
              </w:rPr>
            </w:pPr>
            <w:r w:rsidRPr="00245620">
              <w:rPr>
                <w:lang w:val="en-US"/>
              </w:rPr>
              <w:br w:type="page"/>
            </w:r>
            <w:r w:rsidRPr="00245620">
              <w:rPr>
                <w:lang w:val="en-US"/>
              </w:rPr>
              <w:br w:type="page"/>
            </w:r>
          </w:p>
          <w:p w14:paraId="583ADC70" w14:textId="77777777" w:rsidR="00B9062A" w:rsidRPr="00071529" w:rsidRDefault="00B9062A" w:rsidP="00744733">
            <w:pPr>
              <w:rPr>
                <w:b/>
                <w:bCs/>
                <w:sz w:val="24"/>
                <w:szCs w:val="24"/>
              </w:rPr>
            </w:pPr>
            <w:r w:rsidRPr="00071529">
              <w:rPr>
                <w:b/>
                <w:sz w:val="24"/>
              </w:rPr>
              <w:t>AFRICAN UNION</w:t>
            </w:r>
          </w:p>
        </w:tc>
        <w:tc>
          <w:tcPr>
            <w:tcW w:w="2167" w:type="dxa"/>
            <w:vMerge w:val="restart"/>
            <w:tcBorders>
              <w:top w:val="single" w:sz="4" w:space="0" w:color="auto"/>
              <w:left w:val="single" w:sz="4" w:space="0" w:color="auto"/>
              <w:bottom w:val="single" w:sz="4" w:space="0" w:color="auto"/>
              <w:right w:val="single" w:sz="4" w:space="0" w:color="auto"/>
            </w:tcBorders>
          </w:tcPr>
          <w:p w14:paraId="6527938B" w14:textId="77777777" w:rsidR="00B9062A" w:rsidRPr="00071529" w:rsidRDefault="00B9062A" w:rsidP="00744733">
            <w:pPr>
              <w:rPr>
                <w:sz w:val="24"/>
                <w:szCs w:val="24"/>
              </w:rPr>
            </w:pPr>
          </w:p>
          <w:p w14:paraId="3A543A0D" w14:textId="77777777" w:rsidR="00B9062A" w:rsidRPr="00071529" w:rsidRDefault="00B9062A" w:rsidP="00744733">
            <w:pPr>
              <w:rPr>
                <w:sz w:val="24"/>
                <w:szCs w:val="24"/>
              </w:rPr>
            </w:pPr>
            <w:r w:rsidRPr="00071529">
              <w:rPr>
                <w:noProof/>
                <w:sz w:val="24"/>
                <w:lang w:val="fr-FR" w:eastAsia="fr-FR"/>
              </w:rPr>
              <w:drawing>
                <wp:anchor distT="0" distB="0" distL="114300" distR="114300" simplePos="0" relativeHeight="251657216" behindDoc="1" locked="0" layoutInCell="1" allowOverlap="1" wp14:anchorId="5FD5CEA6" wp14:editId="4813DB20">
                  <wp:simplePos x="0" y="0"/>
                  <wp:positionH relativeFrom="column">
                    <wp:posOffset>181873</wp:posOffset>
                  </wp:positionH>
                  <wp:positionV relativeFrom="paragraph">
                    <wp:posOffset>31334</wp:posOffset>
                  </wp:positionV>
                  <wp:extent cx="933450" cy="914400"/>
                  <wp:effectExtent l="0" t="0" r="0" b="0"/>
                  <wp:wrapNone/>
                  <wp:docPr id="1" name="Picture 1"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U Cour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4" w:type="dxa"/>
            <w:tcBorders>
              <w:top w:val="single" w:sz="4" w:space="0" w:color="auto"/>
              <w:left w:val="single" w:sz="4" w:space="0" w:color="auto"/>
              <w:bottom w:val="single" w:sz="4" w:space="0" w:color="auto"/>
              <w:right w:val="single" w:sz="4" w:space="0" w:color="auto"/>
            </w:tcBorders>
          </w:tcPr>
          <w:p w14:paraId="4C43D68B" w14:textId="77777777" w:rsidR="00B9062A" w:rsidRPr="00071529" w:rsidRDefault="00B9062A" w:rsidP="00744733">
            <w:pPr>
              <w:rPr>
                <w:b/>
                <w:bCs/>
                <w:sz w:val="24"/>
                <w:szCs w:val="24"/>
              </w:rPr>
            </w:pPr>
          </w:p>
          <w:p w14:paraId="618A79D2" w14:textId="77777777" w:rsidR="00B9062A" w:rsidRPr="00071529" w:rsidRDefault="00B9062A" w:rsidP="00744733">
            <w:pPr>
              <w:rPr>
                <w:b/>
                <w:bCs/>
                <w:sz w:val="24"/>
                <w:szCs w:val="24"/>
              </w:rPr>
            </w:pPr>
            <w:r w:rsidRPr="00071529">
              <w:rPr>
                <w:b/>
                <w:sz w:val="24"/>
              </w:rPr>
              <w:t>AFRICAN UNION</w:t>
            </w:r>
          </w:p>
        </w:tc>
      </w:tr>
      <w:tr w:rsidR="00B9062A" w:rsidRPr="00071529" w14:paraId="05A29873" w14:textId="77777777" w:rsidTr="00A07081">
        <w:trPr>
          <w:cantSplit/>
          <w:trHeight w:val="1061"/>
        </w:trPr>
        <w:tc>
          <w:tcPr>
            <w:tcW w:w="3174" w:type="dxa"/>
            <w:tcBorders>
              <w:top w:val="single" w:sz="4" w:space="0" w:color="auto"/>
              <w:left w:val="single" w:sz="4" w:space="0" w:color="auto"/>
              <w:bottom w:val="single" w:sz="4" w:space="0" w:color="auto"/>
              <w:right w:val="single" w:sz="4" w:space="0" w:color="auto"/>
            </w:tcBorders>
            <w:hideMark/>
          </w:tcPr>
          <w:p w14:paraId="292B8EB8" w14:textId="77777777" w:rsidR="00B9062A" w:rsidRPr="00071529" w:rsidRDefault="00000000" w:rsidP="00744733">
            <w:pPr>
              <w:rPr>
                <w:sz w:val="24"/>
                <w:szCs w:val="24"/>
              </w:rPr>
            </w:pPr>
            <w:r>
              <w:rPr>
                <w:sz w:val="24"/>
              </w:rPr>
              <w:object w:dxaOrig="1440" w:dyaOrig="1440" w14:anchorId="351CF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3.35pt;margin-top:9.6pt;width:94.2pt;height:28.2pt;z-index:-251658240;mso-wrap-edited:f;mso-width-percent:0;mso-height-percent:0;mso-position-horizontal-relative:text;mso-position-vertical-relative:text;mso-width-percent:0;mso-height-percent:0;mso-width-relative:page;mso-height-relative:page">
                  <v:imagedata r:id="rId9" o:title=""/>
                </v:shape>
                <o:OLEObject Type="Embed" ProgID="PBrush" ShapeID="_x0000_s2050" DrawAspect="Content" ObjectID="_1812640547" r:id="rId10"/>
              </w:object>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070EEDC8" w14:textId="77777777" w:rsidR="00B9062A" w:rsidRPr="00071529" w:rsidRDefault="00B9062A" w:rsidP="00744733">
            <w:pPr>
              <w:rPr>
                <w:sz w:val="24"/>
                <w:szCs w:val="24"/>
              </w:rPr>
            </w:pPr>
          </w:p>
        </w:tc>
        <w:tc>
          <w:tcPr>
            <w:tcW w:w="3164" w:type="dxa"/>
            <w:tcBorders>
              <w:top w:val="single" w:sz="4" w:space="0" w:color="auto"/>
              <w:left w:val="single" w:sz="4" w:space="0" w:color="auto"/>
              <w:bottom w:val="single" w:sz="4" w:space="0" w:color="auto"/>
              <w:right w:val="single" w:sz="4" w:space="0" w:color="auto"/>
            </w:tcBorders>
          </w:tcPr>
          <w:p w14:paraId="62C4C954" w14:textId="77777777" w:rsidR="00B9062A" w:rsidRPr="00071529" w:rsidRDefault="00B9062A" w:rsidP="00744733">
            <w:pPr>
              <w:rPr>
                <w:b/>
                <w:bCs/>
                <w:sz w:val="24"/>
                <w:szCs w:val="24"/>
              </w:rPr>
            </w:pPr>
          </w:p>
          <w:p w14:paraId="326C73C8" w14:textId="77777777" w:rsidR="00B9062A" w:rsidRPr="00071529" w:rsidRDefault="00B9062A" w:rsidP="00744733">
            <w:pPr>
              <w:rPr>
                <w:b/>
                <w:bCs/>
                <w:sz w:val="24"/>
                <w:szCs w:val="24"/>
              </w:rPr>
            </w:pPr>
            <w:r w:rsidRPr="00071529">
              <w:rPr>
                <w:b/>
                <w:sz w:val="24"/>
              </w:rPr>
              <w:t>UNIÃO AFRICANA</w:t>
            </w:r>
          </w:p>
        </w:tc>
      </w:tr>
      <w:tr w:rsidR="00B9062A" w:rsidRPr="00041A9D" w14:paraId="43C6103E" w14:textId="77777777" w:rsidTr="00A07081">
        <w:trPr>
          <w:cantSplit/>
          <w:trHeight w:val="1169"/>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49BF309E" w14:textId="77777777" w:rsidR="00B9062A" w:rsidRPr="00071529" w:rsidRDefault="00B9062A" w:rsidP="00744733">
            <w:pPr>
              <w:rPr>
                <w:b/>
                <w:sz w:val="24"/>
                <w:szCs w:val="24"/>
              </w:rPr>
            </w:pPr>
            <w:bookmarkStart w:id="0" w:name="_Hlk132878643"/>
            <w:r w:rsidRPr="00071529">
              <w:rPr>
                <w:b/>
                <w:sz w:val="24"/>
              </w:rPr>
              <w:t>AFRICAN COURT ON HUMAN AND PEOPLES' RIGHTS</w:t>
            </w:r>
          </w:p>
          <w:bookmarkEnd w:id="0"/>
          <w:p w14:paraId="46B90A1F" w14:textId="77777777" w:rsidR="00B9062A" w:rsidRPr="00071529" w:rsidRDefault="00B9062A" w:rsidP="00744733">
            <w:pPr>
              <w:rPr>
                <w:b/>
                <w:sz w:val="24"/>
                <w:szCs w:val="24"/>
                <w:lang w:val="fr-FR"/>
              </w:rPr>
            </w:pPr>
            <w:r w:rsidRPr="00071529">
              <w:rPr>
                <w:b/>
                <w:sz w:val="24"/>
                <w:lang w:val="fr-FR"/>
              </w:rPr>
              <w:t>COURS AFRICAINE DES DROITS DE L’HOMME ET DES PEUPLES</w:t>
            </w:r>
          </w:p>
        </w:tc>
      </w:tr>
    </w:tbl>
    <w:p w14:paraId="60A413FC" w14:textId="7B6A13D2" w:rsidR="00651965" w:rsidRPr="00071529" w:rsidRDefault="00651965" w:rsidP="00744733">
      <w:pPr>
        <w:rPr>
          <w:b/>
          <w:lang w:val="fr-FR"/>
        </w:rPr>
      </w:pPr>
    </w:p>
    <w:p w14:paraId="0D43B37D" w14:textId="0786F55A" w:rsidR="00B9062A" w:rsidRPr="00071529" w:rsidRDefault="009854DE" w:rsidP="00744733">
      <w:pPr>
        <w:rPr>
          <w:b/>
          <w:sz w:val="24"/>
          <w:szCs w:val="24"/>
          <w:lang w:val="fr-FR"/>
        </w:rPr>
      </w:pPr>
      <w:r w:rsidRPr="00071529">
        <w:rPr>
          <w:b/>
          <w:sz w:val="24"/>
          <w:lang w:val="fr-FR"/>
        </w:rPr>
        <w:tab/>
      </w:r>
      <w:r w:rsidR="00651965" w:rsidRPr="00071529">
        <w:rPr>
          <w:b/>
          <w:sz w:val="24"/>
          <w:lang w:val="fr-FR"/>
        </w:rPr>
        <w:t xml:space="preserve"> </w:t>
      </w:r>
    </w:p>
    <w:p w14:paraId="13E2E421" w14:textId="77777777" w:rsidR="00B9062A" w:rsidRPr="00071529" w:rsidRDefault="00B9062A" w:rsidP="00744733">
      <w:pPr>
        <w:rPr>
          <w:b/>
          <w:sz w:val="24"/>
          <w:szCs w:val="24"/>
          <w:lang w:val="fr-FR"/>
        </w:rPr>
      </w:pPr>
    </w:p>
    <w:p w14:paraId="104435D5" w14:textId="215BF290" w:rsidR="00B9062A" w:rsidRPr="00071529" w:rsidRDefault="00B9062A" w:rsidP="00744733">
      <w:pPr>
        <w:rPr>
          <w:b/>
          <w:sz w:val="24"/>
        </w:rPr>
      </w:pPr>
      <w:r w:rsidRPr="00071529">
        <w:rPr>
          <w:b/>
          <w:sz w:val="24"/>
        </w:rPr>
        <w:t>THE MATTER OF</w:t>
      </w:r>
    </w:p>
    <w:p w14:paraId="5F754EDC" w14:textId="77777777" w:rsidR="00651965" w:rsidRPr="00071529" w:rsidRDefault="00651965" w:rsidP="00744733">
      <w:pPr>
        <w:rPr>
          <w:b/>
          <w:sz w:val="24"/>
        </w:rPr>
      </w:pPr>
    </w:p>
    <w:p w14:paraId="23D1DBA9" w14:textId="77777777" w:rsidR="00B9062A" w:rsidRPr="00071529" w:rsidRDefault="00B9062A" w:rsidP="00744733">
      <w:pPr>
        <w:rPr>
          <w:b/>
          <w:sz w:val="12"/>
          <w:szCs w:val="16"/>
        </w:rPr>
      </w:pPr>
    </w:p>
    <w:p w14:paraId="13DFD4F3" w14:textId="62A525AF" w:rsidR="00B9062A" w:rsidRPr="00071529" w:rsidRDefault="00523A26" w:rsidP="00744733">
      <w:pPr>
        <w:rPr>
          <w:rFonts w:eastAsia="Arial"/>
          <w:b/>
          <w:sz w:val="24"/>
          <w:szCs w:val="24"/>
        </w:rPr>
      </w:pPr>
      <w:bookmarkStart w:id="1" w:name="_Hlk130476362"/>
      <w:r w:rsidRPr="00071529">
        <w:rPr>
          <w:b/>
          <w:sz w:val="24"/>
        </w:rPr>
        <w:t>MARWA R</w:t>
      </w:r>
      <w:r w:rsidR="00041A9D">
        <w:rPr>
          <w:b/>
          <w:sz w:val="24"/>
        </w:rPr>
        <w:t>U</w:t>
      </w:r>
      <w:r w:rsidRPr="00071529">
        <w:rPr>
          <w:b/>
          <w:sz w:val="24"/>
        </w:rPr>
        <w:t xml:space="preserve">GUMBA KISIRI </w:t>
      </w:r>
    </w:p>
    <w:bookmarkEnd w:id="1"/>
    <w:p w14:paraId="0909440E" w14:textId="77777777" w:rsidR="00651965" w:rsidRPr="00071529" w:rsidRDefault="00651965" w:rsidP="00744733">
      <w:pPr>
        <w:rPr>
          <w:b/>
          <w:sz w:val="12"/>
          <w:szCs w:val="16"/>
        </w:rPr>
      </w:pPr>
    </w:p>
    <w:p w14:paraId="0CF92787" w14:textId="0E399CF6" w:rsidR="00B9062A" w:rsidRPr="00071529" w:rsidRDefault="00A07081" w:rsidP="00744733">
      <w:pPr>
        <w:rPr>
          <w:b/>
          <w:sz w:val="24"/>
          <w:szCs w:val="24"/>
        </w:rPr>
      </w:pPr>
      <w:r w:rsidRPr="00071529">
        <w:rPr>
          <w:b/>
          <w:sz w:val="24"/>
        </w:rPr>
        <w:t>V.</w:t>
      </w:r>
    </w:p>
    <w:p w14:paraId="5010A5C8" w14:textId="77777777" w:rsidR="00651965" w:rsidRPr="00071529" w:rsidRDefault="00651965" w:rsidP="00744733">
      <w:pPr>
        <w:rPr>
          <w:b/>
        </w:rPr>
      </w:pPr>
    </w:p>
    <w:p w14:paraId="4D6E10D4" w14:textId="77777777" w:rsidR="00B9062A" w:rsidRPr="00071529" w:rsidRDefault="00B9062A" w:rsidP="00744733">
      <w:pPr>
        <w:rPr>
          <w:b/>
          <w:sz w:val="12"/>
          <w:szCs w:val="16"/>
        </w:rPr>
      </w:pPr>
    </w:p>
    <w:p w14:paraId="128863FE" w14:textId="29B4CCB7" w:rsidR="00B9062A" w:rsidRPr="00071529" w:rsidRDefault="00B9062A" w:rsidP="00744733">
      <w:pPr>
        <w:rPr>
          <w:b/>
          <w:sz w:val="24"/>
        </w:rPr>
      </w:pPr>
      <w:r w:rsidRPr="00071529">
        <w:rPr>
          <w:b/>
          <w:sz w:val="24"/>
        </w:rPr>
        <w:t xml:space="preserve">UNITED REPUBLIC OF TANZANIA </w:t>
      </w:r>
    </w:p>
    <w:p w14:paraId="181E40E7" w14:textId="77777777" w:rsidR="00651965" w:rsidRPr="00071529" w:rsidRDefault="00651965" w:rsidP="00744733">
      <w:pPr>
        <w:rPr>
          <w:b/>
          <w:sz w:val="24"/>
        </w:rPr>
      </w:pPr>
    </w:p>
    <w:p w14:paraId="1570CBFC" w14:textId="77777777" w:rsidR="00B9062A" w:rsidRPr="00071529" w:rsidRDefault="00B9062A" w:rsidP="00744733">
      <w:pPr>
        <w:rPr>
          <w:b/>
          <w:sz w:val="12"/>
          <w:szCs w:val="16"/>
        </w:rPr>
      </w:pPr>
    </w:p>
    <w:p w14:paraId="234E4BAE" w14:textId="5FFBFACB" w:rsidR="00B9062A" w:rsidRPr="00071529" w:rsidRDefault="00B9062A" w:rsidP="00744733">
      <w:pPr>
        <w:rPr>
          <w:rFonts w:eastAsia="Arial"/>
          <w:b/>
          <w:sz w:val="24"/>
          <w:szCs w:val="24"/>
        </w:rPr>
      </w:pPr>
      <w:r w:rsidRPr="00071529">
        <w:rPr>
          <w:b/>
          <w:sz w:val="24"/>
        </w:rPr>
        <w:t>APPLICATION NO. 027/2016</w:t>
      </w:r>
    </w:p>
    <w:p w14:paraId="0AC7CE06" w14:textId="77777777" w:rsidR="00651965" w:rsidRPr="00071529" w:rsidRDefault="00651965" w:rsidP="00744733">
      <w:pPr>
        <w:rPr>
          <w:b/>
          <w:sz w:val="24"/>
          <w:szCs w:val="24"/>
        </w:rPr>
      </w:pPr>
    </w:p>
    <w:p w14:paraId="0DBA107B" w14:textId="77777777" w:rsidR="00B9062A" w:rsidRPr="00071529" w:rsidRDefault="00B9062A" w:rsidP="00744733">
      <w:pPr>
        <w:rPr>
          <w:b/>
          <w:sz w:val="24"/>
          <w:szCs w:val="24"/>
        </w:rPr>
      </w:pPr>
    </w:p>
    <w:p w14:paraId="3616EFFD" w14:textId="53473A25" w:rsidR="00B9062A" w:rsidRPr="00071529" w:rsidRDefault="00A07081" w:rsidP="00744733">
      <w:pPr>
        <w:rPr>
          <w:b/>
          <w:sz w:val="24"/>
          <w:szCs w:val="24"/>
        </w:rPr>
      </w:pPr>
      <w:r w:rsidRPr="00071529">
        <w:rPr>
          <w:b/>
          <w:sz w:val="24"/>
          <w:szCs w:val="24"/>
        </w:rPr>
        <w:t>JUDGMENT</w:t>
      </w:r>
    </w:p>
    <w:p w14:paraId="3B938645" w14:textId="77777777" w:rsidR="00B87447" w:rsidRPr="00071529" w:rsidRDefault="00B87447" w:rsidP="00744733">
      <w:pPr>
        <w:rPr>
          <w:b/>
          <w:sz w:val="24"/>
          <w:szCs w:val="24"/>
        </w:rPr>
      </w:pPr>
    </w:p>
    <w:p w14:paraId="0D870714" w14:textId="77777777" w:rsidR="00B87447" w:rsidRPr="00071529" w:rsidRDefault="00B87447" w:rsidP="00744733">
      <w:pPr>
        <w:rPr>
          <w:b/>
          <w:sz w:val="24"/>
          <w:szCs w:val="24"/>
        </w:rPr>
      </w:pPr>
    </w:p>
    <w:p w14:paraId="4DC5E4B1" w14:textId="16B8D6ED" w:rsidR="00B87447" w:rsidRPr="00071529" w:rsidRDefault="00A07081" w:rsidP="00744733">
      <w:pPr>
        <w:rPr>
          <w:b/>
          <w:sz w:val="24"/>
          <w:szCs w:val="24"/>
        </w:rPr>
      </w:pPr>
      <w:r w:rsidRPr="00071529">
        <w:rPr>
          <w:b/>
          <w:sz w:val="24"/>
          <w:szCs w:val="24"/>
        </w:rPr>
        <w:t>5 S</w:t>
      </w:r>
      <w:r w:rsidR="00DD1F18" w:rsidRPr="00071529">
        <w:rPr>
          <w:b/>
          <w:sz w:val="24"/>
          <w:szCs w:val="24"/>
        </w:rPr>
        <w:t>EPTEMBER</w:t>
      </w:r>
      <w:r w:rsidRPr="00071529">
        <w:rPr>
          <w:b/>
          <w:sz w:val="24"/>
          <w:szCs w:val="24"/>
        </w:rPr>
        <w:t xml:space="preserve"> 2023</w:t>
      </w:r>
    </w:p>
    <w:p w14:paraId="21BA5B13" w14:textId="77777777" w:rsidR="00651965" w:rsidRPr="00071529" w:rsidRDefault="00651965" w:rsidP="00744733">
      <w:pPr>
        <w:rPr>
          <w:b/>
          <w:sz w:val="24"/>
          <w:szCs w:val="24"/>
        </w:rPr>
      </w:pPr>
    </w:p>
    <w:p w14:paraId="29018452" w14:textId="77777777" w:rsidR="00B9062A" w:rsidRPr="00071529" w:rsidRDefault="00B9062A" w:rsidP="00744733">
      <w:pPr>
        <w:rPr>
          <w:b/>
          <w:sz w:val="24"/>
          <w:szCs w:val="24"/>
        </w:rPr>
      </w:pPr>
    </w:p>
    <w:p w14:paraId="22CAF997" w14:textId="77777777" w:rsidR="00B9062A" w:rsidRPr="00071529" w:rsidRDefault="00B9062A" w:rsidP="00744733">
      <w:pPr>
        <w:rPr>
          <w:i/>
          <w:iCs/>
          <w:kern w:val="1"/>
          <w:sz w:val="24"/>
          <w:szCs w:val="24"/>
        </w:rPr>
        <w:sectPr w:rsidR="00B9062A" w:rsidRPr="00071529" w:rsidSect="00AC5696">
          <w:footerReference w:type="default" r:id="rId11"/>
          <w:type w:val="continuous"/>
          <w:pgSz w:w="11906" w:h="16838" w:code="9"/>
          <w:pgMar w:top="1276" w:right="1418" w:bottom="1134" w:left="1418" w:header="709" w:footer="709" w:gutter="0"/>
          <w:cols w:space="708"/>
          <w:titlePg/>
          <w:docGrid w:linePitch="360"/>
        </w:sectPr>
      </w:pPr>
    </w:p>
    <w:p w14:paraId="3F5B845E" w14:textId="34F1ED6E" w:rsidR="00AD4A3C" w:rsidRPr="00071529" w:rsidRDefault="00AD4A3C" w:rsidP="00744733">
      <w:pPr>
        <w:rPr>
          <w:sz w:val="24"/>
          <w:szCs w:val="24"/>
        </w:rPr>
      </w:pPr>
      <w:bookmarkStart w:id="2" w:name="_Toc143519677"/>
      <w:r w:rsidRPr="00071529">
        <w:rPr>
          <w:sz w:val="24"/>
        </w:rPr>
        <w:lastRenderedPageBreak/>
        <w:t>TABLE OF CONTENTS</w:t>
      </w:r>
      <w:bookmarkEnd w:id="2"/>
    </w:p>
    <w:p w14:paraId="217442B7" w14:textId="77777777" w:rsidR="007556B8" w:rsidRPr="00071529" w:rsidRDefault="007556B8" w:rsidP="00744733"/>
    <w:sdt>
      <w:sdtPr>
        <w:id w:val="-1082061575"/>
        <w:docPartObj>
          <w:docPartGallery w:val="Table of Contents"/>
          <w:docPartUnique/>
        </w:docPartObj>
      </w:sdtPr>
      <w:sdtEndPr>
        <w:rPr>
          <w:b/>
          <w:bCs/>
          <w:noProof/>
        </w:rPr>
      </w:sdtEndPr>
      <w:sdtContent>
        <w:p w14:paraId="40A4BC12" w14:textId="11B75EDF" w:rsidR="00B53985" w:rsidRPr="00071529" w:rsidRDefault="00B53985" w:rsidP="00744733">
          <w:pPr>
            <w:rPr>
              <w:color w:val="000000" w:themeColor="text1"/>
              <w:lang w:val="fr-FR"/>
            </w:rPr>
          </w:pPr>
        </w:p>
        <w:p w14:paraId="24F737C9" w14:textId="3D053541" w:rsidR="00B6540D" w:rsidRPr="00071529" w:rsidRDefault="00B53985" w:rsidP="00744733">
          <w:pPr>
            <w:rPr>
              <w:rFonts w:eastAsiaTheme="minorEastAsia"/>
              <w:noProof/>
              <w:kern w:val="2"/>
              <w:lang w:val="en-US"/>
              <w14:ligatures w14:val="standardContextual"/>
            </w:rPr>
          </w:pPr>
          <w:r w:rsidRPr="00071529">
            <w:fldChar w:fldCharType="begin"/>
          </w:r>
          <w:r w:rsidRPr="00071529">
            <w:instrText xml:space="preserve"> TOC \o "1-3" \h \z \u </w:instrText>
          </w:r>
          <w:r w:rsidRPr="00071529">
            <w:fldChar w:fldCharType="separate"/>
          </w:r>
          <w:hyperlink w:anchor="_Toc143519677" w:history="1">
            <w:r w:rsidR="00B6540D" w:rsidRPr="00071529">
              <w:rPr>
                <w:rStyle w:val="Hyperlink"/>
                <w:rFonts w:ascii="Arial" w:hAnsi="Arial" w:cs="Arial"/>
                <w:noProof/>
              </w:rPr>
              <w:t>TABLE OF CONTENTS</w:t>
            </w:r>
            <w:r w:rsidR="00B6540D" w:rsidRPr="00071529">
              <w:rPr>
                <w:noProof/>
                <w:webHidden/>
              </w:rPr>
              <w:tab/>
            </w:r>
            <w:r w:rsidR="00B6540D" w:rsidRPr="00071529">
              <w:rPr>
                <w:noProof/>
                <w:webHidden/>
              </w:rPr>
              <w:fldChar w:fldCharType="begin"/>
            </w:r>
            <w:r w:rsidR="00B6540D" w:rsidRPr="00071529">
              <w:rPr>
                <w:noProof/>
                <w:webHidden/>
              </w:rPr>
              <w:instrText xml:space="preserve"> PAGEREF _Toc143519677 \h </w:instrText>
            </w:r>
            <w:r w:rsidR="00B6540D" w:rsidRPr="00071529">
              <w:rPr>
                <w:noProof/>
                <w:webHidden/>
              </w:rPr>
            </w:r>
            <w:r w:rsidR="00B6540D" w:rsidRPr="00071529">
              <w:rPr>
                <w:noProof/>
                <w:webHidden/>
              </w:rPr>
              <w:fldChar w:fldCharType="separate"/>
            </w:r>
            <w:r w:rsidR="00B6540D" w:rsidRPr="00071529">
              <w:rPr>
                <w:noProof/>
                <w:webHidden/>
              </w:rPr>
              <w:t>i</w:t>
            </w:r>
            <w:r w:rsidR="00B6540D" w:rsidRPr="00071529">
              <w:rPr>
                <w:noProof/>
                <w:webHidden/>
              </w:rPr>
              <w:fldChar w:fldCharType="end"/>
            </w:r>
          </w:hyperlink>
        </w:p>
        <w:p w14:paraId="3B23D5BD" w14:textId="03A14493" w:rsidR="00B6540D" w:rsidRPr="00071529" w:rsidRDefault="00B6540D" w:rsidP="00744733">
          <w:pPr>
            <w:rPr>
              <w:rFonts w:eastAsiaTheme="minorEastAsia"/>
              <w:noProof/>
              <w:kern w:val="2"/>
              <w:lang w:val="en-US"/>
              <w14:ligatures w14:val="standardContextual"/>
            </w:rPr>
          </w:pPr>
          <w:hyperlink w:anchor="_Toc143519678" w:history="1">
            <w:r w:rsidRPr="00071529">
              <w:rPr>
                <w:rStyle w:val="Hyperlink"/>
                <w:rFonts w:ascii="Arial" w:hAnsi="Arial" w:cs="Arial"/>
                <w:bCs/>
                <w:noProof/>
              </w:rPr>
              <w:t>I.</w:t>
            </w:r>
            <w:r w:rsidRPr="00071529">
              <w:rPr>
                <w:rFonts w:eastAsiaTheme="minorEastAsia"/>
                <w:noProof/>
                <w:kern w:val="2"/>
                <w:lang w:val="en-US"/>
                <w14:ligatures w14:val="standardContextual"/>
              </w:rPr>
              <w:tab/>
            </w:r>
            <w:r w:rsidRPr="00071529">
              <w:rPr>
                <w:rStyle w:val="Hyperlink"/>
                <w:rFonts w:ascii="Arial" w:hAnsi="Arial" w:cs="Arial"/>
                <w:noProof/>
              </w:rPr>
              <w:t>THE PARTIES</w:t>
            </w:r>
            <w:r w:rsidRPr="00071529">
              <w:rPr>
                <w:noProof/>
                <w:webHidden/>
              </w:rPr>
              <w:tab/>
            </w:r>
            <w:r w:rsidRPr="00071529">
              <w:rPr>
                <w:noProof/>
                <w:webHidden/>
              </w:rPr>
              <w:fldChar w:fldCharType="begin"/>
            </w:r>
            <w:r w:rsidRPr="00071529">
              <w:rPr>
                <w:noProof/>
                <w:webHidden/>
              </w:rPr>
              <w:instrText xml:space="preserve"> PAGEREF _Toc143519678 \h </w:instrText>
            </w:r>
            <w:r w:rsidRPr="00071529">
              <w:rPr>
                <w:noProof/>
                <w:webHidden/>
              </w:rPr>
            </w:r>
            <w:r w:rsidRPr="00071529">
              <w:rPr>
                <w:noProof/>
                <w:webHidden/>
              </w:rPr>
              <w:fldChar w:fldCharType="separate"/>
            </w:r>
            <w:r w:rsidRPr="00071529">
              <w:rPr>
                <w:noProof/>
                <w:webHidden/>
              </w:rPr>
              <w:t>2</w:t>
            </w:r>
            <w:r w:rsidRPr="00071529">
              <w:rPr>
                <w:noProof/>
                <w:webHidden/>
              </w:rPr>
              <w:fldChar w:fldCharType="end"/>
            </w:r>
          </w:hyperlink>
        </w:p>
        <w:p w14:paraId="68CB8495" w14:textId="2A31CE9E" w:rsidR="00B6540D" w:rsidRPr="00071529" w:rsidRDefault="00B6540D" w:rsidP="00744733">
          <w:pPr>
            <w:rPr>
              <w:rFonts w:eastAsiaTheme="minorEastAsia"/>
              <w:noProof/>
              <w:kern w:val="2"/>
              <w:lang w:val="en-US"/>
              <w14:ligatures w14:val="standardContextual"/>
            </w:rPr>
          </w:pPr>
          <w:hyperlink w:anchor="_Toc143519679" w:history="1">
            <w:r w:rsidRPr="00071529">
              <w:rPr>
                <w:rStyle w:val="Hyperlink"/>
                <w:rFonts w:ascii="Arial" w:hAnsi="Arial" w:cs="Arial"/>
                <w:bCs/>
                <w:noProof/>
              </w:rPr>
              <w:t>II.</w:t>
            </w:r>
            <w:r w:rsidRPr="00071529">
              <w:rPr>
                <w:rFonts w:eastAsiaTheme="minorEastAsia"/>
                <w:noProof/>
                <w:kern w:val="2"/>
                <w:lang w:val="en-US"/>
                <w14:ligatures w14:val="standardContextual"/>
              </w:rPr>
              <w:tab/>
            </w:r>
            <w:r w:rsidRPr="00071529">
              <w:rPr>
                <w:rStyle w:val="Hyperlink"/>
                <w:rFonts w:ascii="Arial" w:hAnsi="Arial" w:cs="Arial"/>
                <w:noProof/>
              </w:rPr>
              <w:t>SUBJECT OF THE APPLICATION</w:t>
            </w:r>
            <w:r w:rsidRPr="00071529">
              <w:rPr>
                <w:noProof/>
                <w:webHidden/>
              </w:rPr>
              <w:tab/>
            </w:r>
            <w:r w:rsidRPr="00071529">
              <w:rPr>
                <w:noProof/>
                <w:webHidden/>
              </w:rPr>
              <w:fldChar w:fldCharType="begin"/>
            </w:r>
            <w:r w:rsidRPr="00071529">
              <w:rPr>
                <w:noProof/>
                <w:webHidden/>
              </w:rPr>
              <w:instrText xml:space="preserve"> PAGEREF _Toc143519679 \h </w:instrText>
            </w:r>
            <w:r w:rsidRPr="00071529">
              <w:rPr>
                <w:noProof/>
                <w:webHidden/>
              </w:rPr>
            </w:r>
            <w:r w:rsidRPr="00071529">
              <w:rPr>
                <w:noProof/>
                <w:webHidden/>
              </w:rPr>
              <w:fldChar w:fldCharType="separate"/>
            </w:r>
            <w:r w:rsidRPr="00071529">
              <w:rPr>
                <w:noProof/>
                <w:webHidden/>
              </w:rPr>
              <w:t>3</w:t>
            </w:r>
            <w:r w:rsidRPr="00071529">
              <w:rPr>
                <w:noProof/>
                <w:webHidden/>
              </w:rPr>
              <w:fldChar w:fldCharType="end"/>
            </w:r>
          </w:hyperlink>
        </w:p>
        <w:p w14:paraId="62AA288F" w14:textId="2D38541C" w:rsidR="00B6540D" w:rsidRPr="00071529" w:rsidRDefault="00B6540D" w:rsidP="00744733">
          <w:pPr>
            <w:rPr>
              <w:rFonts w:eastAsiaTheme="minorEastAsia"/>
              <w:noProof/>
              <w:kern w:val="2"/>
              <w:lang w:val="en-US"/>
              <w14:ligatures w14:val="standardContextual"/>
            </w:rPr>
          </w:pPr>
          <w:hyperlink w:anchor="_Toc143519680" w:history="1">
            <w:r w:rsidRPr="00071529">
              <w:rPr>
                <w:rStyle w:val="Hyperlink"/>
                <w:rFonts w:ascii="Arial" w:hAnsi="Arial" w:cs="Arial"/>
                <w:bCs/>
                <w:noProof/>
              </w:rPr>
              <w:t>A.</w:t>
            </w:r>
            <w:r w:rsidRPr="00071529">
              <w:rPr>
                <w:rFonts w:eastAsiaTheme="minorEastAsia"/>
                <w:noProof/>
                <w:kern w:val="2"/>
                <w:lang w:val="en-US"/>
                <w14:ligatures w14:val="standardContextual"/>
              </w:rPr>
              <w:tab/>
            </w:r>
            <w:r w:rsidRPr="00071529">
              <w:rPr>
                <w:rStyle w:val="Hyperlink"/>
                <w:rFonts w:ascii="Arial" w:hAnsi="Arial" w:cs="Arial"/>
                <w:noProof/>
              </w:rPr>
              <w:t>Facts of the matter</w:t>
            </w:r>
            <w:r w:rsidRPr="00071529">
              <w:rPr>
                <w:noProof/>
                <w:webHidden/>
              </w:rPr>
              <w:tab/>
            </w:r>
            <w:r w:rsidRPr="00071529">
              <w:rPr>
                <w:noProof/>
                <w:webHidden/>
              </w:rPr>
              <w:fldChar w:fldCharType="begin"/>
            </w:r>
            <w:r w:rsidRPr="00071529">
              <w:rPr>
                <w:noProof/>
                <w:webHidden/>
              </w:rPr>
              <w:instrText xml:space="preserve"> PAGEREF _Toc143519680 \h </w:instrText>
            </w:r>
            <w:r w:rsidRPr="00071529">
              <w:rPr>
                <w:noProof/>
                <w:webHidden/>
              </w:rPr>
            </w:r>
            <w:r w:rsidRPr="00071529">
              <w:rPr>
                <w:noProof/>
                <w:webHidden/>
              </w:rPr>
              <w:fldChar w:fldCharType="separate"/>
            </w:r>
            <w:r w:rsidRPr="00071529">
              <w:rPr>
                <w:noProof/>
                <w:webHidden/>
              </w:rPr>
              <w:t>3</w:t>
            </w:r>
            <w:r w:rsidRPr="00071529">
              <w:rPr>
                <w:noProof/>
                <w:webHidden/>
              </w:rPr>
              <w:fldChar w:fldCharType="end"/>
            </w:r>
          </w:hyperlink>
        </w:p>
        <w:p w14:paraId="34E2ED63" w14:textId="43BB99C8" w:rsidR="00B6540D" w:rsidRPr="00071529" w:rsidRDefault="00B6540D" w:rsidP="00744733">
          <w:pPr>
            <w:rPr>
              <w:rFonts w:eastAsiaTheme="minorEastAsia"/>
              <w:noProof/>
              <w:kern w:val="2"/>
              <w:lang w:val="en-US"/>
              <w14:ligatures w14:val="standardContextual"/>
            </w:rPr>
          </w:pPr>
          <w:hyperlink w:anchor="_Toc143519681" w:history="1">
            <w:r w:rsidRPr="00071529">
              <w:rPr>
                <w:rStyle w:val="Hyperlink"/>
                <w:rFonts w:ascii="Arial" w:hAnsi="Arial" w:cs="Arial"/>
                <w:bCs/>
                <w:noProof/>
              </w:rPr>
              <w:t>B.</w:t>
            </w:r>
            <w:r w:rsidRPr="00071529">
              <w:rPr>
                <w:rFonts w:eastAsiaTheme="minorEastAsia"/>
                <w:noProof/>
                <w:kern w:val="2"/>
                <w:lang w:val="en-US"/>
                <w14:ligatures w14:val="standardContextual"/>
              </w:rPr>
              <w:tab/>
            </w:r>
            <w:r w:rsidRPr="00071529">
              <w:rPr>
                <w:rStyle w:val="Hyperlink"/>
                <w:rFonts w:ascii="Arial" w:hAnsi="Arial" w:cs="Arial"/>
                <w:noProof/>
              </w:rPr>
              <w:t>Alleged violations</w:t>
            </w:r>
            <w:r w:rsidRPr="00071529">
              <w:rPr>
                <w:noProof/>
                <w:webHidden/>
              </w:rPr>
              <w:tab/>
            </w:r>
            <w:r w:rsidRPr="00071529">
              <w:rPr>
                <w:noProof/>
                <w:webHidden/>
              </w:rPr>
              <w:fldChar w:fldCharType="begin"/>
            </w:r>
            <w:r w:rsidRPr="00071529">
              <w:rPr>
                <w:noProof/>
                <w:webHidden/>
              </w:rPr>
              <w:instrText xml:space="preserve"> PAGEREF _Toc143519681 \h </w:instrText>
            </w:r>
            <w:r w:rsidRPr="00071529">
              <w:rPr>
                <w:noProof/>
                <w:webHidden/>
              </w:rPr>
            </w:r>
            <w:r w:rsidRPr="00071529">
              <w:rPr>
                <w:noProof/>
                <w:webHidden/>
              </w:rPr>
              <w:fldChar w:fldCharType="separate"/>
            </w:r>
            <w:r w:rsidRPr="00071529">
              <w:rPr>
                <w:noProof/>
                <w:webHidden/>
              </w:rPr>
              <w:t>4</w:t>
            </w:r>
            <w:r w:rsidRPr="00071529">
              <w:rPr>
                <w:noProof/>
                <w:webHidden/>
              </w:rPr>
              <w:fldChar w:fldCharType="end"/>
            </w:r>
          </w:hyperlink>
        </w:p>
        <w:p w14:paraId="00B9B6FA" w14:textId="6C169F5B" w:rsidR="00B6540D" w:rsidRPr="00071529" w:rsidRDefault="00B6540D" w:rsidP="00744733">
          <w:pPr>
            <w:rPr>
              <w:rFonts w:eastAsiaTheme="minorEastAsia"/>
              <w:noProof/>
              <w:kern w:val="2"/>
              <w:lang w:val="en-US"/>
              <w14:ligatures w14:val="standardContextual"/>
            </w:rPr>
          </w:pPr>
          <w:hyperlink w:anchor="_Toc143519682" w:history="1">
            <w:r w:rsidRPr="00071529">
              <w:rPr>
                <w:rStyle w:val="Hyperlink"/>
                <w:rFonts w:ascii="Arial" w:hAnsi="Arial" w:cs="Arial"/>
                <w:bCs/>
                <w:noProof/>
              </w:rPr>
              <w:t>III.</w:t>
            </w:r>
            <w:r w:rsidRPr="00071529">
              <w:rPr>
                <w:rFonts w:eastAsiaTheme="minorEastAsia"/>
                <w:noProof/>
                <w:kern w:val="2"/>
                <w:lang w:val="en-US"/>
                <w14:ligatures w14:val="standardContextual"/>
              </w:rPr>
              <w:tab/>
            </w:r>
            <w:r w:rsidRPr="00071529">
              <w:rPr>
                <w:rStyle w:val="Hyperlink"/>
                <w:rFonts w:ascii="Arial" w:hAnsi="Arial" w:cs="Arial"/>
                <w:noProof/>
              </w:rPr>
              <w:t>SUMMARY OF THE PROCEDURE BEFORE THE COURT</w:t>
            </w:r>
            <w:r w:rsidRPr="00071529">
              <w:rPr>
                <w:noProof/>
                <w:webHidden/>
              </w:rPr>
              <w:tab/>
            </w:r>
            <w:r w:rsidRPr="00071529">
              <w:rPr>
                <w:noProof/>
                <w:webHidden/>
              </w:rPr>
              <w:fldChar w:fldCharType="begin"/>
            </w:r>
            <w:r w:rsidRPr="00071529">
              <w:rPr>
                <w:noProof/>
                <w:webHidden/>
              </w:rPr>
              <w:instrText xml:space="preserve"> PAGEREF _Toc143519682 \h </w:instrText>
            </w:r>
            <w:r w:rsidRPr="00071529">
              <w:rPr>
                <w:noProof/>
                <w:webHidden/>
              </w:rPr>
            </w:r>
            <w:r w:rsidRPr="00071529">
              <w:rPr>
                <w:noProof/>
                <w:webHidden/>
              </w:rPr>
              <w:fldChar w:fldCharType="separate"/>
            </w:r>
            <w:r w:rsidRPr="00071529">
              <w:rPr>
                <w:noProof/>
                <w:webHidden/>
              </w:rPr>
              <w:t>4</w:t>
            </w:r>
            <w:r w:rsidRPr="00071529">
              <w:rPr>
                <w:noProof/>
                <w:webHidden/>
              </w:rPr>
              <w:fldChar w:fldCharType="end"/>
            </w:r>
          </w:hyperlink>
        </w:p>
        <w:p w14:paraId="6FAD3749" w14:textId="06E28922" w:rsidR="00B6540D" w:rsidRPr="00071529" w:rsidRDefault="00B6540D" w:rsidP="00744733">
          <w:pPr>
            <w:rPr>
              <w:rFonts w:eastAsiaTheme="minorEastAsia"/>
              <w:noProof/>
              <w:kern w:val="2"/>
              <w:lang w:val="en-US"/>
              <w14:ligatures w14:val="standardContextual"/>
            </w:rPr>
          </w:pPr>
          <w:hyperlink w:anchor="_Toc143519683" w:history="1">
            <w:r w:rsidRPr="00071529">
              <w:rPr>
                <w:rStyle w:val="Hyperlink"/>
                <w:rFonts w:ascii="Arial" w:hAnsi="Arial" w:cs="Arial"/>
                <w:bCs/>
                <w:noProof/>
              </w:rPr>
              <w:t>IV.</w:t>
            </w:r>
            <w:r w:rsidRPr="00071529">
              <w:rPr>
                <w:rFonts w:eastAsiaTheme="minorEastAsia"/>
                <w:noProof/>
                <w:kern w:val="2"/>
                <w:lang w:val="en-US"/>
                <w14:ligatures w14:val="standardContextual"/>
              </w:rPr>
              <w:tab/>
            </w:r>
            <w:r w:rsidRPr="00071529">
              <w:rPr>
                <w:rStyle w:val="Hyperlink"/>
                <w:rFonts w:ascii="Arial" w:hAnsi="Arial" w:cs="Arial"/>
                <w:noProof/>
              </w:rPr>
              <w:t>PRAYERS OF THE PARTIES</w:t>
            </w:r>
            <w:r w:rsidRPr="00071529">
              <w:rPr>
                <w:noProof/>
                <w:webHidden/>
              </w:rPr>
              <w:tab/>
            </w:r>
            <w:r w:rsidRPr="00071529">
              <w:rPr>
                <w:noProof/>
                <w:webHidden/>
              </w:rPr>
              <w:fldChar w:fldCharType="begin"/>
            </w:r>
            <w:r w:rsidRPr="00071529">
              <w:rPr>
                <w:noProof/>
                <w:webHidden/>
              </w:rPr>
              <w:instrText xml:space="preserve"> PAGEREF _Toc143519683 \h </w:instrText>
            </w:r>
            <w:r w:rsidRPr="00071529">
              <w:rPr>
                <w:noProof/>
                <w:webHidden/>
              </w:rPr>
            </w:r>
            <w:r w:rsidRPr="00071529">
              <w:rPr>
                <w:noProof/>
                <w:webHidden/>
              </w:rPr>
              <w:fldChar w:fldCharType="separate"/>
            </w:r>
            <w:r w:rsidRPr="00071529">
              <w:rPr>
                <w:noProof/>
                <w:webHidden/>
              </w:rPr>
              <w:t>4</w:t>
            </w:r>
            <w:r w:rsidRPr="00071529">
              <w:rPr>
                <w:noProof/>
                <w:webHidden/>
              </w:rPr>
              <w:fldChar w:fldCharType="end"/>
            </w:r>
          </w:hyperlink>
        </w:p>
        <w:p w14:paraId="632EDAA3" w14:textId="07B67835" w:rsidR="00B6540D" w:rsidRPr="00071529" w:rsidRDefault="00B6540D" w:rsidP="00744733">
          <w:pPr>
            <w:rPr>
              <w:rFonts w:eastAsiaTheme="minorEastAsia"/>
              <w:noProof/>
              <w:kern w:val="2"/>
              <w:lang w:val="en-US"/>
              <w14:ligatures w14:val="standardContextual"/>
            </w:rPr>
          </w:pPr>
          <w:hyperlink w:anchor="_Toc143519684" w:history="1">
            <w:r w:rsidRPr="00071529">
              <w:rPr>
                <w:rStyle w:val="Hyperlink"/>
                <w:rFonts w:ascii="Arial" w:hAnsi="Arial" w:cs="Arial"/>
                <w:bCs/>
                <w:noProof/>
              </w:rPr>
              <w:t>V.</w:t>
            </w:r>
            <w:r w:rsidRPr="00071529">
              <w:rPr>
                <w:rFonts w:eastAsiaTheme="minorEastAsia"/>
                <w:noProof/>
                <w:kern w:val="2"/>
                <w:lang w:val="en-US"/>
                <w14:ligatures w14:val="standardContextual"/>
              </w:rPr>
              <w:tab/>
            </w:r>
            <w:r w:rsidRPr="00071529">
              <w:rPr>
                <w:rStyle w:val="Hyperlink"/>
                <w:rFonts w:ascii="Arial" w:hAnsi="Arial" w:cs="Arial"/>
                <w:noProof/>
              </w:rPr>
              <w:t>JURISDICTION</w:t>
            </w:r>
            <w:r w:rsidRPr="00071529">
              <w:rPr>
                <w:noProof/>
                <w:webHidden/>
              </w:rPr>
              <w:tab/>
            </w:r>
            <w:r w:rsidRPr="00071529">
              <w:rPr>
                <w:noProof/>
                <w:webHidden/>
              </w:rPr>
              <w:fldChar w:fldCharType="begin"/>
            </w:r>
            <w:r w:rsidRPr="00071529">
              <w:rPr>
                <w:noProof/>
                <w:webHidden/>
              </w:rPr>
              <w:instrText xml:space="preserve"> PAGEREF _Toc143519684 \h </w:instrText>
            </w:r>
            <w:r w:rsidRPr="00071529">
              <w:rPr>
                <w:noProof/>
                <w:webHidden/>
              </w:rPr>
            </w:r>
            <w:r w:rsidRPr="00071529">
              <w:rPr>
                <w:noProof/>
                <w:webHidden/>
              </w:rPr>
              <w:fldChar w:fldCharType="separate"/>
            </w:r>
            <w:r w:rsidRPr="00071529">
              <w:rPr>
                <w:noProof/>
                <w:webHidden/>
              </w:rPr>
              <w:t>5</w:t>
            </w:r>
            <w:r w:rsidRPr="00071529">
              <w:rPr>
                <w:noProof/>
                <w:webHidden/>
              </w:rPr>
              <w:fldChar w:fldCharType="end"/>
            </w:r>
          </w:hyperlink>
        </w:p>
        <w:p w14:paraId="178692FB" w14:textId="70210BE8" w:rsidR="00B6540D" w:rsidRPr="00071529" w:rsidRDefault="00B6540D" w:rsidP="00744733">
          <w:pPr>
            <w:rPr>
              <w:rFonts w:eastAsiaTheme="minorEastAsia"/>
              <w:noProof/>
              <w:kern w:val="2"/>
              <w:lang w:val="en-US"/>
              <w14:ligatures w14:val="standardContextual"/>
            </w:rPr>
          </w:pPr>
          <w:hyperlink w:anchor="_Toc143519685" w:history="1">
            <w:r w:rsidRPr="00071529">
              <w:rPr>
                <w:rStyle w:val="Hyperlink"/>
                <w:rFonts w:ascii="Arial" w:hAnsi="Arial" w:cs="Arial"/>
                <w:bCs/>
                <w:noProof/>
              </w:rPr>
              <w:t>A.</w:t>
            </w:r>
            <w:r w:rsidRPr="00071529">
              <w:rPr>
                <w:rFonts w:eastAsiaTheme="minorEastAsia"/>
                <w:noProof/>
                <w:kern w:val="2"/>
                <w:lang w:val="en-US"/>
                <w14:ligatures w14:val="standardContextual"/>
              </w:rPr>
              <w:tab/>
            </w:r>
            <w:r w:rsidRPr="00071529">
              <w:rPr>
                <w:rStyle w:val="Hyperlink"/>
                <w:rFonts w:ascii="Arial" w:hAnsi="Arial" w:cs="Arial"/>
                <w:noProof/>
              </w:rPr>
              <w:t>Objection to material jurisdiction</w:t>
            </w:r>
            <w:r w:rsidRPr="00071529">
              <w:rPr>
                <w:noProof/>
                <w:webHidden/>
              </w:rPr>
              <w:tab/>
            </w:r>
            <w:r w:rsidRPr="00071529">
              <w:rPr>
                <w:noProof/>
                <w:webHidden/>
              </w:rPr>
              <w:fldChar w:fldCharType="begin"/>
            </w:r>
            <w:r w:rsidRPr="00071529">
              <w:rPr>
                <w:noProof/>
                <w:webHidden/>
              </w:rPr>
              <w:instrText xml:space="preserve"> PAGEREF _Toc143519685 \h </w:instrText>
            </w:r>
            <w:r w:rsidRPr="00071529">
              <w:rPr>
                <w:noProof/>
                <w:webHidden/>
              </w:rPr>
            </w:r>
            <w:r w:rsidRPr="00071529">
              <w:rPr>
                <w:noProof/>
                <w:webHidden/>
              </w:rPr>
              <w:fldChar w:fldCharType="separate"/>
            </w:r>
            <w:r w:rsidRPr="00071529">
              <w:rPr>
                <w:noProof/>
                <w:webHidden/>
              </w:rPr>
              <w:t>6</w:t>
            </w:r>
            <w:r w:rsidRPr="00071529">
              <w:rPr>
                <w:noProof/>
                <w:webHidden/>
              </w:rPr>
              <w:fldChar w:fldCharType="end"/>
            </w:r>
          </w:hyperlink>
        </w:p>
        <w:p w14:paraId="20C17303" w14:textId="07648E05" w:rsidR="00B6540D" w:rsidRPr="00071529" w:rsidRDefault="00B6540D" w:rsidP="00744733">
          <w:pPr>
            <w:rPr>
              <w:rFonts w:eastAsiaTheme="minorEastAsia"/>
              <w:noProof/>
              <w:kern w:val="2"/>
              <w:lang w:val="en-US"/>
              <w14:ligatures w14:val="standardContextual"/>
            </w:rPr>
          </w:pPr>
          <w:hyperlink w:anchor="_Toc143519686" w:history="1">
            <w:r w:rsidRPr="00071529">
              <w:rPr>
                <w:rStyle w:val="Hyperlink"/>
                <w:rFonts w:ascii="Arial" w:hAnsi="Arial" w:cs="Arial"/>
                <w:bCs/>
                <w:noProof/>
              </w:rPr>
              <w:t>B.</w:t>
            </w:r>
            <w:r w:rsidRPr="00071529">
              <w:rPr>
                <w:rFonts w:eastAsiaTheme="minorEastAsia"/>
                <w:noProof/>
                <w:kern w:val="2"/>
                <w:lang w:val="en-US"/>
                <w14:ligatures w14:val="standardContextual"/>
              </w:rPr>
              <w:tab/>
            </w:r>
            <w:r w:rsidRPr="00071529">
              <w:rPr>
                <w:rStyle w:val="Hyperlink"/>
                <w:rFonts w:ascii="Arial" w:hAnsi="Arial" w:cs="Arial"/>
                <w:noProof/>
              </w:rPr>
              <w:t>Other aspects of jurisdiction</w:t>
            </w:r>
            <w:r w:rsidRPr="00071529">
              <w:rPr>
                <w:noProof/>
                <w:webHidden/>
              </w:rPr>
              <w:tab/>
            </w:r>
            <w:r w:rsidRPr="00071529">
              <w:rPr>
                <w:noProof/>
                <w:webHidden/>
              </w:rPr>
              <w:fldChar w:fldCharType="begin"/>
            </w:r>
            <w:r w:rsidRPr="00071529">
              <w:rPr>
                <w:noProof/>
                <w:webHidden/>
              </w:rPr>
              <w:instrText xml:space="preserve"> PAGEREF _Toc143519686 \h </w:instrText>
            </w:r>
            <w:r w:rsidRPr="00071529">
              <w:rPr>
                <w:noProof/>
                <w:webHidden/>
              </w:rPr>
            </w:r>
            <w:r w:rsidRPr="00071529">
              <w:rPr>
                <w:noProof/>
                <w:webHidden/>
              </w:rPr>
              <w:fldChar w:fldCharType="separate"/>
            </w:r>
            <w:r w:rsidRPr="00071529">
              <w:rPr>
                <w:noProof/>
                <w:webHidden/>
              </w:rPr>
              <w:t>8</w:t>
            </w:r>
            <w:r w:rsidRPr="00071529">
              <w:rPr>
                <w:noProof/>
                <w:webHidden/>
              </w:rPr>
              <w:fldChar w:fldCharType="end"/>
            </w:r>
          </w:hyperlink>
        </w:p>
        <w:p w14:paraId="38660D09" w14:textId="253B47FE" w:rsidR="00B6540D" w:rsidRPr="00071529" w:rsidRDefault="00B6540D" w:rsidP="00744733">
          <w:pPr>
            <w:rPr>
              <w:rFonts w:eastAsiaTheme="minorEastAsia"/>
              <w:noProof/>
              <w:kern w:val="2"/>
              <w:lang w:val="en-US"/>
              <w14:ligatures w14:val="standardContextual"/>
            </w:rPr>
          </w:pPr>
          <w:hyperlink w:anchor="_Toc143519687" w:history="1">
            <w:r w:rsidRPr="00071529">
              <w:rPr>
                <w:rStyle w:val="Hyperlink"/>
                <w:rFonts w:ascii="Arial" w:hAnsi="Arial" w:cs="Arial"/>
                <w:bCs/>
                <w:noProof/>
              </w:rPr>
              <w:t>VI.</w:t>
            </w:r>
            <w:r w:rsidRPr="00071529">
              <w:rPr>
                <w:rFonts w:eastAsiaTheme="minorEastAsia"/>
                <w:noProof/>
                <w:kern w:val="2"/>
                <w:lang w:val="en-US"/>
                <w14:ligatures w14:val="standardContextual"/>
              </w:rPr>
              <w:tab/>
            </w:r>
            <w:r w:rsidRPr="00071529">
              <w:rPr>
                <w:rStyle w:val="Hyperlink"/>
                <w:rFonts w:ascii="Arial" w:hAnsi="Arial" w:cs="Arial"/>
                <w:noProof/>
              </w:rPr>
              <w:t>ADMISSIBILITY</w:t>
            </w:r>
            <w:r w:rsidRPr="00071529">
              <w:rPr>
                <w:noProof/>
                <w:webHidden/>
              </w:rPr>
              <w:tab/>
            </w:r>
            <w:r w:rsidRPr="00071529">
              <w:rPr>
                <w:noProof/>
                <w:webHidden/>
              </w:rPr>
              <w:fldChar w:fldCharType="begin"/>
            </w:r>
            <w:r w:rsidRPr="00071529">
              <w:rPr>
                <w:noProof/>
                <w:webHidden/>
              </w:rPr>
              <w:instrText xml:space="preserve"> PAGEREF _Toc143519687 \h </w:instrText>
            </w:r>
            <w:r w:rsidRPr="00071529">
              <w:rPr>
                <w:noProof/>
                <w:webHidden/>
              </w:rPr>
            </w:r>
            <w:r w:rsidRPr="00071529">
              <w:rPr>
                <w:noProof/>
                <w:webHidden/>
              </w:rPr>
              <w:fldChar w:fldCharType="separate"/>
            </w:r>
            <w:r w:rsidRPr="00071529">
              <w:rPr>
                <w:noProof/>
                <w:webHidden/>
              </w:rPr>
              <w:t>9</w:t>
            </w:r>
            <w:r w:rsidRPr="00071529">
              <w:rPr>
                <w:noProof/>
                <w:webHidden/>
              </w:rPr>
              <w:fldChar w:fldCharType="end"/>
            </w:r>
          </w:hyperlink>
        </w:p>
        <w:p w14:paraId="3E0EEF08" w14:textId="27636FB7" w:rsidR="00B6540D" w:rsidRPr="00071529" w:rsidRDefault="00B6540D" w:rsidP="00744733">
          <w:pPr>
            <w:rPr>
              <w:rFonts w:eastAsiaTheme="minorEastAsia"/>
              <w:noProof/>
              <w:kern w:val="2"/>
              <w:lang w:val="en-US"/>
              <w14:ligatures w14:val="standardContextual"/>
            </w:rPr>
          </w:pPr>
          <w:hyperlink w:anchor="_Toc143519688" w:history="1">
            <w:r w:rsidRPr="00071529">
              <w:rPr>
                <w:rStyle w:val="Hyperlink"/>
                <w:rFonts w:ascii="Arial" w:hAnsi="Arial" w:cs="Arial"/>
                <w:bCs/>
                <w:noProof/>
              </w:rPr>
              <w:t>A.</w:t>
            </w:r>
            <w:r w:rsidRPr="00071529">
              <w:rPr>
                <w:rFonts w:eastAsiaTheme="minorEastAsia"/>
                <w:noProof/>
                <w:kern w:val="2"/>
                <w:lang w:val="en-US"/>
                <w14:ligatures w14:val="standardContextual"/>
              </w:rPr>
              <w:tab/>
            </w:r>
            <w:r w:rsidRPr="00071529">
              <w:rPr>
                <w:rStyle w:val="Hyperlink"/>
                <w:rFonts w:ascii="Arial" w:hAnsi="Arial" w:cs="Arial"/>
                <w:noProof/>
              </w:rPr>
              <w:t>Objection based on non-exhaustion of local remedies</w:t>
            </w:r>
            <w:r w:rsidRPr="00071529">
              <w:rPr>
                <w:noProof/>
                <w:webHidden/>
              </w:rPr>
              <w:tab/>
            </w:r>
            <w:r w:rsidRPr="00071529">
              <w:rPr>
                <w:noProof/>
                <w:webHidden/>
              </w:rPr>
              <w:fldChar w:fldCharType="begin"/>
            </w:r>
            <w:r w:rsidRPr="00071529">
              <w:rPr>
                <w:noProof/>
                <w:webHidden/>
              </w:rPr>
              <w:instrText xml:space="preserve"> PAGEREF _Toc143519688 \h </w:instrText>
            </w:r>
            <w:r w:rsidRPr="00071529">
              <w:rPr>
                <w:noProof/>
                <w:webHidden/>
              </w:rPr>
            </w:r>
            <w:r w:rsidRPr="00071529">
              <w:rPr>
                <w:noProof/>
                <w:webHidden/>
              </w:rPr>
              <w:fldChar w:fldCharType="separate"/>
            </w:r>
            <w:r w:rsidRPr="00071529">
              <w:rPr>
                <w:noProof/>
                <w:webHidden/>
              </w:rPr>
              <w:t>10</w:t>
            </w:r>
            <w:r w:rsidRPr="00071529">
              <w:rPr>
                <w:noProof/>
                <w:webHidden/>
              </w:rPr>
              <w:fldChar w:fldCharType="end"/>
            </w:r>
          </w:hyperlink>
        </w:p>
        <w:p w14:paraId="5DF4DACC" w14:textId="48B53271" w:rsidR="00B6540D" w:rsidRPr="00071529" w:rsidRDefault="00B6540D" w:rsidP="00744733">
          <w:pPr>
            <w:rPr>
              <w:rFonts w:eastAsiaTheme="minorEastAsia"/>
              <w:noProof/>
              <w:kern w:val="2"/>
              <w:lang w:val="en-US"/>
              <w14:ligatures w14:val="standardContextual"/>
            </w:rPr>
          </w:pPr>
          <w:hyperlink w:anchor="_Toc143519689" w:history="1">
            <w:r w:rsidRPr="00071529">
              <w:rPr>
                <w:rStyle w:val="Hyperlink"/>
                <w:rFonts w:ascii="Arial" w:hAnsi="Arial" w:cs="Arial"/>
                <w:bCs/>
                <w:noProof/>
              </w:rPr>
              <w:t>B.</w:t>
            </w:r>
            <w:r w:rsidRPr="00071529">
              <w:rPr>
                <w:rFonts w:eastAsiaTheme="minorEastAsia"/>
                <w:noProof/>
                <w:kern w:val="2"/>
                <w:lang w:val="en-US"/>
                <w14:ligatures w14:val="standardContextual"/>
              </w:rPr>
              <w:tab/>
            </w:r>
            <w:r w:rsidRPr="00071529">
              <w:rPr>
                <w:rStyle w:val="Hyperlink"/>
                <w:rFonts w:ascii="Arial" w:hAnsi="Arial" w:cs="Arial"/>
                <w:noProof/>
              </w:rPr>
              <w:t>Objection based on the failure to file the Application within a reasonable time</w:t>
            </w:r>
            <w:r w:rsidRPr="00071529">
              <w:rPr>
                <w:noProof/>
                <w:webHidden/>
              </w:rPr>
              <w:tab/>
            </w:r>
            <w:r w:rsidRPr="00071529">
              <w:rPr>
                <w:noProof/>
                <w:webHidden/>
              </w:rPr>
              <w:fldChar w:fldCharType="begin"/>
            </w:r>
            <w:r w:rsidRPr="00071529">
              <w:rPr>
                <w:noProof/>
                <w:webHidden/>
              </w:rPr>
              <w:instrText xml:space="preserve"> PAGEREF _Toc143519689 \h </w:instrText>
            </w:r>
            <w:r w:rsidRPr="00071529">
              <w:rPr>
                <w:noProof/>
                <w:webHidden/>
              </w:rPr>
            </w:r>
            <w:r w:rsidRPr="00071529">
              <w:rPr>
                <w:noProof/>
                <w:webHidden/>
              </w:rPr>
              <w:fldChar w:fldCharType="separate"/>
            </w:r>
            <w:r w:rsidRPr="00071529">
              <w:rPr>
                <w:noProof/>
                <w:webHidden/>
              </w:rPr>
              <w:t>12</w:t>
            </w:r>
            <w:r w:rsidRPr="00071529">
              <w:rPr>
                <w:noProof/>
                <w:webHidden/>
              </w:rPr>
              <w:fldChar w:fldCharType="end"/>
            </w:r>
          </w:hyperlink>
        </w:p>
        <w:p w14:paraId="157ABC99" w14:textId="58EDE3CA" w:rsidR="00B6540D" w:rsidRPr="00071529" w:rsidRDefault="00B6540D" w:rsidP="00744733">
          <w:pPr>
            <w:rPr>
              <w:rFonts w:eastAsiaTheme="minorEastAsia"/>
              <w:noProof/>
              <w:kern w:val="2"/>
              <w:lang w:val="en-US"/>
              <w14:ligatures w14:val="standardContextual"/>
            </w:rPr>
          </w:pPr>
          <w:hyperlink w:anchor="_Toc143519690" w:history="1">
            <w:r w:rsidRPr="00071529">
              <w:rPr>
                <w:rStyle w:val="Hyperlink"/>
                <w:rFonts w:ascii="Arial" w:hAnsi="Arial" w:cs="Arial"/>
                <w:bCs/>
                <w:noProof/>
              </w:rPr>
              <w:t>C.</w:t>
            </w:r>
            <w:r w:rsidRPr="00071529">
              <w:rPr>
                <w:rFonts w:eastAsiaTheme="minorEastAsia"/>
                <w:noProof/>
                <w:kern w:val="2"/>
                <w:lang w:val="en-US"/>
                <w14:ligatures w14:val="standardContextual"/>
              </w:rPr>
              <w:tab/>
            </w:r>
            <w:r w:rsidRPr="00071529">
              <w:rPr>
                <w:rStyle w:val="Hyperlink"/>
                <w:rFonts w:ascii="Arial" w:hAnsi="Arial" w:cs="Arial"/>
                <w:noProof/>
              </w:rPr>
              <w:t>Other admissibility requirements</w:t>
            </w:r>
            <w:r w:rsidRPr="00071529">
              <w:rPr>
                <w:noProof/>
                <w:webHidden/>
              </w:rPr>
              <w:tab/>
            </w:r>
            <w:r w:rsidRPr="00071529">
              <w:rPr>
                <w:noProof/>
                <w:webHidden/>
              </w:rPr>
              <w:fldChar w:fldCharType="begin"/>
            </w:r>
            <w:r w:rsidRPr="00071529">
              <w:rPr>
                <w:noProof/>
                <w:webHidden/>
              </w:rPr>
              <w:instrText xml:space="preserve"> PAGEREF _Toc143519690 \h </w:instrText>
            </w:r>
            <w:r w:rsidRPr="00071529">
              <w:rPr>
                <w:noProof/>
                <w:webHidden/>
              </w:rPr>
            </w:r>
            <w:r w:rsidRPr="00071529">
              <w:rPr>
                <w:noProof/>
                <w:webHidden/>
              </w:rPr>
              <w:fldChar w:fldCharType="separate"/>
            </w:r>
            <w:r w:rsidRPr="00071529">
              <w:rPr>
                <w:noProof/>
                <w:webHidden/>
              </w:rPr>
              <w:t>15</w:t>
            </w:r>
            <w:r w:rsidRPr="00071529">
              <w:rPr>
                <w:noProof/>
                <w:webHidden/>
              </w:rPr>
              <w:fldChar w:fldCharType="end"/>
            </w:r>
          </w:hyperlink>
        </w:p>
        <w:p w14:paraId="20A1F00F" w14:textId="41696D0A" w:rsidR="00B6540D" w:rsidRPr="00071529" w:rsidRDefault="00B6540D" w:rsidP="00744733">
          <w:pPr>
            <w:rPr>
              <w:rFonts w:eastAsiaTheme="minorEastAsia"/>
              <w:noProof/>
              <w:kern w:val="2"/>
              <w:lang w:val="en-US"/>
              <w14:ligatures w14:val="standardContextual"/>
            </w:rPr>
          </w:pPr>
          <w:hyperlink w:anchor="_Toc143519691" w:history="1">
            <w:r w:rsidRPr="00071529">
              <w:rPr>
                <w:rStyle w:val="Hyperlink"/>
                <w:rFonts w:ascii="Arial" w:hAnsi="Arial" w:cs="Arial"/>
                <w:bCs/>
                <w:noProof/>
              </w:rPr>
              <w:t>VII.</w:t>
            </w:r>
            <w:r w:rsidRPr="00071529">
              <w:rPr>
                <w:rFonts w:eastAsiaTheme="minorEastAsia"/>
                <w:noProof/>
                <w:kern w:val="2"/>
                <w:lang w:val="en-US"/>
                <w14:ligatures w14:val="standardContextual"/>
              </w:rPr>
              <w:tab/>
            </w:r>
            <w:r w:rsidRPr="00071529">
              <w:rPr>
                <w:rStyle w:val="Hyperlink"/>
                <w:rFonts w:ascii="Arial" w:hAnsi="Arial" w:cs="Arial"/>
                <w:noProof/>
              </w:rPr>
              <w:t>MERITS</w:t>
            </w:r>
            <w:r w:rsidRPr="00071529">
              <w:rPr>
                <w:noProof/>
                <w:webHidden/>
              </w:rPr>
              <w:tab/>
            </w:r>
            <w:r w:rsidRPr="00071529">
              <w:rPr>
                <w:noProof/>
                <w:webHidden/>
              </w:rPr>
              <w:fldChar w:fldCharType="begin"/>
            </w:r>
            <w:r w:rsidRPr="00071529">
              <w:rPr>
                <w:noProof/>
                <w:webHidden/>
              </w:rPr>
              <w:instrText xml:space="preserve"> PAGEREF _Toc143519691 \h </w:instrText>
            </w:r>
            <w:r w:rsidRPr="00071529">
              <w:rPr>
                <w:noProof/>
                <w:webHidden/>
              </w:rPr>
            </w:r>
            <w:r w:rsidRPr="00071529">
              <w:rPr>
                <w:noProof/>
                <w:webHidden/>
              </w:rPr>
              <w:fldChar w:fldCharType="separate"/>
            </w:r>
            <w:r w:rsidRPr="00071529">
              <w:rPr>
                <w:noProof/>
                <w:webHidden/>
              </w:rPr>
              <w:t>16</w:t>
            </w:r>
            <w:r w:rsidRPr="00071529">
              <w:rPr>
                <w:noProof/>
                <w:webHidden/>
              </w:rPr>
              <w:fldChar w:fldCharType="end"/>
            </w:r>
          </w:hyperlink>
        </w:p>
        <w:p w14:paraId="7F8324F2" w14:textId="41F697DB" w:rsidR="00B6540D" w:rsidRPr="00071529" w:rsidRDefault="00B6540D" w:rsidP="00744733">
          <w:pPr>
            <w:rPr>
              <w:rFonts w:eastAsiaTheme="minorEastAsia"/>
              <w:noProof/>
              <w:kern w:val="2"/>
              <w:lang w:val="en-US"/>
              <w14:ligatures w14:val="standardContextual"/>
            </w:rPr>
          </w:pPr>
          <w:hyperlink w:anchor="_Toc143519692" w:history="1">
            <w:r w:rsidRPr="00071529">
              <w:rPr>
                <w:rStyle w:val="Hyperlink"/>
                <w:rFonts w:ascii="Arial" w:hAnsi="Arial" w:cs="Arial"/>
                <w:bCs/>
                <w:noProof/>
              </w:rPr>
              <w:t>A.</w:t>
            </w:r>
            <w:r w:rsidRPr="00071529">
              <w:rPr>
                <w:rFonts w:eastAsiaTheme="minorEastAsia"/>
                <w:noProof/>
                <w:kern w:val="2"/>
                <w:lang w:val="en-US"/>
                <w14:ligatures w14:val="standardContextual"/>
              </w:rPr>
              <w:tab/>
            </w:r>
            <w:r w:rsidRPr="00071529">
              <w:rPr>
                <w:rStyle w:val="Hyperlink"/>
                <w:rFonts w:ascii="Arial" w:hAnsi="Arial" w:cs="Arial"/>
                <w:noProof/>
              </w:rPr>
              <w:t>Alleged violation of the right to equality before the law and equal protection of the law</w:t>
            </w:r>
            <w:r w:rsidRPr="00071529">
              <w:rPr>
                <w:noProof/>
                <w:webHidden/>
              </w:rPr>
              <w:tab/>
            </w:r>
            <w:r w:rsidRPr="00071529">
              <w:rPr>
                <w:noProof/>
                <w:webHidden/>
              </w:rPr>
              <w:fldChar w:fldCharType="begin"/>
            </w:r>
            <w:r w:rsidRPr="00071529">
              <w:rPr>
                <w:noProof/>
                <w:webHidden/>
              </w:rPr>
              <w:instrText xml:space="preserve"> PAGEREF _Toc143519692 \h </w:instrText>
            </w:r>
            <w:r w:rsidRPr="00071529">
              <w:rPr>
                <w:noProof/>
                <w:webHidden/>
              </w:rPr>
            </w:r>
            <w:r w:rsidRPr="00071529">
              <w:rPr>
                <w:noProof/>
                <w:webHidden/>
              </w:rPr>
              <w:fldChar w:fldCharType="separate"/>
            </w:r>
            <w:r w:rsidRPr="00071529">
              <w:rPr>
                <w:noProof/>
                <w:webHidden/>
              </w:rPr>
              <w:t>16</w:t>
            </w:r>
            <w:r w:rsidRPr="00071529">
              <w:rPr>
                <w:noProof/>
                <w:webHidden/>
              </w:rPr>
              <w:fldChar w:fldCharType="end"/>
            </w:r>
          </w:hyperlink>
        </w:p>
        <w:p w14:paraId="652D4C47" w14:textId="6AB97CD7" w:rsidR="00B6540D" w:rsidRPr="00071529" w:rsidRDefault="00B6540D" w:rsidP="00744733">
          <w:pPr>
            <w:rPr>
              <w:rFonts w:eastAsiaTheme="minorEastAsia"/>
              <w:noProof/>
              <w:kern w:val="2"/>
              <w:lang w:val="en-US"/>
              <w14:ligatures w14:val="standardContextual"/>
            </w:rPr>
          </w:pPr>
          <w:hyperlink w:anchor="_Toc143519693" w:history="1">
            <w:r w:rsidRPr="00071529">
              <w:rPr>
                <w:rStyle w:val="Hyperlink"/>
                <w:rFonts w:ascii="Arial" w:hAnsi="Arial" w:cs="Arial"/>
                <w:bCs/>
                <w:noProof/>
              </w:rPr>
              <w:t>B.</w:t>
            </w:r>
            <w:r w:rsidRPr="00071529">
              <w:rPr>
                <w:rFonts w:eastAsiaTheme="minorEastAsia"/>
                <w:noProof/>
                <w:kern w:val="2"/>
                <w:lang w:val="en-US"/>
                <w14:ligatures w14:val="standardContextual"/>
              </w:rPr>
              <w:tab/>
            </w:r>
            <w:r w:rsidRPr="00071529">
              <w:rPr>
                <w:rStyle w:val="Hyperlink"/>
                <w:rFonts w:ascii="Arial" w:hAnsi="Arial" w:cs="Arial"/>
                <w:noProof/>
              </w:rPr>
              <w:t>Alleged violation of the right to free legal assistance</w:t>
            </w:r>
            <w:r w:rsidRPr="00071529">
              <w:rPr>
                <w:noProof/>
                <w:webHidden/>
              </w:rPr>
              <w:tab/>
            </w:r>
            <w:r w:rsidRPr="00071529">
              <w:rPr>
                <w:noProof/>
                <w:webHidden/>
              </w:rPr>
              <w:fldChar w:fldCharType="begin"/>
            </w:r>
            <w:r w:rsidRPr="00071529">
              <w:rPr>
                <w:noProof/>
                <w:webHidden/>
              </w:rPr>
              <w:instrText xml:space="preserve"> PAGEREF _Toc143519693 \h </w:instrText>
            </w:r>
            <w:r w:rsidRPr="00071529">
              <w:rPr>
                <w:noProof/>
                <w:webHidden/>
              </w:rPr>
            </w:r>
            <w:r w:rsidRPr="00071529">
              <w:rPr>
                <w:noProof/>
                <w:webHidden/>
              </w:rPr>
              <w:fldChar w:fldCharType="separate"/>
            </w:r>
            <w:r w:rsidRPr="00071529">
              <w:rPr>
                <w:noProof/>
                <w:webHidden/>
              </w:rPr>
              <w:t>18</w:t>
            </w:r>
            <w:r w:rsidRPr="00071529">
              <w:rPr>
                <w:noProof/>
                <w:webHidden/>
              </w:rPr>
              <w:fldChar w:fldCharType="end"/>
            </w:r>
          </w:hyperlink>
        </w:p>
        <w:p w14:paraId="15D41D15" w14:textId="3E1B6038" w:rsidR="00B6540D" w:rsidRPr="00071529" w:rsidRDefault="00B6540D" w:rsidP="00744733">
          <w:pPr>
            <w:rPr>
              <w:rFonts w:eastAsiaTheme="minorEastAsia"/>
              <w:noProof/>
              <w:kern w:val="2"/>
              <w:lang w:val="en-US"/>
              <w14:ligatures w14:val="standardContextual"/>
            </w:rPr>
          </w:pPr>
          <w:hyperlink w:anchor="_Toc143519694" w:history="1">
            <w:r w:rsidRPr="00071529">
              <w:rPr>
                <w:rStyle w:val="Hyperlink"/>
                <w:rFonts w:ascii="Arial" w:hAnsi="Arial" w:cs="Arial"/>
                <w:bCs/>
                <w:noProof/>
              </w:rPr>
              <w:t>VIII.</w:t>
            </w:r>
            <w:r w:rsidRPr="00071529">
              <w:rPr>
                <w:rFonts w:eastAsiaTheme="minorEastAsia"/>
                <w:noProof/>
                <w:kern w:val="2"/>
                <w:lang w:val="en-US"/>
                <w14:ligatures w14:val="standardContextual"/>
              </w:rPr>
              <w:tab/>
            </w:r>
            <w:r w:rsidRPr="00071529">
              <w:rPr>
                <w:rStyle w:val="Hyperlink"/>
                <w:rFonts w:ascii="Arial" w:hAnsi="Arial" w:cs="Arial"/>
                <w:noProof/>
              </w:rPr>
              <w:t>REPARATIONS</w:t>
            </w:r>
            <w:r w:rsidRPr="00071529">
              <w:rPr>
                <w:noProof/>
                <w:webHidden/>
              </w:rPr>
              <w:tab/>
            </w:r>
            <w:r w:rsidRPr="00071529">
              <w:rPr>
                <w:noProof/>
                <w:webHidden/>
              </w:rPr>
              <w:fldChar w:fldCharType="begin"/>
            </w:r>
            <w:r w:rsidRPr="00071529">
              <w:rPr>
                <w:noProof/>
                <w:webHidden/>
              </w:rPr>
              <w:instrText xml:space="preserve"> PAGEREF _Toc143519694 \h </w:instrText>
            </w:r>
            <w:r w:rsidRPr="00071529">
              <w:rPr>
                <w:noProof/>
                <w:webHidden/>
              </w:rPr>
            </w:r>
            <w:r w:rsidRPr="00071529">
              <w:rPr>
                <w:noProof/>
                <w:webHidden/>
              </w:rPr>
              <w:fldChar w:fldCharType="separate"/>
            </w:r>
            <w:r w:rsidRPr="00071529">
              <w:rPr>
                <w:noProof/>
                <w:webHidden/>
              </w:rPr>
              <w:t>20</w:t>
            </w:r>
            <w:r w:rsidRPr="00071529">
              <w:rPr>
                <w:noProof/>
                <w:webHidden/>
              </w:rPr>
              <w:fldChar w:fldCharType="end"/>
            </w:r>
          </w:hyperlink>
        </w:p>
        <w:p w14:paraId="056C6794" w14:textId="3A395928" w:rsidR="00B6540D" w:rsidRPr="00071529" w:rsidRDefault="00B6540D" w:rsidP="00744733">
          <w:pPr>
            <w:rPr>
              <w:rFonts w:eastAsiaTheme="minorEastAsia"/>
              <w:noProof/>
              <w:kern w:val="2"/>
              <w:lang w:val="en-US"/>
              <w14:ligatures w14:val="standardContextual"/>
            </w:rPr>
          </w:pPr>
          <w:hyperlink w:anchor="_Toc143519695" w:history="1">
            <w:r w:rsidRPr="00071529">
              <w:rPr>
                <w:rStyle w:val="Hyperlink"/>
                <w:rFonts w:ascii="Arial" w:hAnsi="Arial" w:cs="Arial"/>
                <w:bCs/>
                <w:noProof/>
              </w:rPr>
              <w:t>A.</w:t>
            </w:r>
            <w:r w:rsidRPr="00071529">
              <w:rPr>
                <w:rFonts w:eastAsiaTheme="minorEastAsia"/>
                <w:noProof/>
                <w:kern w:val="2"/>
                <w:lang w:val="en-US"/>
                <w14:ligatures w14:val="standardContextual"/>
              </w:rPr>
              <w:tab/>
            </w:r>
            <w:r w:rsidRPr="00071529">
              <w:rPr>
                <w:rStyle w:val="Hyperlink"/>
                <w:rFonts w:ascii="Arial" w:hAnsi="Arial" w:cs="Arial"/>
                <w:noProof/>
              </w:rPr>
              <w:t>Pecuniary Reparations</w:t>
            </w:r>
            <w:r w:rsidRPr="00071529">
              <w:rPr>
                <w:noProof/>
                <w:webHidden/>
              </w:rPr>
              <w:tab/>
            </w:r>
            <w:r w:rsidRPr="00071529">
              <w:rPr>
                <w:noProof/>
                <w:webHidden/>
              </w:rPr>
              <w:fldChar w:fldCharType="begin"/>
            </w:r>
            <w:r w:rsidRPr="00071529">
              <w:rPr>
                <w:noProof/>
                <w:webHidden/>
              </w:rPr>
              <w:instrText xml:space="preserve"> PAGEREF _Toc143519695 \h </w:instrText>
            </w:r>
            <w:r w:rsidRPr="00071529">
              <w:rPr>
                <w:noProof/>
                <w:webHidden/>
              </w:rPr>
            </w:r>
            <w:r w:rsidRPr="00071529">
              <w:rPr>
                <w:noProof/>
                <w:webHidden/>
              </w:rPr>
              <w:fldChar w:fldCharType="separate"/>
            </w:r>
            <w:r w:rsidRPr="00071529">
              <w:rPr>
                <w:noProof/>
                <w:webHidden/>
              </w:rPr>
              <w:t>22</w:t>
            </w:r>
            <w:r w:rsidRPr="00071529">
              <w:rPr>
                <w:noProof/>
                <w:webHidden/>
              </w:rPr>
              <w:fldChar w:fldCharType="end"/>
            </w:r>
          </w:hyperlink>
        </w:p>
        <w:p w14:paraId="2ACE4E0B" w14:textId="4E766A48" w:rsidR="00B6540D" w:rsidRPr="00071529" w:rsidRDefault="00B6540D" w:rsidP="00744733">
          <w:pPr>
            <w:rPr>
              <w:rFonts w:eastAsiaTheme="minorEastAsia"/>
              <w:noProof/>
              <w:kern w:val="2"/>
              <w:lang w:val="en-US"/>
              <w14:ligatures w14:val="standardContextual"/>
            </w:rPr>
          </w:pPr>
          <w:hyperlink w:anchor="_Toc143519696" w:history="1">
            <w:r w:rsidRPr="00071529">
              <w:rPr>
                <w:rStyle w:val="Hyperlink"/>
                <w:rFonts w:ascii="Arial" w:hAnsi="Arial" w:cs="Arial"/>
                <w:bCs/>
                <w:noProof/>
              </w:rPr>
              <w:t>B.</w:t>
            </w:r>
            <w:r w:rsidRPr="00071529">
              <w:rPr>
                <w:rFonts w:eastAsiaTheme="minorEastAsia"/>
                <w:noProof/>
                <w:kern w:val="2"/>
                <w:lang w:val="en-US"/>
                <w14:ligatures w14:val="standardContextual"/>
              </w:rPr>
              <w:tab/>
            </w:r>
            <w:r w:rsidRPr="00071529">
              <w:rPr>
                <w:rStyle w:val="Hyperlink"/>
                <w:rFonts w:ascii="Arial" w:hAnsi="Arial" w:cs="Arial"/>
                <w:noProof/>
              </w:rPr>
              <w:t>Non-pecuniary reparations</w:t>
            </w:r>
            <w:r w:rsidRPr="00071529">
              <w:rPr>
                <w:noProof/>
                <w:webHidden/>
              </w:rPr>
              <w:tab/>
            </w:r>
            <w:r w:rsidRPr="00071529">
              <w:rPr>
                <w:noProof/>
                <w:webHidden/>
              </w:rPr>
              <w:fldChar w:fldCharType="begin"/>
            </w:r>
            <w:r w:rsidRPr="00071529">
              <w:rPr>
                <w:noProof/>
                <w:webHidden/>
              </w:rPr>
              <w:instrText xml:space="preserve"> PAGEREF _Toc143519696 \h </w:instrText>
            </w:r>
            <w:r w:rsidRPr="00071529">
              <w:rPr>
                <w:noProof/>
                <w:webHidden/>
              </w:rPr>
            </w:r>
            <w:r w:rsidRPr="00071529">
              <w:rPr>
                <w:noProof/>
                <w:webHidden/>
              </w:rPr>
              <w:fldChar w:fldCharType="separate"/>
            </w:r>
            <w:r w:rsidRPr="00071529">
              <w:rPr>
                <w:noProof/>
                <w:webHidden/>
              </w:rPr>
              <w:t>23</w:t>
            </w:r>
            <w:r w:rsidRPr="00071529">
              <w:rPr>
                <w:noProof/>
                <w:webHidden/>
              </w:rPr>
              <w:fldChar w:fldCharType="end"/>
            </w:r>
          </w:hyperlink>
        </w:p>
        <w:p w14:paraId="4794B517" w14:textId="46826631" w:rsidR="00B6540D" w:rsidRPr="00071529" w:rsidRDefault="00B6540D" w:rsidP="00744733">
          <w:pPr>
            <w:rPr>
              <w:rFonts w:eastAsiaTheme="minorEastAsia"/>
              <w:noProof/>
              <w:kern w:val="2"/>
              <w:lang w:val="en-US"/>
              <w14:ligatures w14:val="standardContextual"/>
            </w:rPr>
          </w:pPr>
          <w:hyperlink w:anchor="_Toc143519697" w:history="1">
            <w:r w:rsidRPr="00071529">
              <w:rPr>
                <w:rStyle w:val="Hyperlink"/>
                <w:rFonts w:ascii="Arial" w:hAnsi="Arial" w:cs="Arial"/>
                <w:bCs/>
                <w:noProof/>
              </w:rPr>
              <w:t>IX.</w:t>
            </w:r>
            <w:r w:rsidRPr="00071529">
              <w:rPr>
                <w:rFonts w:eastAsiaTheme="minorEastAsia"/>
                <w:noProof/>
                <w:kern w:val="2"/>
                <w:lang w:val="en-US"/>
                <w14:ligatures w14:val="standardContextual"/>
              </w:rPr>
              <w:tab/>
            </w:r>
            <w:r w:rsidRPr="00071529">
              <w:rPr>
                <w:rStyle w:val="Hyperlink"/>
                <w:rFonts w:ascii="Arial" w:hAnsi="Arial" w:cs="Arial"/>
                <w:noProof/>
              </w:rPr>
              <w:t>COSTS</w:t>
            </w:r>
            <w:r w:rsidRPr="00071529">
              <w:rPr>
                <w:noProof/>
                <w:webHidden/>
              </w:rPr>
              <w:tab/>
            </w:r>
            <w:r w:rsidRPr="00071529">
              <w:rPr>
                <w:noProof/>
                <w:webHidden/>
              </w:rPr>
              <w:fldChar w:fldCharType="begin"/>
            </w:r>
            <w:r w:rsidRPr="00071529">
              <w:rPr>
                <w:noProof/>
                <w:webHidden/>
              </w:rPr>
              <w:instrText xml:space="preserve"> PAGEREF _Toc143519697 \h </w:instrText>
            </w:r>
            <w:r w:rsidRPr="00071529">
              <w:rPr>
                <w:noProof/>
                <w:webHidden/>
              </w:rPr>
            </w:r>
            <w:r w:rsidRPr="00071529">
              <w:rPr>
                <w:noProof/>
                <w:webHidden/>
              </w:rPr>
              <w:fldChar w:fldCharType="separate"/>
            </w:r>
            <w:r w:rsidRPr="00071529">
              <w:rPr>
                <w:noProof/>
                <w:webHidden/>
              </w:rPr>
              <w:t>24</w:t>
            </w:r>
            <w:r w:rsidRPr="00071529">
              <w:rPr>
                <w:noProof/>
                <w:webHidden/>
              </w:rPr>
              <w:fldChar w:fldCharType="end"/>
            </w:r>
          </w:hyperlink>
        </w:p>
        <w:p w14:paraId="2EF41CEE" w14:textId="08F4B111" w:rsidR="00B6540D" w:rsidRPr="00071529" w:rsidRDefault="00B6540D" w:rsidP="00744733">
          <w:pPr>
            <w:rPr>
              <w:rFonts w:eastAsiaTheme="minorEastAsia"/>
              <w:noProof/>
              <w:kern w:val="2"/>
              <w:lang w:val="en-US"/>
              <w14:ligatures w14:val="standardContextual"/>
            </w:rPr>
          </w:pPr>
          <w:hyperlink w:anchor="_Toc143519698" w:history="1">
            <w:r w:rsidRPr="00071529">
              <w:rPr>
                <w:rStyle w:val="Hyperlink"/>
                <w:rFonts w:ascii="Arial" w:hAnsi="Arial" w:cs="Arial"/>
                <w:bCs/>
                <w:noProof/>
              </w:rPr>
              <w:t>X.</w:t>
            </w:r>
            <w:r w:rsidRPr="00071529">
              <w:rPr>
                <w:rFonts w:eastAsiaTheme="minorEastAsia"/>
                <w:noProof/>
                <w:kern w:val="2"/>
                <w:lang w:val="en-US"/>
                <w14:ligatures w14:val="standardContextual"/>
              </w:rPr>
              <w:tab/>
            </w:r>
            <w:r w:rsidRPr="00071529">
              <w:rPr>
                <w:rStyle w:val="Hyperlink"/>
                <w:rFonts w:ascii="Arial" w:hAnsi="Arial" w:cs="Arial"/>
                <w:noProof/>
              </w:rPr>
              <w:t>OPERATIVE PART</w:t>
            </w:r>
            <w:r w:rsidRPr="00071529">
              <w:rPr>
                <w:noProof/>
                <w:webHidden/>
              </w:rPr>
              <w:tab/>
            </w:r>
            <w:r w:rsidRPr="00071529">
              <w:rPr>
                <w:noProof/>
                <w:webHidden/>
              </w:rPr>
              <w:fldChar w:fldCharType="begin"/>
            </w:r>
            <w:r w:rsidRPr="00071529">
              <w:rPr>
                <w:noProof/>
                <w:webHidden/>
              </w:rPr>
              <w:instrText xml:space="preserve"> PAGEREF _Toc143519698 \h </w:instrText>
            </w:r>
            <w:r w:rsidRPr="00071529">
              <w:rPr>
                <w:noProof/>
                <w:webHidden/>
              </w:rPr>
            </w:r>
            <w:r w:rsidRPr="00071529">
              <w:rPr>
                <w:noProof/>
                <w:webHidden/>
              </w:rPr>
              <w:fldChar w:fldCharType="separate"/>
            </w:r>
            <w:r w:rsidRPr="00071529">
              <w:rPr>
                <w:noProof/>
                <w:webHidden/>
              </w:rPr>
              <w:t>24</w:t>
            </w:r>
            <w:r w:rsidRPr="00071529">
              <w:rPr>
                <w:noProof/>
                <w:webHidden/>
              </w:rPr>
              <w:fldChar w:fldCharType="end"/>
            </w:r>
          </w:hyperlink>
        </w:p>
        <w:p w14:paraId="0ACFCE7E" w14:textId="009144B7" w:rsidR="00B53985" w:rsidRPr="00071529" w:rsidRDefault="00B53985" w:rsidP="00744733">
          <w:r w:rsidRPr="00071529">
            <w:rPr>
              <w:b/>
            </w:rPr>
            <w:fldChar w:fldCharType="end"/>
          </w:r>
        </w:p>
      </w:sdtContent>
    </w:sdt>
    <w:p w14:paraId="62A14E61" w14:textId="7401A3CA" w:rsidR="00B53985" w:rsidRPr="00071529" w:rsidRDefault="00B53985" w:rsidP="00744733">
      <w:pPr>
        <w:rPr>
          <w:rFonts w:eastAsia="Arial"/>
          <w:b/>
          <w:sz w:val="24"/>
          <w:szCs w:val="24"/>
        </w:rPr>
      </w:pPr>
    </w:p>
    <w:p w14:paraId="7DF5607C" w14:textId="08273D4D" w:rsidR="00B53985" w:rsidRPr="00071529" w:rsidRDefault="00B53985" w:rsidP="00744733">
      <w:pPr>
        <w:rPr>
          <w:rFonts w:eastAsia="Arial"/>
          <w:b/>
          <w:sz w:val="24"/>
          <w:szCs w:val="24"/>
        </w:rPr>
      </w:pPr>
    </w:p>
    <w:p w14:paraId="3CA16E12" w14:textId="77777777" w:rsidR="00D30F09" w:rsidRPr="00071529" w:rsidRDefault="00D30F09" w:rsidP="00744733">
      <w:pPr>
        <w:rPr>
          <w:rFonts w:eastAsia="Arial"/>
          <w:b/>
          <w:sz w:val="24"/>
          <w:szCs w:val="24"/>
        </w:rPr>
      </w:pPr>
    </w:p>
    <w:p w14:paraId="3E56AF27" w14:textId="77777777" w:rsidR="00AC5696" w:rsidRPr="00071529" w:rsidRDefault="00AC5696" w:rsidP="00744733">
      <w:pPr>
        <w:rPr>
          <w:sz w:val="24"/>
        </w:rPr>
        <w:sectPr w:rsidR="00AC5696" w:rsidRPr="00071529" w:rsidSect="00AC5696">
          <w:footerReference w:type="default" r:id="rId12"/>
          <w:type w:val="continuous"/>
          <w:pgSz w:w="11907" w:h="16840" w:code="9"/>
          <w:pgMar w:top="1418" w:right="1418" w:bottom="1418" w:left="1418" w:header="720" w:footer="720" w:gutter="0"/>
          <w:pgNumType w:fmt="lowerRoman" w:start="1"/>
          <w:cols w:space="720"/>
          <w:docGrid w:linePitch="299"/>
        </w:sectPr>
      </w:pPr>
    </w:p>
    <w:p w14:paraId="00000015" w14:textId="5001E47D" w:rsidR="00257A8B" w:rsidRPr="00071529" w:rsidRDefault="00414F7B" w:rsidP="00744733">
      <w:pPr>
        <w:rPr>
          <w:rFonts w:eastAsia="Arial"/>
          <w:sz w:val="24"/>
          <w:szCs w:val="24"/>
        </w:rPr>
      </w:pPr>
      <w:r w:rsidRPr="00071529">
        <w:rPr>
          <w:b/>
          <w:sz w:val="24"/>
        </w:rPr>
        <w:lastRenderedPageBreak/>
        <w:t>The Court composed of</w:t>
      </w:r>
      <w:r w:rsidRPr="00071529">
        <w:rPr>
          <w:sz w:val="24"/>
        </w:rPr>
        <w:t xml:space="preserve">: </w:t>
      </w:r>
      <w:r w:rsidR="001E04D9" w:rsidRPr="00071529">
        <w:rPr>
          <w:rFonts w:eastAsia="Times New Roman"/>
          <w:sz w:val="24"/>
          <w:szCs w:val="24"/>
          <w:lang w:eastAsia="fr-FR" w:bidi="fr-FR"/>
        </w:rPr>
        <w:t>Modibo SACKO</w:t>
      </w:r>
      <w:r w:rsidR="001E04D9" w:rsidRPr="00071529">
        <w:rPr>
          <w:sz w:val="24"/>
          <w:szCs w:val="24"/>
        </w:rPr>
        <w:t xml:space="preserve">, Vice </w:t>
      </w:r>
      <w:r w:rsidR="00DC4D5B" w:rsidRPr="00071529">
        <w:rPr>
          <w:sz w:val="24"/>
          <w:szCs w:val="24"/>
        </w:rPr>
        <w:t>President;</w:t>
      </w:r>
      <w:r w:rsidR="001E04D9" w:rsidRPr="00071529">
        <w:rPr>
          <w:sz w:val="24"/>
          <w:szCs w:val="24"/>
        </w:rPr>
        <w:t xml:space="preserve"> </w:t>
      </w:r>
      <w:r w:rsidR="001E04D9" w:rsidRPr="00071529">
        <w:rPr>
          <w:rFonts w:eastAsia="Times New Roman"/>
          <w:sz w:val="24"/>
          <w:szCs w:val="24"/>
          <w:lang w:eastAsia="fr-FR" w:bidi="fr-FR"/>
        </w:rPr>
        <w:t xml:space="preserve">Ben KIOKO, Rafaâ BEN ACHOUR, Suzanne MENGUE, Tujilane R. CHIZUMILA, Chafika BENSAOULA, </w:t>
      </w:r>
      <w:r w:rsidR="001E04D9" w:rsidRPr="00071529">
        <w:rPr>
          <w:sz w:val="24"/>
          <w:szCs w:val="24"/>
        </w:rPr>
        <w:t xml:space="preserve">Blaise TCHIKAYA, </w:t>
      </w:r>
      <w:r w:rsidR="001E04D9" w:rsidRPr="00071529">
        <w:rPr>
          <w:rFonts w:eastAsia="Times New Roman"/>
          <w:sz w:val="24"/>
          <w:szCs w:val="24"/>
          <w:lang w:eastAsia="fr-FR" w:bidi="fr-FR"/>
        </w:rPr>
        <w:t>Stella I. ANUKAM, Dumisa B. NTSEBEZA, and Dennis</w:t>
      </w:r>
      <w:r w:rsidR="001E04D9" w:rsidRPr="00071529">
        <w:rPr>
          <w:sz w:val="24"/>
          <w:szCs w:val="24"/>
        </w:rPr>
        <w:t xml:space="preserve"> D. ADJEI </w:t>
      </w:r>
      <w:r w:rsidR="001E04D9" w:rsidRPr="00071529">
        <w:rPr>
          <w:rFonts w:eastAsia="Arial"/>
          <w:sz w:val="24"/>
          <w:szCs w:val="24"/>
        </w:rPr>
        <w:t xml:space="preserve">– </w:t>
      </w:r>
      <w:r w:rsidR="00DC4D5B" w:rsidRPr="00071529">
        <w:rPr>
          <w:rFonts w:eastAsia="Arial"/>
          <w:sz w:val="24"/>
          <w:szCs w:val="24"/>
        </w:rPr>
        <w:t>Judges;</w:t>
      </w:r>
      <w:r w:rsidR="001E04D9" w:rsidRPr="00071529">
        <w:rPr>
          <w:rFonts w:eastAsia="Arial"/>
          <w:sz w:val="24"/>
          <w:szCs w:val="24"/>
        </w:rPr>
        <w:t xml:space="preserve"> and Robert ENO, Registrar.</w:t>
      </w:r>
    </w:p>
    <w:p w14:paraId="7181192C" w14:textId="77777777" w:rsidR="001922F7" w:rsidRPr="00071529" w:rsidRDefault="001922F7" w:rsidP="00744733">
      <w:pPr>
        <w:rPr>
          <w:rFonts w:eastAsia="Arial"/>
          <w:sz w:val="24"/>
          <w:szCs w:val="24"/>
        </w:rPr>
      </w:pPr>
    </w:p>
    <w:p w14:paraId="00000016" w14:textId="34855A8C" w:rsidR="00257A8B" w:rsidRPr="00071529" w:rsidRDefault="00414F7B" w:rsidP="00744733">
      <w:pPr>
        <w:rPr>
          <w:rFonts w:eastAsia="Arial"/>
          <w:sz w:val="24"/>
          <w:szCs w:val="24"/>
        </w:rPr>
      </w:pPr>
      <w:r w:rsidRPr="00071529">
        <w:rPr>
          <w:sz w:val="24"/>
        </w:rPr>
        <w:t>In accordance with Article 22 of the Protocol to the African Charter on Human and Peoples’ Rights on the Establishment of an African Court on Human and Peoples’ Rights (hereinafter referred to as “the Protocol”) and Rule 9(2) of the Rules of Court (hereinafter referred to as “the Rules”)</w:t>
      </w:r>
      <w:r w:rsidR="00A07081" w:rsidRPr="00071529">
        <w:rPr>
          <w:rStyle w:val="FootnoteReference"/>
          <w:rFonts w:ascii="Arial" w:eastAsia="Arial" w:hAnsi="Arial" w:cs="Arial"/>
          <w:sz w:val="24"/>
          <w:szCs w:val="24"/>
        </w:rPr>
        <w:footnoteReference w:id="1"/>
      </w:r>
      <w:r w:rsidRPr="00071529">
        <w:rPr>
          <w:sz w:val="24"/>
        </w:rPr>
        <w:t xml:space="preserve">, Judge Imani D. ABOUD, a member of the Court and a Tanzanian national, did not hear the Application.  </w:t>
      </w:r>
    </w:p>
    <w:p w14:paraId="00AFA9E5" w14:textId="77777777" w:rsidR="001922F7" w:rsidRPr="00071529" w:rsidRDefault="001922F7" w:rsidP="00744733">
      <w:pPr>
        <w:rPr>
          <w:rFonts w:eastAsia="Arial"/>
          <w:sz w:val="24"/>
          <w:szCs w:val="24"/>
        </w:rPr>
      </w:pPr>
    </w:p>
    <w:p w14:paraId="00000017" w14:textId="4879FAED" w:rsidR="00257A8B" w:rsidRPr="00071529" w:rsidRDefault="00414F7B" w:rsidP="00744733">
      <w:pPr>
        <w:rPr>
          <w:rFonts w:eastAsia="Arial"/>
          <w:sz w:val="24"/>
          <w:szCs w:val="24"/>
        </w:rPr>
      </w:pPr>
      <w:r w:rsidRPr="00071529">
        <w:rPr>
          <w:sz w:val="24"/>
        </w:rPr>
        <w:t xml:space="preserve">In the Matter of </w:t>
      </w:r>
    </w:p>
    <w:p w14:paraId="6E1561DF" w14:textId="77777777" w:rsidR="001922F7" w:rsidRPr="00071529" w:rsidRDefault="001922F7" w:rsidP="00744733">
      <w:pPr>
        <w:rPr>
          <w:rFonts w:eastAsia="Arial"/>
          <w:sz w:val="24"/>
          <w:szCs w:val="24"/>
        </w:rPr>
      </w:pPr>
    </w:p>
    <w:p w14:paraId="46E41992" w14:textId="42E1A83C" w:rsidR="00300B12" w:rsidRPr="00071529" w:rsidRDefault="00B6540D" w:rsidP="00744733">
      <w:pPr>
        <w:rPr>
          <w:rFonts w:eastAsia="Arial"/>
          <w:bCs/>
          <w:sz w:val="24"/>
          <w:szCs w:val="24"/>
        </w:rPr>
      </w:pPr>
      <w:r w:rsidRPr="00071529">
        <w:rPr>
          <w:sz w:val="24"/>
        </w:rPr>
        <w:t>Marwa R</w:t>
      </w:r>
      <w:r w:rsidR="00041A9D">
        <w:rPr>
          <w:sz w:val="24"/>
        </w:rPr>
        <w:t>u</w:t>
      </w:r>
      <w:r w:rsidRPr="00071529">
        <w:rPr>
          <w:sz w:val="24"/>
        </w:rPr>
        <w:t>gumba</w:t>
      </w:r>
      <w:r w:rsidR="00702D48" w:rsidRPr="00071529">
        <w:rPr>
          <w:sz w:val="24"/>
        </w:rPr>
        <w:t xml:space="preserve"> </w:t>
      </w:r>
      <w:r w:rsidR="00300B12" w:rsidRPr="00071529">
        <w:rPr>
          <w:sz w:val="24"/>
        </w:rPr>
        <w:t xml:space="preserve">KISIRI </w:t>
      </w:r>
    </w:p>
    <w:p w14:paraId="1FFA6350" w14:textId="77777777" w:rsidR="00AC5517" w:rsidRPr="00071529" w:rsidRDefault="00AC5517" w:rsidP="00744733">
      <w:pPr>
        <w:rPr>
          <w:rFonts w:eastAsia="Arial"/>
          <w:i/>
          <w:iCs/>
          <w:sz w:val="24"/>
          <w:szCs w:val="24"/>
        </w:rPr>
      </w:pPr>
    </w:p>
    <w:p w14:paraId="0000001A" w14:textId="545D7265" w:rsidR="00257A8B" w:rsidRPr="00071529" w:rsidRDefault="0010143F" w:rsidP="00744733">
      <w:pPr>
        <w:rPr>
          <w:rFonts w:eastAsia="Arial"/>
          <w:sz w:val="24"/>
          <w:szCs w:val="24"/>
        </w:rPr>
      </w:pPr>
      <w:r w:rsidRPr="00071529">
        <w:rPr>
          <w:i/>
          <w:sz w:val="24"/>
        </w:rPr>
        <w:t>Self-represented</w:t>
      </w:r>
    </w:p>
    <w:p w14:paraId="4558A43E" w14:textId="77777777" w:rsidR="001922F7" w:rsidRPr="00071529" w:rsidRDefault="001922F7" w:rsidP="00744733">
      <w:pPr>
        <w:rPr>
          <w:rFonts w:eastAsia="Arial"/>
          <w:sz w:val="24"/>
          <w:szCs w:val="24"/>
        </w:rPr>
      </w:pPr>
    </w:p>
    <w:p w14:paraId="0000001B" w14:textId="77777777" w:rsidR="00257A8B" w:rsidRPr="00071529" w:rsidRDefault="00414F7B" w:rsidP="00744733">
      <w:pPr>
        <w:rPr>
          <w:rFonts w:eastAsia="Arial"/>
          <w:sz w:val="24"/>
          <w:szCs w:val="24"/>
        </w:rPr>
      </w:pPr>
      <w:r w:rsidRPr="00071529">
        <w:rPr>
          <w:sz w:val="24"/>
        </w:rPr>
        <w:t>Versus</w:t>
      </w:r>
    </w:p>
    <w:p w14:paraId="42889763" w14:textId="77777777" w:rsidR="0010143F" w:rsidRPr="00071529" w:rsidRDefault="0010143F" w:rsidP="00744733">
      <w:pPr>
        <w:rPr>
          <w:rFonts w:eastAsia="Arial"/>
          <w:sz w:val="24"/>
          <w:szCs w:val="24"/>
        </w:rPr>
      </w:pPr>
    </w:p>
    <w:p w14:paraId="0000001C" w14:textId="10F5D8BD" w:rsidR="00257A8B" w:rsidRPr="00071529" w:rsidRDefault="00414F7B" w:rsidP="00744733">
      <w:pPr>
        <w:rPr>
          <w:rFonts w:eastAsia="Arial"/>
          <w:sz w:val="24"/>
          <w:szCs w:val="24"/>
        </w:rPr>
      </w:pPr>
      <w:r w:rsidRPr="00071529">
        <w:rPr>
          <w:sz w:val="24"/>
        </w:rPr>
        <w:t>UNITED REPUBLIC OF TANZANIA</w:t>
      </w:r>
    </w:p>
    <w:p w14:paraId="476A7922" w14:textId="77777777" w:rsidR="0010143F" w:rsidRPr="00071529" w:rsidRDefault="0010143F" w:rsidP="00744733">
      <w:pPr>
        <w:rPr>
          <w:rFonts w:eastAsia="Arial"/>
          <w:i/>
          <w:iCs/>
          <w:sz w:val="24"/>
          <w:szCs w:val="24"/>
        </w:rPr>
      </w:pPr>
    </w:p>
    <w:p w14:paraId="6C08262A" w14:textId="75FFFEC4" w:rsidR="00AD0D23" w:rsidRPr="00071529" w:rsidRDefault="0010143F" w:rsidP="00744733">
      <w:pPr>
        <w:rPr>
          <w:rFonts w:eastAsia="Arial"/>
          <w:i/>
          <w:sz w:val="24"/>
          <w:szCs w:val="24"/>
        </w:rPr>
      </w:pPr>
      <w:r w:rsidRPr="00071529">
        <w:rPr>
          <w:sz w:val="24"/>
        </w:rPr>
        <w:t>Represented by:</w:t>
      </w:r>
    </w:p>
    <w:p w14:paraId="78DD901F" w14:textId="77777777" w:rsidR="00AC5517" w:rsidRPr="00071529" w:rsidRDefault="00AC5517" w:rsidP="00744733">
      <w:pPr>
        <w:rPr>
          <w:rFonts w:eastAsia="Arial"/>
          <w:i/>
          <w:sz w:val="24"/>
          <w:szCs w:val="24"/>
        </w:rPr>
      </w:pPr>
    </w:p>
    <w:p w14:paraId="1FFB351B" w14:textId="73B77193" w:rsidR="00AD0D23" w:rsidRPr="00071529" w:rsidRDefault="00AD0D23" w:rsidP="00744733">
      <w:pPr>
        <w:rPr>
          <w:sz w:val="24"/>
          <w:szCs w:val="24"/>
        </w:rPr>
      </w:pPr>
      <w:r w:rsidRPr="00071529">
        <w:rPr>
          <w:sz w:val="24"/>
        </w:rPr>
        <w:t xml:space="preserve">Dr. Boniphace Nalija LUHENDE, </w:t>
      </w:r>
      <w:r w:rsidRPr="00071529">
        <w:rPr>
          <w:i/>
          <w:iCs/>
          <w:sz w:val="24"/>
        </w:rPr>
        <w:t>Solicitor General, Office of the Solicitor General</w:t>
      </w:r>
      <w:r w:rsidRPr="00071529">
        <w:rPr>
          <w:sz w:val="24"/>
        </w:rPr>
        <w:t>;</w:t>
      </w:r>
    </w:p>
    <w:p w14:paraId="033116C4" w14:textId="1D6E4B07" w:rsidR="00AD0D23" w:rsidRPr="00071529" w:rsidRDefault="00AD0D23" w:rsidP="00744733">
      <w:pPr>
        <w:rPr>
          <w:sz w:val="24"/>
          <w:szCs w:val="24"/>
        </w:rPr>
      </w:pPr>
      <w:r w:rsidRPr="00071529">
        <w:rPr>
          <w:sz w:val="24"/>
        </w:rPr>
        <w:t>Ms Sarah Duncan MWAIPOPO, Deputy Solicitor General, Office of the Solicitor General;</w:t>
      </w:r>
    </w:p>
    <w:p w14:paraId="0D431B66" w14:textId="0940482E" w:rsidR="00AD0D23" w:rsidRPr="00071529" w:rsidRDefault="00AD0D23" w:rsidP="00744733">
      <w:pPr>
        <w:rPr>
          <w:sz w:val="24"/>
          <w:szCs w:val="24"/>
        </w:rPr>
      </w:pPr>
      <w:r w:rsidRPr="00071529">
        <w:rPr>
          <w:sz w:val="24"/>
        </w:rPr>
        <w:t xml:space="preserve">Mr Moussa MBURA, Director, Civil, </w:t>
      </w:r>
      <w:r w:rsidRPr="00071529">
        <w:rPr>
          <w:i/>
          <w:sz w:val="24"/>
        </w:rPr>
        <w:t>Principal State Attorney</w:t>
      </w:r>
      <w:r w:rsidRPr="00071529">
        <w:rPr>
          <w:sz w:val="24"/>
        </w:rPr>
        <w:t xml:space="preserve">, Office of the </w:t>
      </w:r>
      <w:r w:rsidRPr="00071529">
        <w:rPr>
          <w:i/>
          <w:sz w:val="24"/>
        </w:rPr>
        <w:t>Solicitor General</w:t>
      </w:r>
      <w:r w:rsidRPr="00071529">
        <w:rPr>
          <w:sz w:val="24"/>
        </w:rPr>
        <w:t xml:space="preserve">; </w:t>
      </w:r>
    </w:p>
    <w:p w14:paraId="627EC264" w14:textId="57EDB389" w:rsidR="00AD0D23" w:rsidRPr="00071529" w:rsidRDefault="00AD0D23" w:rsidP="00744733">
      <w:pPr>
        <w:rPr>
          <w:sz w:val="24"/>
          <w:szCs w:val="24"/>
        </w:rPr>
      </w:pPr>
      <w:r w:rsidRPr="00071529">
        <w:rPr>
          <w:sz w:val="24"/>
        </w:rPr>
        <w:t xml:space="preserve">Mr M. CHANGA, Deputy Director, Human Rights and Electoral Disputes, Office of the </w:t>
      </w:r>
      <w:r w:rsidRPr="00071529">
        <w:rPr>
          <w:iCs/>
          <w:sz w:val="24"/>
        </w:rPr>
        <w:t>Solicitor General</w:t>
      </w:r>
      <w:r w:rsidRPr="00071529">
        <w:rPr>
          <w:sz w:val="24"/>
        </w:rPr>
        <w:t xml:space="preserve">; </w:t>
      </w:r>
    </w:p>
    <w:p w14:paraId="33F458DA" w14:textId="127E60D6" w:rsidR="00AD0D23" w:rsidRPr="00071529" w:rsidRDefault="00AD0D23" w:rsidP="00744733">
      <w:pPr>
        <w:rPr>
          <w:sz w:val="24"/>
          <w:szCs w:val="24"/>
        </w:rPr>
      </w:pPr>
      <w:r w:rsidRPr="00071529">
        <w:rPr>
          <w:sz w:val="24"/>
        </w:rPr>
        <w:t xml:space="preserve">Ms Vivian METHOD, </w:t>
      </w:r>
      <w:r w:rsidRPr="00071529">
        <w:rPr>
          <w:iCs/>
          <w:sz w:val="24"/>
        </w:rPr>
        <w:t>State Attorney</w:t>
      </w:r>
      <w:r w:rsidRPr="00071529">
        <w:rPr>
          <w:sz w:val="24"/>
        </w:rPr>
        <w:t xml:space="preserve">, Office of the </w:t>
      </w:r>
      <w:r w:rsidRPr="00071529">
        <w:rPr>
          <w:iCs/>
          <w:sz w:val="24"/>
        </w:rPr>
        <w:t>Solicitor General;</w:t>
      </w:r>
      <w:r w:rsidRPr="00071529">
        <w:rPr>
          <w:sz w:val="24"/>
        </w:rPr>
        <w:t xml:space="preserve"> </w:t>
      </w:r>
    </w:p>
    <w:p w14:paraId="40016848" w14:textId="42C3CB66" w:rsidR="00AD0D23" w:rsidRPr="00071529" w:rsidRDefault="00AD0D23" w:rsidP="00744733">
      <w:pPr>
        <w:rPr>
          <w:sz w:val="24"/>
          <w:szCs w:val="24"/>
        </w:rPr>
      </w:pPr>
      <w:r w:rsidRPr="00071529">
        <w:rPr>
          <w:sz w:val="24"/>
        </w:rPr>
        <w:t xml:space="preserve">Ms Jacqueline KINYASI, State </w:t>
      </w:r>
      <w:r w:rsidRPr="00071529">
        <w:rPr>
          <w:iCs/>
          <w:sz w:val="24"/>
        </w:rPr>
        <w:t>Attorney</w:t>
      </w:r>
      <w:r w:rsidRPr="00071529">
        <w:rPr>
          <w:sz w:val="24"/>
        </w:rPr>
        <w:t xml:space="preserve">, Office of the </w:t>
      </w:r>
      <w:r w:rsidRPr="00071529">
        <w:rPr>
          <w:iCs/>
          <w:sz w:val="24"/>
        </w:rPr>
        <w:t>Solicitor General</w:t>
      </w:r>
      <w:r w:rsidRPr="00071529">
        <w:rPr>
          <w:sz w:val="24"/>
        </w:rPr>
        <w:t>; and</w:t>
      </w:r>
    </w:p>
    <w:p w14:paraId="110A57C5" w14:textId="01EB8769" w:rsidR="00AD0D23" w:rsidRPr="00071529" w:rsidRDefault="00AD0D23" w:rsidP="00744733">
      <w:pPr>
        <w:rPr>
          <w:sz w:val="24"/>
          <w:szCs w:val="24"/>
        </w:rPr>
      </w:pPr>
      <w:r w:rsidRPr="00071529">
        <w:rPr>
          <w:sz w:val="24"/>
        </w:rPr>
        <w:t>Ms. Blandina KASAGAMA, Legal Officer, Ministry of Foreign Affairs, East Africa Cooperation.</w:t>
      </w:r>
    </w:p>
    <w:p w14:paraId="7DD0FAEF" w14:textId="77777777" w:rsidR="001922F7" w:rsidRPr="00071529" w:rsidRDefault="001922F7" w:rsidP="00744733">
      <w:pPr>
        <w:rPr>
          <w:rFonts w:eastAsia="Arial"/>
          <w:sz w:val="24"/>
          <w:szCs w:val="24"/>
        </w:rPr>
      </w:pPr>
    </w:p>
    <w:p w14:paraId="00000020" w14:textId="77777777" w:rsidR="00257A8B" w:rsidRPr="00071529" w:rsidRDefault="00414F7B" w:rsidP="00744733">
      <w:pPr>
        <w:rPr>
          <w:rFonts w:eastAsia="Arial"/>
          <w:sz w:val="24"/>
          <w:szCs w:val="24"/>
        </w:rPr>
      </w:pPr>
      <w:r w:rsidRPr="00071529">
        <w:rPr>
          <w:sz w:val="24"/>
        </w:rPr>
        <w:t>After deliberation,</w:t>
      </w:r>
    </w:p>
    <w:p w14:paraId="5537953D" w14:textId="77777777" w:rsidR="001922F7" w:rsidRPr="00071529" w:rsidRDefault="001922F7" w:rsidP="00744733">
      <w:pPr>
        <w:rPr>
          <w:rFonts w:eastAsia="Arial"/>
          <w:i/>
          <w:iCs/>
          <w:sz w:val="24"/>
          <w:szCs w:val="24"/>
        </w:rPr>
      </w:pPr>
    </w:p>
    <w:p w14:paraId="00000021" w14:textId="4AC458E5" w:rsidR="00257A8B" w:rsidRPr="00071529" w:rsidRDefault="00AC5517" w:rsidP="00744733">
      <w:pPr>
        <w:rPr>
          <w:rFonts w:eastAsia="Arial"/>
          <w:i/>
          <w:iCs/>
          <w:sz w:val="24"/>
          <w:szCs w:val="24"/>
        </w:rPr>
      </w:pPr>
      <w:r w:rsidRPr="00071529">
        <w:rPr>
          <w:i/>
          <w:sz w:val="24"/>
        </w:rPr>
        <w:t>renders this Judgment:</w:t>
      </w:r>
    </w:p>
    <w:p w14:paraId="5098E47D" w14:textId="0DC29291" w:rsidR="00046CDA" w:rsidRPr="00071529" w:rsidRDefault="00046CDA" w:rsidP="00744733">
      <w:pPr>
        <w:rPr>
          <w:rFonts w:eastAsia="Arial"/>
          <w:b/>
          <w:sz w:val="24"/>
          <w:szCs w:val="24"/>
        </w:rPr>
      </w:pPr>
    </w:p>
    <w:p w14:paraId="7C7D888F" w14:textId="77777777" w:rsidR="00AC5517" w:rsidRPr="00071529" w:rsidRDefault="00AC5517" w:rsidP="00744733">
      <w:pPr>
        <w:rPr>
          <w:rFonts w:eastAsia="Arial"/>
          <w:b/>
          <w:sz w:val="24"/>
          <w:szCs w:val="24"/>
        </w:rPr>
      </w:pPr>
    </w:p>
    <w:p w14:paraId="00000023" w14:textId="547F7C5C" w:rsidR="00257A8B" w:rsidRPr="00071529" w:rsidRDefault="00414F7B" w:rsidP="00744733">
      <w:pPr>
        <w:rPr>
          <w:sz w:val="24"/>
          <w:szCs w:val="24"/>
        </w:rPr>
      </w:pPr>
      <w:bookmarkStart w:id="3" w:name="_Toc143519678"/>
      <w:r w:rsidRPr="00071529">
        <w:rPr>
          <w:sz w:val="24"/>
        </w:rPr>
        <w:t>THE PARTIES</w:t>
      </w:r>
      <w:bookmarkEnd w:id="3"/>
    </w:p>
    <w:p w14:paraId="50652D16" w14:textId="77777777" w:rsidR="001922F7" w:rsidRPr="00071529" w:rsidRDefault="001922F7" w:rsidP="00744733">
      <w:pPr>
        <w:rPr>
          <w:rFonts w:eastAsia="Arial"/>
          <w:b/>
          <w:sz w:val="24"/>
          <w:szCs w:val="24"/>
        </w:rPr>
      </w:pPr>
    </w:p>
    <w:p w14:paraId="00000025" w14:textId="26D3E3A0" w:rsidR="00257A8B" w:rsidRPr="00071529" w:rsidRDefault="00196364" w:rsidP="00744733">
      <w:pPr>
        <w:rPr>
          <w:rFonts w:eastAsia="Arial"/>
          <w:sz w:val="24"/>
          <w:szCs w:val="24"/>
        </w:rPr>
      </w:pPr>
      <w:r w:rsidRPr="00071529">
        <w:rPr>
          <w:sz w:val="24"/>
        </w:rPr>
        <w:t>M</w:t>
      </w:r>
      <w:r w:rsidR="009A7D74" w:rsidRPr="00071529">
        <w:rPr>
          <w:sz w:val="24"/>
        </w:rPr>
        <w:t>arwa</w:t>
      </w:r>
      <w:r w:rsidRPr="00071529">
        <w:rPr>
          <w:sz w:val="24"/>
        </w:rPr>
        <w:t xml:space="preserve"> R</w:t>
      </w:r>
      <w:r w:rsidR="00041A9D">
        <w:rPr>
          <w:sz w:val="24"/>
        </w:rPr>
        <w:t>u</w:t>
      </w:r>
      <w:r w:rsidR="009A7D74" w:rsidRPr="00071529">
        <w:rPr>
          <w:sz w:val="24"/>
        </w:rPr>
        <w:t>gumba</w:t>
      </w:r>
      <w:r w:rsidRPr="00071529">
        <w:rPr>
          <w:sz w:val="24"/>
        </w:rPr>
        <w:t xml:space="preserve"> K</w:t>
      </w:r>
      <w:r w:rsidR="009A7D74" w:rsidRPr="00071529">
        <w:rPr>
          <w:sz w:val="24"/>
        </w:rPr>
        <w:t>isiri</w:t>
      </w:r>
      <w:r w:rsidR="008C0616" w:rsidRPr="00071529">
        <w:rPr>
          <w:sz w:val="24"/>
        </w:rPr>
        <w:t xml:space="preserve"> (</w:t>
      </w:r>
      <w:r w:rsidR="008C0616" w:rsidRPr="00071529">
        <w:rPr>
          <w:bCs/>
          <w:sz w:val="24"/>
        </w:rPr>
        <w:t>hereinafter</w:t>
      </w:r>
      <w:r w:rsidRPr="00071529">
        <w:rPr>
          <w:sz w:val="24"/>
        </w:rPr>
        <w:t xml:space="preserve"> referred to as “the Applicant”) is a Tanzanian </w:t>
      </w:r>
      <w:r w:rsidR="00B03C85" w:rsidRPr="00071529">
        <w:rPr>
          <w:sz w:val="24"/>
        </w:rPr>
        <w:t>national</w:t>
      </w:r>
      <w:r w:rsidR="009A7D74" w:rsidRPr="00071529">
        <w:rPr>
          <w:sz w:val="24"/>
        </w:rPr>
        <w:t>,</w:t>
      </w:r>
      <w:r w:rsidRPr="00071529">
        <w:rPr>
          <w:sz w:val="24"/>
        </w:rPr>
        <w:t xml:space="preserve"> who at the time of filing the Application, was serving a thirty (30)</w:t>
      </w:r>
      <w:r w:rsidR="006E2B8D" w:rsidRPr="00071529">
        <w:rPr>
          <w:sz w:val="24"/>
        </w:rPr>
        <w:t>-</w:t>
      </w:r>
      <w:r w:rsidRPr="00071529">
        <w:rPr>
          <w:sz w:val="24"/>
        </w:rPr>
        <w:t xml:space="preserve"> </w:t>
      </w:r>
      <w:r w:rsidR="00B3599C" w:rsidRPr="00071529">
        <w:rPr>
          <w:sz w:val="24"/>
        </w:rPr>
        <w:t>year sentence</w:t>
      </w:r>
      <w:r w:rsidRPr="00071529">
        <w:rPr>
          <w:sz w:val="24"/>
        </w:rPr>
        <w:t xml:space="preserve"> </w:t>
      </w:r>
      <w:r w:rsidR="00BF3B90" w:rsidRPr="00071529">
        <w:rPr>
          <w:sz w:val="24"/>
        </w:rPr>
        <w:t>at Butimba</w:t>
      </w:r>
      <w:r w:rsidR="00F44FF9" w:rsidRPr="00071529">
        <w:rPr>
          <w:sz w:val="24"/>
        </w:rPr>
        <w:t xml:space="preserve"> Central Prison</w:t>
      </w:r>
      <w:r w:rsidR="00BF3B90" w:rsidRPr="00071529">
        <w:rPr>
          <w:sz w:val="24"/>
        </w:rPr>
        <w:t xml:space="preserve"> </w:t>
      </w:r>
      <w:r w:rsidR="00F44FF9" w:rsidRPr="00071529">
        <w:rPr>
          <w:sz w:val="24"/>
        </w:rPr>
        <w:t xml:space="preserve">in </w:t>
      </w:r>
      <w:r w:rsidR="00BF3B90" w:rsidRPr="00071529">
        <w:rPr>
          <w:sz w:val="24"/>
        </w:rPr>
        <w:t>Mwanza</w:t>
      </w:r>
      <w:r w:rsidRPr="00071529">
        <w:rPr>
          <w:sz w:val="24"/>
        </w:rPr>
        <w:t xml:space="preserve">, having been convicted of the offence of </w:t>
      </w:r>
      <w:r w:rsidR="009A7D74" w:rsidRPr="00071529">
        <w:rPr>
          <w:sz w:val="24"/>
        </w:rPr>
        <w:t>armed robbery</w:t>
      </w:r>
      <w:r w:rsidRPr="00071529">
        <w:rPr>
          <w:sz w:val="24"/>
        </w:rPr>
        <w:t xml:space="preserve">. He </w:t>
      </w:r>
      <w:r w:rsidR="00B3599C" w:rsidRPr="00071529">
        <w:rPr>
          <w:sz w:val="24"/>
        </w:rPr>
        <w:t xml:space="preserve">alleges the </w:t>
      </w:r>
      <w:r w:rsidRPr="00071529">
        <w:rPr>
          <w:sz w:val="24"/>
        </w:rPr>
        <w:t>violation of his rights before domestic courts.</w:t>
      </w:r>
    </w:p>
    <w:p w14:paraId="10471699" w14:textId="77777777" w:rsidR="001922F7" w:rsidRPr="00071529" w:rsidRDefault="001922F7" w:rsidP="00744733">
      <w:pPr>
        <w:rPr>
          <w:rFonts w:eastAsia="Arial"/>
          <w:sz w:val="24"/>
          <w:szCs w:val="24"/>
        </w:rPr>
      </w:pPr>
    </w:p>
    <w:p w14:paraId="702DFA83" w14:textId="149B365F" w:rsidR="001922F7" w:rsidRPr="00071529" w:rsidRDefault="00414F7B" w:rsidP="00744733">
      <w:pPr>
        <w:rPr>
          <w:rFonts w:eastAsia="Arial"/>
          <w:bCs/>
          <w:sz w:val="24"/>
          <w:szCs w:val="24"/>
        </w:rPr>
      </w:pPr>
      <w:r w:rsidRPr="00071529">
        <w:rPr>
          <w:sz w:val="24"/>
        </w:rPr>
        <w:t xml:space="preserve">The Application is filed against the United Republic of Tanzania </w:t>
      </w:r>
      <w:r w:rsidR="00BF3B90" w:rsidRPr="00071529">
        <w:rPr>
          <w:sz w:val="24"/>
        </w:rPr>
        <w:t xml:space="preserve">(hereinafter </w:t>
      </w:r>
      <w:r w:rsidRPr="00071529">
        <w:rPr>
          <w:sz w:val="24"/>
        </w:rPr>
        <w:t xml:space="preserve">referred to as “the Respondent State”), which became a Party to the African Charter on Human and Peoples’ Rights (hereinafter referred to as “the Charter”) on 21 October 1986 and to the Protocol on 10 February 2006. Furthermore, on 29 March 2010, the Respondent State deposited the Declaration provided for under Article 34(6) of the </w:t>
      </w:r>
      <w:r w:rsidR="00BF3B90" w:rsidRPr="00071529">
        <w:rPr>
          <w:sz w:val="24"/>
        </w:rPr>
        <w:t xml:space="preserve">Protocol </w:t>
      </w:r>
      <w:r w:rsidRPr="00071529">
        <w:rPr>
          <w:sz w:val="24"/>
        </w:rPr>
        <w:t xml:space="preserve">by virtue of which it accepted the jurisdiction of the Court to receive applications from individuals and Non-Governmental Organisations (hereinafter referred to as “ONG”). On 21 November 2019, the Respondent State deposited with the African Union Commission an instrument of withdrawal of its Declaration. </w:t>
      </w:r>
      <w:r w:rsidRPr="00071529">
        <w:rPr>
          <w:bCs/>
          <w:sz w:val="24"/>
        </w:rPr>
        <w:t>The Court has held that this withdrawal has no effect on pending and new cases filed before the entry into force of the said withdrawal</w:t>
      </w:r>
      <w:r w:rsidR="00BF3B90" w:rsidRPr="00071529">
        <w:rPr>
          <w:bCs/>
          <w:sz w:val="24"/>
        </w:rPr>
        <w:t xml:space="preserve"> </w:t>
      </w:r>
      <w:r w:rsidRPr="00071529">
        <w:rPr>
          <w:bCs/>
          <w:sz w:val="24"/>
        </w:rPr>
        <w:t>one</w:t>
      </w:r>
      <w:r w:rsidR="00937BFB" w:rsidRPr="00071529">
        <w:rPr>
          <w:bCs/>
          <w:sz w:val="24"/>
        </w:rPr>
        <w:t xml:space="preserve"> (1)</w:t>
      </w:r>
      <w:r w:rsidRPr="00071529">
        <w:rPr>
          <w:bCs/>
          <w:sz w:val="24"/>
        </w:rPr>
        <w:t xml:space="preserve"> year after its deposit </w:t>
      </w:r>
      <w:r w:rsidR="002C66B0" w:rsidRPr="00071529">
        <w:rPr>
          <w:bCs/>
          <w:sz w:val="24"/>
        </w:rPr>
        <w:t>which</w:t>
      </w:r>
      <w:r w:rsidR="00937BFB" w:rsidRPr="00071529">
        <w:rPr>
          <w:bCs/>
          <w:sz w:val="24"/>
        </w:rPr>
        <w:t>,</w:t>
      </w:r>
      <w:r w:rsidR="002C66B0" w:rsidRPr="00071529">
        <w:rPr>
          <w:bCs/>
          <w:sz w:val="24"/>
        </w:rPr>
        <w:t xml:space="preserve"> </w:t>
      </w:r>
      <w:r w:rsidRPr="00071529">
        <w:rPr>
          <w:bCs/>
          <w:sz w:val="24"/>
        </w:rPr>
        <w:t xml:space="preserve">in </w:t>
      </w:r>
      <w:r w:rsidR="00492617" w:rsidRPr="00071529">
        <w:rPr>
          <w:bCs/>
          <w:sz w:val="24"/>
        </w:rPr>
        <w:t>the</w:t>
      </w:r>
      <w:r w:rsidR="00425EB4" w:rsidRPr="00071529">
        <w:rPr>
          <w:bCs/>
          <w:sz w:val="24"/>
        </w:rPr>
        <w:t xml:space="preserve"> present </w:t>
      </w:r>
      <w:r w:rsidRPr="00071529">
        <w:rPr>
          <w:bCs/>
          <w:sz w:val="24"/>
        </w:rPr>
        <w:t>case</w:t>
      </w:r>
      <w:r w:rsidR="00425EB4" w:rsidRPr="00071529">
        <w:rPr>
          <w:bCs/>
          <w:sz w:val="24"/>
        </w:rPr>
        <w:t>,</w:t>
      </w:r>
      <w:r w:rsidRPr="00071529">
        <w:rPr>
          <w:bCs/>
          <w:sz w:val="24"/>
        </w:rPr>
        <w:t xml:space="preserve"> </w:t>
      </w:r>
      <w:r w:rsidR="002C66B0" w:rsidRPr="00071529">
        <w:rPr>
          <w:bCs/>
          <w:sz w:val="24"/>
        </w:rPr>
        <w:t xml:space="preserve">is </w:t>
      </w:r>
      <w:r w:rsidRPr="00071529">
        <w:rPr>
          <w:bCs/>
          <w:sz w:val="24"/>
        </w:rPr>
        <w:t>on 26 March 2021.</w:t>
      </w:r>
      <w:r w:rsidR="006B4314" w:rsidRPr="00071529">
        <w:rPr>
          <w:rStyle w:val="FootnoteReference"/>
          <w:rFonts w:ascii="Arial" w:hAnsi="Arial" w:cs="Arial"/>
          <w:bCs/>
          <w:sz w:val="24"/>
        </w:rPr>
        <w:footnoteReference w:id="2"/>
      </w:r>
    </w:p>
    <w:p w14:paraId="00000028" w14:textId="13A17C7D" w:rsidR="00257A8B" w:rsidRPr="00071529" w:rsidRDefault="00414F7B" w:rsidP="00744733">
      <w:pPr>
        <w:rPr>
          <w:sz w:val="24"/>
          <w:szCs w:val="24"/>
        </w:rPr>
      </w:pPr>
      <w:bookmarkStart w:id="5" w:name="_Toc143519679"/>
      <w:r w:rsidRPr="00071529">
        <w:rPr>
          <w:sz w:val="24"/>
        </w:rPr>
        <w:t>SUBJECT OF THE APPLICATION</w:t>
      </w:r>
      <w:bookmarkEnd w:id="5"/>
    </w:p>
    <w:p w14:paraId="7EF1029F" w14:textId="77777777" w:rsidR="00A21E7C" w:rsidRPr="00071529" w:rsidRDefault="00A21E7C" w:rsidP="00744733">
      <w:pPr>
        <w:rPr>
          <w:sz w:val="24"/>
          <w:szCs w:val="24"/>
        </w:rPr>
      </w:pPr>
    </w:p>
    <w:p w14:paraId="09919202" w14:textId="1DFC9BC8" w:rsidR="00700741" w:rsidRPr="00071529" w:rsidRDefault="000E7FBE" w:rsidP="00744733">
      <w:pPr>
        <w:rPr>
          <w:sz w:val="24"/>
          <w:szCs w:val="24"/>
        </w:rPr>
      </w:pPr>
      <w:bookmarkStart w:id="6" w:name="_Toc143519680"/>
      <w:r w:rsidRPr="00071529">
        <w:rPr>
          <w:sz w:val="24"/>
        </w:rPr>
        <w:t>Facts of the matter</w:t>
      </w:r>
      <w:bookmarkEnd w:id="6"/>
    </w:p>
    <w:p w14:paraId="01F6F462" w14:textId="77777777" w:rsidR="00700741" w:rsidRPr="00071529" w:rsidRDefault="00700741" w:rsidP="00744733">
      <w:pPr>
        <w:rPr>
          <w:sz w:val="24"/>
          <w:szCs w:val="24"/>
        </w:rPr>
      </w:pPr>
    </w:p>
    <w:p w14:paraId="13CBC4B7" w14:textId="20BE2C95" w:rsidR="00CF5B19" w:rsidRPr="00071529" w:rsidRDefault="00C86861" w:rsidP="00744733">
      <w:pPr>
        <w:rPr>
          <w:rFonts w:eastAsia="Arial"/>
          <w:bCs/>
          <w:sz w:val="24"/>
          <w:szCs w:val="24"/>
        </w:rPr>
      </w:pPr>
      <w:r w:rsidRPr="00071529">
        <w:rPr>
          <w:bCs/>
          <w:sz w:val="24"/>
        </w:rPr>
        <w:t>It emerges from the record that on 13 June 2004</w:t>
      </w:r>
      <w:r w:rsidR="00DC47C3" w:rsidRPr="00071529">
        <w:rPr>
          <w:bCs/>
          <w:sz w:val="24"/>
        </w:rPr>
        <w:t xml:space="preserve"> </w:t>
      </w:r>
      <w:r w:rsidRPr="00071529">
        <w:rPr>
          <w:bCs/>
          <w:sz w:val="24"/>
        </w:rPr>
        <w:t>in Nyamagana District</w:t>
      </w:r>
      <w:r w:rsidR="00EC66A8" w:rsidRPr="00071529">
        <w:rPr>
          <w:bCs/>
          <w:sz w:val="24"/>
        </w:rPr>
        <w:t xml:space="preserve">, </w:t>
      </w:r>
      <w:r w:rsidRPr="00071529">
        <w:rPr>
          <w:bCs/>
          <w:sz w:val="24"/>
        </w:rPr>
        <w:t>Mwanza Region, the Applicant, together with three</w:t>
      </w:r>
      <w:r w:rsidR="00B7075F" w:rsidRPr="00071529">
        <w:rPr>
          <w:bCs/>
          <w:sz w:val="24"/>
        </w:rPr>
        <w:t xml:space="preserve"> (3)</w:t>
      </w:r>
      <w:r w:rsidRPr="00071529">
        <w:rPr>
          <w:bCs/>
          <w:sz w:val="24"/>
        </w:rPr>
        <w:t xml:space="preserve"> other persons</w:t>
      </w:r>
      <w:r w:rsidR="00937BFB" w:rsidRPr="00071529">
        <w:rPr>
          <w:bCs/>
          <w:sz w:val="24"/>
        </w:rPr>
        <w:t xml:space="preserve"> not appearing before this Court</w:t>
      </w:r>
      <w:r w:rsidRPr="00071529">
        <w:rPr>
          <w:bCs/>
          <w:sz w:val="24"/>
        </w:rPr>
        <w:t xml:space="preserve">, broke into the house of Mr Stanley Chilogo. </w:t>
      </w:r>
      <w:r w:rsidR="00937BFB" w:rsidRPr="00071529">
        <w:rPr>
          <w:bCs/>
          <w:sz w:val="24"/>
        </w:rPr>
        <w:t xml:space="preserve">They stole a television set and a video player belonging to the victim. </w:t>
      </w:r>
      <w:r w:rsidRPr="00071529">
        <w:rPr>
          <w:bCs/>
          <w:sz w:val="24"/>
        </w:rPr>
        <w:t xml:space="preserve">On 15 November 2006, the </w:t>
      </w:r>
      <w:r w:rsidR="00937BFB" w:rsidRPr="00071529">
        <w:rPr>
          <w:bCs/>
          <w:sz w:val="24"/>
        </w:rPr>
        <w:t xml:space="preserve">Court of the said </w:t>
      </w:r>
      <w:r w:rsidRPr="00071529">
        <w:rPr>
          <w:bCs/>
          <w:sz w:val="24"/>
        </w:rPr>
        <w:t>District found the Applicant guilty of armed</w:t>
      </w:r>
      <w:r w:rsidR="00150AD5" w:rsidRPr="00071529">
        <w:rPr>
          <w:bCs/>
          <w:sz w:val="24"/>
        </w:rPr>
        <w:t xml:space="preserve"> robbery</w:t>
      </w:r>
      <w:r w:rsidRPr="00071529">
        <w:rPr>
          <w:bCs/>
          <w:sz w:val="24"/>
        </w:rPr>
        <w:t xml:space="preserve"> and sentenced him to thirty (30) years’ imprisonment.  </w:t>
      </w:r>
    </w:p>
    <w:p w14:paraId="3F9F54D8" w14:textId="77777777" w:rsidR="00FE1BDC" w:rsidRPr="00071529" w:rsidRDefault="00FE1BDC" w:rsidP="00744733">
      <w:pPr>
        <w:rPr>
          <w:rFonts w:eastAsia="Arial"/>
          <w:bCs/>
          <w:sz w:val="24"/>
          <w:szCs w:val="24"/>
        </w:rPr>
      </w:pPr>
    </w:p>
    <w:p w14:paraId="0000002B" w14:textId="70D4D29F" w:rsidR="00257A8B" w:rsidRPr="00071529" w:rsidRDefault="00766359" w:rsidP="00744733">
      <w:pPr>
        <w:rPr>
          <w:rFonts w:eastAsia="Arial"/>
          <w:bCs/>
          <w:sz w:val="24"/>
          <w:szCs w:val="24"/>
        </w:rPr>
      </w:pPr>
      <w:r w:rsidRPr="00071529">
        <w:rPr>
          <w:sz w:val="24"/>
        </w:rPr>
        <w:t xml:space="preserve">The Applicant first appealed to the High Court </w:t>
      </w:r>
      <w:r w:rsidR="00B03C85" w:rsidRPr="00071529">
        <w:rPr>
          <w:sz w:val="24"/>
        </w:rPr>
        <w:t xml:space="preserve">sitting </w:t>
      </w:r>
      <w:r w:rsidR="00B6540D" w:rsidRPr="00071529">
        <w:rPr>
          <w:sz w:val="24"/>
        </w:rPr>
        <w:t>at Mwanza</w:t>
      </w:r>
      <w:r w:rsidRPr="00071529">
        <w:rPr>
          <w:sz w:val="24"/>
        </w:rPr>
        <w:t xml:space="preserve"> which upheld </w:t>
      </w:r>
      <w:r w:rsidR="00B6540D" w:rsidRPr="00071529">
        <w:rPr>
          <w:sz w:val="24"/>
        </w:rPr>
        <w:t>the decision</w:t>
      </w:r>
      <w:r w:rsidR="00B03C85" w:rsidRPr="00071529">
        <w:rPr>
          <w:sz w:val="24"/>
        </w:rPr>
        <w:t xml:space="preserve"> of the </w:t>
      </w:r>
      <w:bookmarkStart w:id="7" w:name="_Hlk140740283"/>
      <w:r w:rsidR="00B03C85" w:rsidRPr="00071529">
        <w:rPr>
          <w:sz w:val="24"/>
        </w:rPr>
        <w:t>Nyamagana District Court</w:t>
      </w:r>
      <w:r w:rsidRPr="00071529">
        <w:rPr>
          <w:sz w:val="24"/>
        </w:rPr>
        <w:t xml:space="preserve"> </w:t>
      </w:r>
      <w:bookmarkEnd w:id="7"/>
      <w:r w:rsidRPr="00071529">
        <w:rPr>
          <w:sz w:val="24"/>
        </w:rPr>
        <w:t>on 10 August 2011.  H</w:t>
      </w:r>
      <w:r w:rsidR="00B03C85" w:rsidRPr="00071529">
        <w:rPr>
          <w:sz w:val="24"/>
        </w:rPr>
        <w:t xml:space="preserve">is </w:t>
      </w:r>
      <w:r w:rsidRPr="00071529">
        <w:rPr>
          <w:sz w:val="24"/>
        </w:rPr>
        <w:t>second appeal before the Court of Appeal of Tanzania sitting in Mwanza</w:t>
      </w:r>
      <w:r w:rsidR="00B03C85" w:rsidRPr="00071529">
        <w:rPr>
          <w:sz w:val="24"/>
        </w:rPr>
        <w:t xml:space="preserve"> was</w:t>
      </w:r>
      <w:r w:rsidRPr="00071529">
        <w:rPr>
          <w:sz w:val="24"/>
        </w:rPr>
        <w:t xml:space="preserve"> also </w:t>
      </w:r>
      <w:r w:rsidR="00B6540D" w:rsidRPr="00071529">
        <w:rPr>
          <w:sz w:val="24"/>
        </w:rPr>
        <w:t>dismissed on</w:t>
      </w:r>
      <w:r w:rsidRPr="00071529">
        <w:rPr>
          <w:sz w:val="24"/>
        </w:rPr>
        <w:t xml:space="preserve"> 1 August 2013.</w:t>
      </w:r>
    </w:p>
    <w:p w14:paraId="15F7435E" w14:textId="77777777" w:rsidR="00A21E7C" w:rsidRPr="00071529" w:rsidRDefault="00A21E7C" w:rsidP="00744733">
      <w:pPr>
        <w:rPr>
          <w:rFonts w:eastAsia="Arial"/>
          <w:sz w:val="24"/>
          <w:szCs w:val="24"/>
        </w:rPr>
      </w:pPr>
    </w:p>
    <w:p w14:paraId="72A410B7" w14:textId="6580380D" w:rsidR="00A72F57" w:rsidRPr="00071529" w:rsidRDefault="000E7FBE" w:rsidP="00744733">
      <w:pPr>
        <w:rPr>
          <w:sz w:val="24"/>
          <w:szCs w:val="24"/>
        </w:rPr>
      </w:pPr>
      <w:bookmarkStart w:id="8" w:name="_Toc143519681"/>
      <w:r w:rsidRPr="00071529">
        <w:rPr>
          <w:sz w:val="24"/>
        </w:rPr>
        <w:t>Alleged violations</w:t>
      </w:r>
      <w:bookmarkEnd w:id="8"/>
      <w:r w:rsidRPr="00071529">
        <w:rPr>
          <w:sz w:val="24"/>
        </w:rPr>
        <w:t xml:space="preserve"> </w:t>
      </w:r>
    </w:p>
    <w:p w14:paraId="02F328E9" w14:textId="77777777" w:rsidR="00A72F57" w:rsidRPr="00071529" w:rsidRDefault="00A72F57" w:rsidP="00744733"/>
    <w:p w14:paraId="194E5185" w14:textId="56474D25" w:rsidR="00A72F57" w:rsidRPr="00071529" w:rsidRDefault="00866BC9" w:rsidP="00744733">
      <w:pPr>
        <w:rPr>
          <w:rFonts w:eastAsia="Arial"/>
          <w:sz w:val="24"/>
          <w:szCs w:val="24"/>
        </w:rPr>
      </w:pPr>
      <w:r w:rsidRPr="00071529">
        <w:rPr>
          <w:sz w:val="24"/>
        </w:rPr>
        <w:t>The Applicant alleges violation of the following rights:</w:t>
      </w:r>
    </w:p>
    <w:p w14:paraId="3E7B551A" w14:textId="77777777" w:rsidR="00A21E7C" w:rsidRPr="00071529" w:rsidRDefault="00A21E7C" w:rsidP="00744733">
      <w:pPr>
        <w:rPr>
          <w:rFonts w:eastAsia="Arial"/>
          <w:sz w:val="24"/>
          <w:szCs w:val="24"/>
        </w:rPr>
      </w:pPr>
    </w:p>
    <w:p w14:paraId="27A10D84" w14:textId="6730A2B7" w:rsidR="000E7FBE" w:rsidRPr="00071529" w:rsidRDefault="008D1C1E" w:rsidP="00744733">
      <w:pPr>
        <w:rPr>
          <w:rFonts w:eastAsia="Arial"/>
        </w:rPr>
      </w:pPr>
      <w:r w:rsidRPr="00071529">
        <w:t>The right to equality before the law and equal protection of the law guaranteed under Article 3(1)(2) of the Charter;</w:t>
      </w:r>
    </w:p>
    <w:p w14:paraId="3F0DE160" w14:textId="31853BDF" w:rsidR="00D87207" w:rsidRPr="00071529" w:rsidRDefault="00D87207" w:rsidP="00744733">
      <w:pPr>
        <w:rPr>
          <w:rFonts w:eastAsia="Arial"/>
          <w:sz w:val="24"/>
          <w:szCs w:val="24"/>
        </w:rPr>
      </w:pPr>
      <w:r w:rsidRPr="00071529">
        <w:t>The right to fair trial guaranteed under Article 7(1)(c) of the Charter</w:t>
      </w:r>
      <w:r w:rsidR="00425EB4" w:rsidRPr="00071529">
        <w:t>.</w:t>
      </w:r>
    </w:p>
    <w:p w14:paraId="53CA2C5E" w14:textId="3088783F" w:rsidR="00A72F57" w:rsidRPr="00071529" w:rsidRDefault="00A72F57" w:rsidP="00744733">
      <w:pPr>
        <w:rPr>
          <w:rFonts w:eastAsia="Arial"/>
          <w:sz w:val="24"/>
          <w:szCs w:val="24"/>
        </w:rPr>
      </w:pPr>
    </w:p>
    <w:p w14:paraId="3462A0DF" w14:textId="77777777" w:rsidR="005617CB" w:rsidRPr="00071529" w:rsidRDefault="005617CB" w:rsidP="00744733">
      <w:pPr>
        <w:rPr>
          <w:rFonts w:eastAsia="Arial"/>
          <w:sz w:val="24"/>
          <w:szCs w:val="24"/>
        </w:rPr>
      </w:pPr>
    </w:p>
    <w:p w14:paraId="00000037" w14:textId="1AC98F76" w:rsidR="00257A8B" w:rsidRPr="00071529" w:rsidRDefault="00414F7B" w:rsidP="00744733">
      <w:pPr>
        <w:rPr>
          <w:sz w:val="24"/>
        </w:rPr>
      </w:pPr>
      <w:bookmarkStart w:id="9" w:name="_Toc143519682"/>
      <w:r w:rsidRPr="00071529">
        <w:rPr>
          <w:sz w:val="24"/>
        </w:rPr>
        <w:t>SUMMARY OF THE PROCEDURE BEFORE THE COURT</w:t>
      </w:r>
      <w:bookmarkEnd w:id="9"/>
    </w:p>
    <w:p w14:paraId="4C19EEC1" w14:textId="77777777" w:rsidR="00DD1F18" w:rsidRPr="00071529" w:rsidRDefault="00DD1F18" w:rsidP="00744733"/>
    <w:p w14:paraId="00000038" w14:textId="1B8C52B5" w:rsidR="00257A8B" w:rsidRPr="00071529" w:rsidRDefault="00414F7B" w:rsidP="00744733">
      <w:pPr>
        <w:rPr>
          <w:rFonts w:eastAsia="Arial"/>
          <w:sz w:val="24"/>
          <w:szCs w:val="24"/>
        </w:rPr>
      </w:pPr>
      <w:r w:rsidRPr="00071529">
        <w:rPr>
          <w:sz w:val="24"/>
        </w:rPr>
        <w:t>On 10 May 2016, the Registry received the Application, which was notified on 7 June 2016 to the Respondent State and subsequently</w:t>
      </w:r>
      <w:r w:rsidR="007B4BB8" w:rsidRPr="00071529">
        <w:rPr>
          <w:sz w:val="24"/>
        </w:rPr>
        <w:t>,</w:t>
      </w:r>
      <w:r w:rsidRPr="00071529">
        <w:rPr>
          <w:sz w:val="24"/>
        </w:rPr>
        <w:t xml:space="preserve"> to the other entities provided for in Rule 42(4) of the Rules on 14 June 2016.</w:t>
      </w:r>
      <w:r w:rsidRPr="00071529">
        <w:rPr>
          <w:strike/>
          <w:sz w:val="24"/>
        </w:rPr>
        <w:t xml:space="preserve"> </w:t>
      </w:r>
    </w:p>
    <w:p w14:paraId="097623EA" w14:textId="337AE267" w:rsidR="001922F7" w:rsidRPr="00071529" w:rsidRDefault="001922F7" w:rsidP="00744733">
      <w:pPr>
        <w:rPr>
          <w:rFonts w:eastAsia="Arial"/>
          <w:sz w:val="24"/>
          <w:szCs w:val="24"/>
        </w:rPr>
      </w:pPr>
    </w:p>
    <w:p w14:paraId="46171E1F" w14:textId="77777777" w:rsidR="00880906" w:rsidRPr="00071529" w:rsidRDefault="00880906" w:rsidP="00744733">
      <w:pPr>
        <w:rPr>
          <w:rFonts w:eastAsia="Arial"/>
          <w:sz w:val="24"/>
          <w:szCs w:val="24"/>
        </w:rPr>
      </w:pPr>
    </w:p>
    <w:p w14:paraId="42F4D48D" w14:textId="74403A78" w:rsidR="00100136" w:rsidRPr="00071529" w:rsidRDefault="003504D7" w:rsidP="00744733">
      <w:pPr>
        <w:rPr>
          <w:rFonts w:eastAsia="Arial"/>
          <w:sz w:val="24"/>
          <w:szCs w:val="24"/>
        </w:rPr>
      </w:pPr>
      <w:r w:rsidRPr="00071529">
        <w:rPr>
          <w:sz w:val="24"/>
        </w:rPr>
        <w:t xml:space="preserve">The Parties filed </w:t>
      </w:r>
      <w:r w:rsidR="00425EB4" w:rsidRPr="00071529">
        <w:rPr>
          <w:sz w:val="24"/>
        </w:rPr>
        <w:t xml:space="preserve">their </w:t>
      </w:r>
      <w:r w:rsidRPr="00071529">
        <w:rPr>
          <w:sz w:val="24"/>
        </w:rPr>
        <w:t>pleadings and exhibits within the time-limits</w:t>
      </w:r>
      <w:r w:rsidR="002C66B0" w:rsidRPr="00071529">
        <w:rPr>
          <w:sz w:val="24"/>
        </w:rPr>
        <w:t xml:space="preserve"> stipulated </w:t>
      </w:r>
      <w:r w:rsidR="002C66B0" w:rsidRPr="00071529">
        <w:rPr>
          <w:bCs/>
          <w:sz w:val="24"/>
        </w:rPr>
        <w:t xml:space="preserve">by the </w:t>
      </w:r>
      <w:r w:rsidR="00150AD5" w:rsidRPr="00071529">
        <w:rPr>
          <w:bCs/>
          <w:sz w:val="24"/>
        </w:rPr>
        <w:t>C</w:t>
      </w:r>
      <w:r w:rsidR="002C66B0" w:rsidRPr="00071529">
        <w:rPr>
          <w:bCs/>
          <w:sz w:val="24"/>
        </w:rPr>
        <w:t>ourt</w:t>
      </w:r>
      <w:r w:rsidRPr="00071529">
        <w:rPr>
          <w:bCs/>
          <w:sz w:val="24"/>
        </w:rPr>
        <w:t>.</w:t>
      </w:r>
    </w:p>
    <w:p w14:paraId="2951B8E2" w14:textId="77777777" w:rsidR="00C650BF" w:rsidRPr="00071529" w:rsidRDefault="00C650BF" w:rsidP="00744733">
      <w:pPr>
        <w:rPr>
          <w:rFonts w:eastAsia="Arial"/>
          <w:sz w:val="24"/>
          <w:szCs w:val="24"/>
        </w:rPr>
      </w:pPr>
    </w:p>
    <w:p w14:paraId="03DA9C1C" w14:textId="0416B212" w:rsidR="0097288E" w:rsidRPr="00071529" w:rsidRDefault="005B643B" w:rsidP="00744733">
      <w:pPr>
        <w:rPr>
          <w:rFonts w:eastAsia="Arial"/>
          <w:sz w:val="24"/>
          <w:szCs w:val="24"/>
        </w:rPr>
      </w:pPr>
      <w:r w:rsidRPr="00071529">
        <w:rPr>
          <w:sz w:val="24"/>
        </w:rPr>
        <w:t>Pleadings were closed on</w:t>
      </w:r>
      <w:r w:rsidR="00425EB4" w:rsidRPr="00071529">
        <w:rPr>
          <w:sz w:val="24"/>
        </w:rPr>
        <w:t xml:space="preserve"> </w:t>
      </w:r>
      <w:r w:rsidR="00150AD5" w:rsidRPr="00071529">
        <w:rPr>
          <w:bCs/>
          <w:sz w:val="24"/>
        </w:rPr>
        <w:t xml:space="preserve">29 May </w:t>
      </w:r>
      <w:r w:rsidRPr="00071529">
        <w:rPr>
          <w:bCs/>
          <w:sz w:val="24"/>
        </w:rPr>
        <w:t>2023</w:t>
      </w:r>
      <w:r w:rsidRPr="00071529">
        <w:rPr>
          <w:sz w:val="24"/>
        </w:rPr>
        <w:t xml:space="preserve"> and the parties were </w:t>
      </w:r>
      <w:r w:rsidR="00425EB4" w:rsidRPr="00071529">
        <w:rPr>
          <w:sz w:val="24"/>
        </w:rPr>
        <w:t xml:space="preserve">duly </w:t>
      </w:r>
      <w:r w:rsidRPr="00071529">
        <w:rPr>
          <w:sz w:val="24"/>
        </w:rPr>
        <w:t>notified. </w:t>
      </w:r>
    </w:p>
    <w:p w14:paraId="5C5A81CD" w14:textId="44900B73" w:rsidR="003821C8" w:rsidRPr="00071529" w:rsidRDefault="003821C8" w:rsidP="00744733">
      <w:pPr>
        <w:rPr>
          <w:rFonts w:eastAsia="Arial"/>
          <w:b/>
          <w:sz w:val="24"/>
          <w:szCs w:val="24"/>
        </w:rPr>
      </w:pPr>
    </w:p>
    <w:p w14:paraId="7224B261" w14:textId="77777777" w:rsidR="006A31C5" w:rsidRPr="00071529" w:rsidRDefault="006A31C5" w:rsidP="00744733">
      <w:pPr>
        <w:rPr>
          <w:rFonts w:eastAsia="Arial"/>
          <w:b/>
          <w:sz w:val="24"/>
          <w:szCs w:val="24"/>
        </w:rPr>
      </w:pPr>
    </w:p>
    <w:p w14:paraId="001E274A" w14:textId="35C63F82" w:rsidR="000E7FBE" w:rsidRPr="00071529" w:rsidRDefault="000E7FBE" w:rsidP="00744733">
      <w:pPr>
        <w:rPr>
          <w:sz w:val="24"/>
          <w:szCs w:val="24"/>
        </w:rPr>
      </w:pPr>
      <w:bookmarkStart w:id="10" w:name="_Toc143519683"/>
      <w:r w:rsidRPr="00071529">
        <w:rPr>
          <w:sz w:val="24"/>
          <w:szCs w:val="24"/>
        </w:rPr>
        <w:t>PRAYERS OF THE PARTIES</w:t>
      </w:r>
      <w:bookmarkEnd w:id="10"/>
      <w:r w:rsidRPr="00071529">
        <w:rPr>
          <w:sz w:val="24"/>
          <w:szCs w:val="24"/>
        </w:rPr>
        <w:t xml:space="preserve"> </w:t>
      </w:r>
    </w:p>
    <w:p w14:paraId="117F33A6" w14:textId="77777777" w:rsidR="00C650BF" w:rsidRPr="00071529" w:rsidRDefault="00C650BF" w:rsidP="00744733">
      <w:pPr>
        <w:rPr>
          <w:sz w:val="24"/>
          <w:szCs w:val="24"/>
        </w:rPr>
      </w:pPr>
    </w:p>
    <w:p w14:paraId="7C17E62D" w14:textId="263B6FEF" w:rsidR="000E7FBE" w:rsidRPr="00071529" w:rsidRDefault="000E7FBE" w:rsidP="00744733">
      <w:pPr>
        <w:rPr>
          <w:rFonts w:eastAsia="Arial"/>
          <w:bCs/>
          <w:sz w:val="24"/>
          <w:szCs w:val="24"/>
        </w:rPr>
      </w:pPr>
      <w:r w:rsidRPr="00071529">
        <w:rPr>
          <w:sz w:val="24"/>
        </w:rPr>
        <w:t>The Applicant prays the Court to:</w:t>
      </w:r>
    </w:p>
    <w:p w14:paraId="5141ECA7" w14:textId="77777777" w:rsidR="005B643B" w:rsidRPr="00071529" w:rsidRDefault="005B643B" w:rsidP="00744733">
      <w:pPr>
        <w:rPr>
          <w:rFonts w:eastAsia="Arial"/>
          <w:bCs/>
          <w:sz w:val="24"/>
          <w:szCs w:val="24"/>
        </w:rPr>
      </w:pPr>
    </w:p>
    <w:p w14:paraId="437686C8" w14:textId="6AF8DB9C" w:rsidR="00030A0E" w:rsidRPr="00071529" w:rsidRDefault="00030A0E" w:rsidP="00744733">
      <w:pPr>
        <w:rPr>
          <w:rFonts w:eastAsia="Arial"/>
          <w:bCs/>
        </w:rPr>
      </w:pPr>
      <w:r w:rsidRPr="00071529">
        <w:t>Declare the Application admissible;</w:t>
      </w:r>
    </w:p>
    <w:p w14:paraId="769F3282" w14:textId="5F56A71D" w:rsidR="005D4BB4" w:rsidRPr="00071529" w:rsidRDefault="005D4BB4" w:rsidP="00744733">
      <w:pPr>
        <w:rPr>
          <w:rFonts w:eastAsia="Arial"/>
          <w:bCs/>
        </w:rPr>
      </w:pPr>
      <w:r w:rsidRPr="00071529">
        <w:lastRenderedPageBreak/>
        <w:t>Restore justice where it was denied, quash both the conviction and the sentence imposed on him and order his release</w:t>
      </w:r>
      <w:r w:rsidR="00425EB4" w:rsidRPr="00071529">
        <w:t>; and</w:t>
      </w:r>
      <w:r w:rsidRPr="00071529">
        <w:t xml:space="preserve"> </w:t>
      </w:r>
    </w:p>
    <w:p w14:paraId="094FC279" w14:textId="22D739A8" w:rsidR="00A73D3D" w:rsidRPr="00071529" w:rsidRDefault="005D4BB4" w:rsidP="00744733">
      <w:pPr>
        <w:rPr>
          <w:rFonts w:eastAsia="Arial"/>
          <w:bCs/>
        </w:rPr>
      </w:pPr>
      <w:r w:rsidRPr="00071529">
        <w:t>Make such other orders or order such other measures as it deems appropriate in the circumstances of the case.</w:t>
      </w:r>
    </w:p>
    <w:p w14:paraId="1C2A0B3F" w14:textId="77777777" w:rsidR="00A73D3D" w:rsidRPr="00071529" w:rsidRDefault="00A73D3D" w:rsidP="00744733">
      <w:pPr>
        <w:rPr>
          <w:rFonts w:eastAsia="Arial"/>
          <w:bCs/>
          <w:sz w:val="24"/>
          <w:szCs w:val="24"/>
        </w:rPr>
      </w:pPr>
    </w:p>
    <w:p w14:paraId="3CA65381" w14:textId="49EAD4F2" w:rsidR="000E7FBE" w:rsidRPr="00071529" w:rsidRDefault="00E07938" w:rsidP="00744733">
      <w:pPr>
        <w:rPr>
          <w:rFonts w:eastAsia="Arial"/>
          <w:b/>
          <w:sz w:val="24"/>
          <w:szCs w:val="24"/>
        </w:rPr>
      </w:pPr>
      <w:r w:rsidRPr="00071529">
        <w:rPr>
          <w:sz w:val="24"/>
        </w:rPr>
        <w:t xml:space="preserve">In his </w:t>
      </w:r>
      <w:r w:rsidR="00425EB4" w:rsidRPr="00071529">
        <w:rPr>
          <w:sz w:val="24"/>
        </w:rPr>
        <w:t xml:space="preserve">request </w:t>
      </w:r>
      <w:r w:rsidRPr="00071529">
        <w:rPr>
          <w:sz w:val="24"/>
        </w:rPr>
        <w:t xml:space="preserve">for </w:t>
      </w:r>
      <w:r w:rsidR="00425EB4" w:rsidRPr="00071529">
        <w:rPr>
          <w:sz w:val="24"/>
        </w:rPr>
        <w:t>reparation</w:t>
      </w:r>
      <w:r w:rsidRPr="00071529">
        <w:rPr>
          <w:sz w:val="24"/>
        </w:rPr>
        <w:t xml:space="preserve">, the Applicant </w:t>
      </w:r>
      <w:r w:rsidR="00425EB4" w:rsidRPr="00071529">
        <w:rPr>
          <w:sz w:val="24"/>
        </w:rPr>
        <w:t xml:space="preserve">prays </w:t>
      </w:r>
      <w:r w:rsidRPr="00071529">
        <w:rPr>
          <w:sz w:val="24"/>
        </w:rPr>
        <w:t xml:space="preserve">the Court </w:t>
      </w:r>
      <w:r w:rsidR="00425EB4" w:rsidRPr="00071529">
        <w:rPr>
          <w:sz w:val="24"/>
        </w:rPr>
        <w:t>to:</w:t>
      </w:r>
    </w:p>
    <w:p w14:paraId="3AB8BBB1" w14:textId="77777777" w:rsidR="00C650BF" w:rsidRPr="00071529" w:rsidRDefault="00C650BF" w:rsidP="00744733">
      <w:pPr>
        <w:rPr>
          <w:rFonts w:eastAsia="Arial"/>
          <w:b/>
          <w:sz w:val="24"/>
          <w:szCs w:val="24"/>
        </w:rPr>
      </w:pPr>
    </w:p>
    <w:p w14:paraId="17C8DDF4" w14:textId="4DA06743" w:rsidR="003504D7" w:rsidRPr="00071529" w:rsidRDefault="003504D7" w:rsidP="00744733">
      <w:pPr>
        <w:rPr>
          <w:rFonts w:eastAsia="Arial"/>
          <w:bCs/>
        </w:rPr>
      </w:pPr>
      <w:bookmarkStart w:id="11" w:name="_Hlk125424770"/>
      <w:r w:rsidRPr="00071529">
        <w:t>Order his acquittal, under Article 27 of the Protocol, after finding that the Respondent State violated Article 7(1)(c) of the Charter by failing to provide him with a lawyer, both at trial and on appeal; and</w:t>
      </w:r>
    </w:p>
    <w:p w14:paraId="5D6A449F" w14:textId="35FD78FB" w:rsidR="00E07938" w:rsidRPr="00071529" w:rsidRDefault="003504D7" w:rsidP="00744733">
      <w:pPr>
        <w:rPr>
          <w:rFonts w:eastAsia="Arial"/>
          <w:bCs/>
        </w:rPr>
      </w:pPr>
      <w:r w:rsidRPr="00071529">
        <w:t>Grant him pecuniary reparations, the amount of which shall be fixed taking into account the annual income of citizens, and this, over the period of his detention.</w:t>
      </w:r>
    </w:p>
    <w:bookmarkEnd w:id="11"/>
    <w:p w14:paraId="480EBDF7" w14:textId="77777777" w:rsidR="007F3D41" w:rsidRPr="00071529" w:rsidRDefault="007F3D41" w:rsidP="00744733">
      <w:pPr>
        <w:rPr>
          <w:rFonts w:eastAsia="Arial"/>
          <w:bCs/>
          <w:sz w:val="24"/>
          <w:szCs w:val="24"/>
        </w:rPr>
      </w:pPr>
    </w:p>
    <w:p w14:paraId="7D4B57CE" w14:textId="504FBDC6" w:rsidR="00E94D8F" w:rsidRPr="00071529" w:rsidRDefault="00E94D8F" w:rsidP="00744733">
      <w:pPr>
        <w:rPr>
          <w:rFonts w:eastAsia="Arial"/>
          <w:bCs/>
          <w:sz w:val="24"/>
          <w:szCs w:val="24"/>
        </w:rPr>
      </w:pPr>
      <w:r w:rsidRPr="00071529">
        <w:rPr>
          <w:sz w:val="24"/>
        </w:rPr>
        <w:t xml:space="preserve">The Respondent State </w:t>
      </w:r>
      <w:r w:rsidR="00B6540D" w:rsidRPr="00071529">
        <w:rPr>
          <w:sz w:val="24"/>
        </w:rPr>
        <w:t>prays the</w:t>
      </w:r>
      <w:r w:rsidRPr="00071529">
        <w:rPr>
          <w:sz w:val="24"/>
        </w:rPr>
        <w:t xml:space="preserve"> Court to: </w:t>
      </w:r>
    </w:p>
    <w:p w14:paraId="227EBFC3" w14:textId="77777777" w:rsidR="00C650BF" w:rsidRPr="00071529" w:rsidRDefault="00C650BF" w:rsidP="00744733">
      <w:pPr>
        <w:rPr>
          <w:rFonts w:eastAsia="Arial"/>
          <w:bCs/>
          <w:sz w:val="24"/>
          <w:szCs w:val="24"/>
        </w:rPr>
      </w:pPr>
    </w:p>
    <w:p w14:paraId="7050FAB1" w14:textId="1C1A664E" w:rsidR="00E94D8F" w:rsidRPr="00071529" w:rsidRDefault="00A73D3D" w:rsidP="00744733">
      <w:pPr>
        <w:rPr>
          <w:rFonts w:eastAsia="Arial"/>
          <w:bCs/>
        </w:rPr>
      </w:pPr>
      <w:r w:rsidRPr="00071529">
        <w:t xml:space="preserve">Find that the Court lacks jurisdiction to rule on the Application; </w:t>
      </w:r>
    </w:p>
    <w:p w14:paraId="1D704C63" w14:textId="77777777" w:rsidR="009E7E9E" w:rsidRPr="00071529" w:rsidRDefault="00A73D3D" w:rsidP="00744733">
      <w:pPr>
        <w:rPr>
          <w:rFonts w:eastAsia="Arial"/>
          <w:bCs/>
        </w:rPr>
      </w:pPr>
      <w:r w:rsidRPr="00071529">
        <w:t>Find and rule that the Application does not meet the admissibility requirements provided for in Article 56(</w:t>
      </w:r>
      <w:r w:rsidRPr="00071529">
        <w:rPr>
          <w:b/>
          <w:rtl/>
        </w:rPr>
        <w:t>5</w:t>
      </w:r>
      <w:r w:rsidRPr="00071529">
        <w:t>) of the Charter.</w:t>
      </w:r>
    </w:p>
    <w:p w14:paraId="48C4F954" w14:textId="50F81FBB" w:rsidR="00A73D3D" w:rsidRPr="00071529" w:rsidRDefault="009E7E9E" w:rsidP="00744733">
      <w:pPr>
        <w:rPr>
          <w:rFonts w:eastAsia="Arial"/>
          <w:bCs/>
        </w:rPr>
      </w:pPr>
      <w:r w:rsidRPr="00071529">
        <w:t xml:space="preserve">Find and rule that the Application does not meet the admissibility requirements under </w:t>
      </w:r>
      <w:r w:rsidR="00425EB4" w:rsidRPr="00071529">
        <w:t xml:space="preserve">Article </w:t>
      </w:r>
      <w:r w:rsidRPr="00071529">
        <w:t xml:space="preserve">56(6) of the Charter; </w:t>
      </w:r>
    </w:p>
    <w:p w14:paraId="610C9FDD" w14:textId="67939280" w:rsidR="00A73D3D" w:rsidRPr="00071529" w:rsidRDefault="00A73D3D" w:rsidP="00744733">
      <w:pPr>
        <w:rPr>
          <w:rFonts w:eastAsia="Arial"/>
          <w:bCs/>
        </w:rPr>
      </w:pPr>
      <w:r w:rsidRPr="00071529">
        <w:t>Declare the Application inadmissible;</w:t>
      </w:r>
    </w:p>
    <w:p w14:paraId="2655EA87" w14:textId="4CAAE24B" w:rsidR="00A73D3D" w:rsidRPr="00071529" w:rsidRDefault="00A73D3D" w:rsidP="00744733">
      <w:pPr>
        <w:rPr>
          <w:rFonts w:eastAsia="Arial"/>
          <w:bCs/>
        </w:rPr>
      </w:pPr>
      <w:r w:rsidRPr="00071529">
        <w:t>Find and rule that the Respondent State did not violate the rights of the Applicant guaranteed under Article 3(1) (2) of the Charter.</w:t>
      </w:r>
    </w:p>
    <w:p w14:paraId="10D2117C" w14:textId="390942C6" w:rsidR="00E53004" w:rsidRPr="00071529" w:rsidRDefault="00E53004" w:rsidP="00744733">
      <w:pPr>
        <w:rPr>
          <w:rFonts w:eastAsia="Arial"/>
          <w:bCs/>
        </w:rPr>
      </w:pPr>
      <w:r w:rsidRPr="00071529">
        <w:t>Find and rule that the Respondent State did not violate the rights of the Applicant guaranteed by Article 7(1)(c) of the Charter</w:t>
      </w:r>
      <w:r w:rsidR="008E31AD" w:rsidRPr="00071529">
        <w:t>;</w:t>
      </w:r>
    </w:p>
    <w:p w14:paraId="2C344D64" w14:textId="62DFF2BD" w:rsidR="00E53004" w:rsidRPr="00071529" w:rsidRDefault="00E53004" w:rsidP="00744733">
      <w:pPr>
        <w:rPr>
          <w:rFonts w:eastAsia="Arial"/>
          <w:bCs/>
        </w:rPr>
      </w:pPr>
      <w:r w:rsidRPr="00071529">
        <w:t>Find and rule that the Application is unfounded and consequently dismiss it.</w:t>
      </w:r>
    </w:p>
    <w:p w14:paraId="082AECF3" w14:textId="77777777" w:rsidR="007A7A24" w:rsidRPr="00071529" w:rsidRDefault="007A7A24" w:rsidP="00744733">
      <w:pPr>
        <w:rPr>
          <w:rFonts w:eastAsia="Arial"/>
          <w:bCs/>
          <w:sz w:val="24"/>
          <w:szCs w:val="24"/>
        </w:rPr>
      </w:pPr>
    </w:p>
    <w:p w14:paraId="19E945D8" w14:textId="77777777" w:rsidR="00DD1F18" w:rsidRPr="00071529" w:rsidRDefault="00DD1F18" w:rsidP="00744733">
      <w:pPr>
        <w:rPr>
          <w:rFonts w:eastAsia="Arial"/>
          <w:bCs/>
          <w:sz w:val="24"/>
          <w:szCs w:val="24"/>
        </w:rPr>
      </w:pPr>
    </w:p>
    <w:p w14:paraId="1F110A2B" w14:textId="0F1CF941" w:rsidR="00E94D8F" w:rsidRPr="00071529" w:rsidRDefault="00E94D8F" w:rsidP="00744733">
      <w:pPr>
        <w:rPr>
          <w:sz w:val="24"/>
          <w:szCs w:val="24"/>
        </w:rPr>
      </w:pPr>
      <w:bookmarkStart w:id="12" w:name="_Toc143519684"/>
      <w:r w:rsidRPr="00071529">
        <w:rPr>
          <w:sz w:val="24"/>
        </w:rPr>
        <w:t>JURISDICTION</w:t>
      </w:r>
      <w:bookmarkEnd w:id="12"/>
    </w:p>
    <w:p w14:paraId="6592FB5E" w14:textId="77777777" w:rsidR="00C650BF" w:rsidRPr="00071529" w:rsidRDefault="00C650BF" w:rsidP="00744733"/>
    <w:p w14:paraId="05AD283E" w14:textId="1696EDB6" w:rsidR="00E94D8F" w:rsidRPr="00071529" w:rsidRDefault="00897FCD" w:rsidP="00744733">
      <w:pPr>
        <w:rPr>
          <w:rFonts w:eastAsia="Arial"/>
          <w:bCs/>
          <w:sz w:val="24"/>
          <w:szCs w:val="24"/>
        </w:rPr>
      </w:pPr>
      <w:r w:rsidRPr="00071529">
        <w:rPr>
          <w:sz w:val="24"/>
        </w:rPr>
        <w:t xml:space="preserve">The Court observes that Article 3 of the Protocol provides as follows: </w:t>
      </w:r>
    </w:p>
    <w:p w14:paraId="7E50A8E1" w14:textId="77777777" w:rsidR="00C650BF" w:rsidRPr="00071529" w:rsidRDefault="00C650BF" w:rsidP="00744733">
      <w:pPr>
        <w:rPr>
          <w:rFonts w:eastAsia="Arial"/>
          <w:bCs/>
          <w:sz w:val="24"/>
          <w:szCs w:val="24"/>
        </w:rPr>
      </w:pPr>
    </w:p>
    <w:p w14:paraId="75AA8D26" w14:textId="303BCB3E" w:rsidR="00897FCD" w:rsidRPr="00071529" w:rsidRDefault="00897FCD" w:rsidP="00744733">
      <w:pPr>
        <w:rPr>
          <w:rFonts w:eastAsia="Arial"/>
          <w:bCs/>
        </w:rPr>
      </w:pPr>
      <w:r w:rsidRPr="00071529">
        <w:t>The jurisdiction of the Court shall extend to all cases and disputes submitted to it concerning the interpretation and application of the Charter, this Protocol, and any other relevant human rights instrument ratified by the States concerned.</w:t>
      </w:r>
    </w:p>
    <w:p w14:paraId="21FA7922" w14:textId="624C799B" w:rsidR="00897FCD" w:rsidRPr="00071529" w:rsidRDefault="00897FCD" w:rsidP="00744733">
      <w:pPr>
        <w:rPr>
          <w:rFonts w:eastAsia="Arial"/>
          <w:bCs/>
        </w:rPr>
      </w:pPr>
      <w:r w:rsidRPr="00071529">
        <w:lastRenderedPageBreak/>
        <w:t xml:space="preserve">In the event of a dispute as to whether the Court has jurisdiction, the Court </w:t>
      </w:r>
      <w:r w:rsidR="00425EB4" w:rsidRPr="00071529">
        <w:t>shall decide</w:t>
      </w:r>
      <w:r w:rsidRPr="00071529">
        <w:t>.</w:t>
      </w:r>
    </w:p>
    <w:p w14:paraId="78A45544" w14:textId="77777777" w:rsidR="00C650BF" w:rsidRPr="00071529" w:rsidRDefault="00C650BF" w:rsidP="00744733">
      <w:pPr>
        <w:rPr>
          <w:rFonts w:eastAsia="Arial"/>
          <w:bCs/>
        </w:rPr>
      </w:pPr>
    </w:p>
    <w:p w14:paraId="033B42E4" w14:textId="4B64AC96" w:rsidR="00897FCD" w:rsidRPr="00071529" w:rsidRDefault="00BE526B" w:rsidP="00744733">
      <w:pPr>
        <w:rPr>
          <w:rFonts w:eastAsia="Arial"/>
          <w:bCs/>
          <w:sz w:val="24"/>
          <w:szCs w:val="24"/>
        </w:rPr>
      </w:pPr>
      <w:r w:rsidRPr="00071529">
        <w:rPr>
          <w:sz w:val="24"/>
        </w:rPr>
        <w:t>Under Rule 49(1) of the Rules of Court “[t]he Court shall conduct preliminary examination of its jurisdiction […] in accordance with the Charter, the Protocol and these Rules”.</w:t>
      </w:r>
    </w:p>
    <w:p w14:paraId="5B193C4D" w14:textId="77777777" w:rsidR="00C650BF" w:rsidRPr="00071529" w:rsidRDefault="00C650BF" w:rsidP="00744733">
      <w:pPr>
        <w:rPr>
          <w:rFonts w:eastAsia="Arial"/>
          <w:bCs/>
          <w:sz w:val="24"/>
          <w:szCs w:val="24"/>
        </w:rPr>
      </w:pPr>
    </w:p>
    <w:p w14:paraId="1A4D5979" w14:textId="01E1FFA9" w:rsidR="00897FCD" w:rsidRPr="00071529" w:rsidRDefault="00897FCD" w:rsidP="00744733">
      <w:pPr>
        <w:rPr>
          <w:rFonts w:eastAsia="Arial"/>
          <w:bCs/>
          <w:sz w:val="24"/>
          <w:szCs w:val="24"/>
        </w:rPr>
      </w:pPr>
      <w:r w:rsidRPr="00071529">
        <w:rPr>
          <w:sz w:val="24"/>
        </w:rPr>
        <w:t xml:space="preserve">Based on the above-mentioned provisions, the Court must conduct an assessment of its jurisdiction and dispose of objections thereto, if any. </w:t>
      </w:r>
    </w:p>
    <w:p w14:paraId="01318992" w14:textId="77777777" w:rsidR="00C650BF" w:rsidRPr="00071529" w:rsidRDefault="00C650BF" w:rsidP="00744733">
      <w:pPr>
        <w:rPr>
          <w:rFonts w:eastAsia="Arial"/>
          <w:bCs/>
          <w:sz w:val="24"/>
          <w:szCs w:val="24"/>
        </w:rPr>
      </w:pPr>
    </w:p>
    <w:p w14:paraId="2B04C950" w14:textId="5E2E9FD9" w:rsidR="006C6086" w:rsidRPr="00071529" w:rsidRDefault="00897FCD" w:rsidP="00744733">
      <w:pPr>
        <w:rPr>
          <w:sz w:val="24"/>
        </w:rPr>
      </w:pPr>
      <w:r w:rsidRPr="00071529">
        <w:rPr>
          <w:sz w:val="24"/>
        </w:rPr>
        <w:t xml:space="preserve">The Court notes that in the instant case, the Respondent State raises an objection based on lack of material jurisdiction. The Court will thus examine the said objection before considering other aspects of its jurisdiction. </w:t>
      </w:r>
    </w:p>
    <w:p w14:paraId="1D16D499" w14:textId="77777777" w:rsidR="005617CB" w:rsidRPr="00071529" w:rsidRDefault="005617CB" w:rsidP="00744733">
      <w:pPr>
        <w:rPr>
          <w:sz w:val="24"/>
        </w:rPr>
      </w:pPr>
    </w:p>
    <w:p w14:paraId="7E814721" w14:textId="53135409" w:rsidR="00C650BF" w:rsidRPr="00071529" w:rsidRDefault="00897FCD" w:rsidP="00744733">
      <w:pPr>
        <w:rPr>
          <w:sz w:val="24"/>
          <w:szCs w:val="24"/>
        </w:rPr>
      </w:pPr>
      <w:bookmarkStart w:id="13" w:name="_Toc143519685"/>
      <w:r w:rsidRPr="00071529">
        <w:rPr>
          <w:sz w:val="24"/>
        </w:rPr>
        <w:t>Objection to material jurisdiction</w:t>
      </w:r>
      <w:bookmarkEnd w:id="13"/>
    </w:p>
    <w:p w14:paraId="74536B6B" w14:textId="77777777" w:rsidR="00C650BF" w:rsidRPr="00071529" w:rsidRDefault="00C650BF" w:rsidP="00744733"/>
    <w:p w14:paraId="32E7B95E" w14:textId="3A73623F" w:rsidR="009A16F4" w:rsidRPr="00071529" w:rsidRDefault="00E90D32" w:rsidP="00744733">
      <w:pPr>
        <w:rPr>
          <w:rFonts w:eastAsia="Arial"/>
          <w:bCs/>
          <w:sz w:val="24"/>
          <w:szCs w:val="24"/>
        </w:rPr>
      </w:pPr>
      <w:r w:rsidRPr="00071529">
        <w:rPr>
          <w:sz w:val="24"/>
        </w:rPr>
        <w:t xml:space="preserve">The Respondent State contends that the jurisdiction of this Court emanates </w:t>
      </w:r>
      <w:r w:rsidR="00B6540D" w:rsidRPr="00071529">
        <w:rPr>
          <w:sz w:val="24"/>
        </w:rPr>
        <w:t>from Article</w:t>
      </w:r>
      <w:r w:rsidRPr="00071529">
        <w:rPr>
          <w:sz w:val="24"/>
        </w:rPr>
        <w:t xml:space="preserve"> 3 of the Protocol and Rule 29 of the Rules</w:t>
      </w:r>
      <w:r w:rsidR="00952D7C" w:rsidRPr="00071529">
        <w:rPr>
          <w:sz w:val="24"/>
        </w:rPr>
        <w:t>.</w:t>
      </w:r>
      <w:r w:rsidRPr="00071529">
        <w:rPr>
          <w:rStyle w:val="FootnoteReference"/>
          <w:rFonts w:ascii="Arial" w:eastAsia="Arial" w:hAnsi="Arial" w:cs="Arial"/>
          <w:bCs/>
          <w:sz w:val="24"/>
          <w:szCs w:val="24"/>
        </w:rPr>
        <w:footnoteReference w:id="3"/>
      </w:r>
      <w:r w:rsidRPr="00071529">
        <w:rPr>
          <w:sz w:val="24"/>
        </w:rPr>
        <w:t xml:space="preserve"> It contends that the provisions of the a</w:t>
      </w:r>
      <w:r w:rsidR="00952D7C" w:rsidRPr="00071529">
        <w:rPr>
          <w:sz w:val="24"/>
        </w:rPr>
        <w:t>fore</w:t>
      </w:r>
      <w:r w:rsidRPr="00071529">
        <w:rPr>
          <w:sz w:val="24"/>
        </w:rPr>
        <w:t>-mentioned articles do not give the Court jurisdiction to rule as an appellate court.</w:t>
      </w:r>
    </w:p>
    <w:p w14:paraId="6819BEFF" w14:textId="338AD729" w:rsidR="0069617F" w:rsidRPr="00071529" w:rsidRDefault="0069617F" w:rsidP="00744733">
      <w:pPr>
        <w:rPr>
          <w:rFonts w:eastAsia="Arial"/>
          <w:bCs/>
          <w:sz w:val="24"/>
          <w:szCs w:val="24"/>
        </w:rPr>
      </w:pPr>
    </w:p>
    <w:p w14:paraId="0F714DFA" w14:textId="5CA90105" w:rsidR="00F21B70" w:rsidRPr="00071529" w:rsidRDefault="00F21B70" w:rsidP="00744733">
      <w:pPr>
        <w:rPr>
          <w:rFonts w:eastAsia="Arial"/>
          <w:bCs/>
          <w:sz w:val="24"/>
          <w:szCs w:val="24"/>
        </w:rPr>
      </w:pPr>
      <w:r w:rsidRPr="00071529">
        <w:rPr>
          <w:sz w:val="24"/>
        </w:rPr>
        <w:t>The Respondent State further contends that Article 3 of the Protocol does not empower the Court to exercise appellate jurisdiction and</w:t>
      </w:r>
      <w:r w:rsidR="00274B9D" w:rsidRPr="00071529">
        <w:rPr>
          <w:sz w:val="24"/>
        </w:rPr>
        <w:t xml:space="preserve"> to</w:t>
      </w:r>
      <w:r w:rsidRPr="00071529">
        <w:rPr>
          <w:sz w:val="24"/>
        </w:rPr>
        <w:t xml:space="preserve"> hear matter</w:t>
      </w:r>
      <w:r w:rsidR="00274B9D" w:rsidRPr="00071529">
        <w:rPr>
          <w:sz w:val="24"/>
        </w:rPr>
        <w:t>s,</w:t>
      </w:r>
      <w:r w:rsidRPr="00071529">
        <w:rPr>
          <w:sz w:val="24"/>
        </w:rPr>
        <w:t xml:space="preserve"> review the judgment</w:t>
      </w:r>
      <w:r w:rsidR="00274B9D" w:rsidRPr="00071529">
        <w:rPr>
          <w:sz w:val="24"/>
        </w:rPr>
        <w:t>s</w:t>
      </w:r>
      <w:r w:rsidRPr="00071529">
        <w:rPr>
          <w:sz w:val="24"/>
        </w:rPr>
        <w:t xml:space="preserve"> of the Court of Appeal, assess the evidence, quash the conviction and sentence, and release the Applicant.  </w:t>
      </w:r>
    </w:p>
    <w:p w14:paraId="27D2EDA2" w14:textId="77777777" w:rsidR="00AC5696" w:rsidRPr="00071529" w:rsidRDefault="00AC5696" w:rsidP="00744733">
      <w:pPr>
        <w:rPr>
          <w:sz w:val="24"/>
        </w:rPr>
      </w:pPr>
    </w:p>
    <w:p w14:paraId="0273299E" w14:textId="1F029469" w:rsidR="00C650BF" w:rsidRPr="00071529" w:rsidRDefault="00394849" w:rsidP="00744733">
      <w:pPr>
        <w:rPr>
          <w:rFonts w:eastAsia="Arial"/>
          <w:bCs/>
          <w:sz w:val="24"/>
          <w:szCs w:val="24"/>
        </w:rPr>
      </w:pPr>
      <w:r w:rsidRPr="00071529">
        <w:rPr>
          <w:sz w:val="24"/>
        </w:rPr>
        <w:t>*</w:t>
      </w:r>
    </w:p>
    <w:p w14:paraId="41044BF9" w14:textId="77777777" w:rsidR="0069617F" w:rsidRPr="00071529" w:rsidRDefault="0069617F" w:rsidP="00744733">
      <w:pPr>
        <w:rPr>
          <w:rFonts w:eastAsia="Arial"/>
          <w:bCs/>
          <w:sz w:val="24"/>
          <w:szCs w:val="24"/>
        </w:rPr>
      </w:pPr>
    </w:p>
    <w:p w14:paraId="0ED68CD4" w14:textId="34FEEDAD" w:rsidR="00FB0913" w:rsidRPr="00071529" w:rsidRDefault="00394849" w:rsidP="00744733">
      <w:pPr>
        <w:rPr>
          <w:rFonts w:eastAsia="Arial"/>
          <w:bCs/>
          <w:sz w:val="24"/>
          <w:szCs w:val="24"/>
        </w:rPr>
      </w:pPr>
      <w:r w:rsidRPr="00071529">
        <w:rPr>
          <w:sz w:val="24"/>
        </w:rPr>
        <w:t>In his Reply, the Applicant submits that his application is predicated primarily on the fact that he was wrongly convicted and sentenced to thirty (30) years’ imprisonment, and that the judicial hierarchy of the Respondent State</w:t>
      </w:r>
      <w:r w:rsidR="00274B9D" w:rsidRPr="00071529">
        <w:rPr>
          <w:sz w:val="24"/>
        </w:rPr>
        <w:t>,</w:t>
      </w:r>
      <w:r w:rsidRPr="00071529">
        <w:rPr>
          <w:sz w:val="24"/>
        </w:rPr>
        <w:t xml:space="preserve"> therefore</w:t>
      </w:r>
      <w:r w:rsidR="00274B9D" w:rsidRPr="00071529">
        <w:rPr>
          <w:sz w:val="24"/>
        </w:rPr>
        <w:t>,</w:t>
      </w:r>
      <w:r w:rsidRPr="00071529">
        <w:rPr>
          <w:sz w:val="24"/>
        </w:rPr>
        <w:t xml:space="preserve"> wrongfully and unlawfully deprived him of his rights.</w:t>
      </w:r>
    </w:p>
    <w:p w14:paraId="68F241A1" w14:textId="77777777" w:rsidR="00F55754" w:rsidRPr="00071529" w:rsidRDefault="00F55754" w:rsidP="00744733">
      <w:pPr>
        <w:rPr>
          <w:rFonts w:eastAsia="Arial"/>
          <w:bCs/>
          <w:sz w:val="24"/>
          <w:szCs w:val="24"/>
        </w:rPr>
      </w:pPr>
    </w:p>
    <w:p w14:paraId="0D828606" w14:textId="5A98FDFF" w:rsidR="00F55754" w:rsidRPr="00071529" w:rsidRDefault="00F55754" w:rsidP="00744733">
      <w:pPr>
        <w:rPr>
          <w:rFonts w:eastAsia="Arial"/>
          <w:bCs/>
          <w:sz w:val="24"/>
          <w:szCs w:val="24"/>
        </w:rPr>
      </w:pPr>
      <w:r w:rsidRPr="00071529">
        <w:rPr>
          <w:sz w:val="24"/>
        </w:rPr>
        <w:t xml:space="preserve">He further contends that for the above-mentioned reasons, and given that the Respondent State in </w:t>
      </w:r>
      <w:r w:rsidR="005D5517" w:rsidRPr="00071529">
        <w:rPr>
          <w:sz w:val="24"/>
        </w:rPr>
        <w:t xml:space="preserve">the present </w:t>
      </w:r>
      <w:r w:rsidRPr="00071529">
        <w:rPr>
          <w:sz w:val="24"/>
        </w:rPr>
        <w:t xml:space="preserve">case is a State Party to the Charter, the Court has jurisdiction to examine the Application. Furthermore, he submits that insofar as the Application raises substantive </w:t>
      </w:r>
      <w:r w:rsidRPr="00071529">
        <w:rPr>
          <w:sz w:val="24"/>
        </w:rPr>
        <w:lastRenderedPageBreak/>
        <w:t xml:space="preserve">human rights </w:t>
      </w:r>
      <w:r w:rsidR="005D5517" w:rsidRPr="00071529">
        <w:rPr>
          <w:sz w:val="24"/>
        </w:rPr>
        <w:t xml:space="preserve">issues </w:t>
      </w:r>
      <w:r w:rsidRPr="00071529">
        <w:rPr>
          <w:sz w:val="24"/>
        </w:rPr>
        <w:t>under the Charter, the Respondent State is bound to respect and protect those rights.</w:t>
      </w:r>
    </w:p>
    <w:p w14:paraId="277F1B5D" w14:textId="5CE36267" w:rsidR="009A16F4" w:rsidRPr="00071529" w:rsidRDefault="009A16F4" w:rsidP="00744733">
      <w:pPr>
        <w:rPr>
          <w:rFonts w:eastAsia="Arial"/>
          <w:bCs/>
          <w:sz w:val="24"/>
          <w:szCs w:val="24"/>
        </w:rPr>
      </w:pPr>
      <w:r w:rsidRPr="00071529">
        <w:rPr>
          <w:sz w:val="24"/>
        </w:rPr>
        <w:t>***</w:t>
      </w:r>
    </w:p>
    <w:p w14:paraId="2679A99A" w14:textId="77777777" w:rsidR="00C650BF" w:rsidRPr="00071529" w:rsidRDefault="00C650BF" w:rsidP="00744733">
      <w:pPr>
        <w:rPr>
          <w:rFonts w:eastAsia="Arial"/>
          <w:bCs/>
          <w:sz w:val="24"/>
          <w:szCs w:val="24"/>
        </w:rPr>
      </w:pPr>
    </w:p>
    <w:p w14:paraId="5A426F09" w14:textId="7F99F31F" w:rsidR="0051294F" w:rsidRPr="00071529" w:rsidRDefault="0051294F" w:rsidP="00744733">
      <w:pPr>
        <w:rPr>
          <w:rFonts w:eastAsia="Arial"/>
          <w:bCs/>
          <w:sz w:val="24"/>
          <w:szCs w:val="24"/>
        </w:rPr>
      </w:pPr>
      <w:r w:rsidRPr="00071529">
        <w:rPr>
          <w:sz w:val="24"/>
        </w:rPr>
        <w:t xml:space="preserve">The Court recalls that under Article 3(1) of the Protocol </w:t>
      </w:r>
      <w:r w:rsidR="00B6540D" w:rsidRPr="00071529">
        <w:rPr>
          <w:sz w:val="24"/>
        </w:rPr>
        <w:t>its jurisdiction</w:t>
      </w:r>
      <w:r w:rsidRPr="00071529">
        <w:rPr>
          <w:sz w:val="24"/>
        </w:rPr>
        <w:t xml:space="preserve"> </w:t>
      </w:r>
      <w:r w:rsidR="009D0B6A" w:rsidRPr="00071529">
        <w:rPr>
          <w:sz w:val="24"/>
        </w:rPr>
        <w:t xml:space="preserve">extends </w:t>
      </w:r>
      <w:r w:rsidR="00B6540D" w:rsidRPr="00071529">
        <w:rPr>
          <w:sz w:val="24"/>
        </w:rPr>
        <w:t>to “</w:t>
      </w:r>
      <w:r w:rsidRPr="00071529">
        <w:rPr>
          <w:sz w:val="24"/>
        </w:rPr>
        <w:t xml:space="preserve">all cases and disputes </w:t>
      </w:r>
      <w:r w:rsidR="009D0B6A" w:rsidRPr="00071529">
        <w:rPr>
          <w:sz w:val="24"/>
        </w:rPr>
        <w:t xml:space="preserve">submitted to it </w:t>
      </w:r>
      <w:r w:rsidRPr="00071529">
        <w:rPr>
          <w:sz w:val="24"/>
        </w:rPr>
        <w:t xml:space="preserve">concerning the interpretation and application of the Charter, the Protocol and any other relevant human rights instrument ratified by the States concerned.” </w:t>
      </w:r>
    </w:p>
    <w:p w14:paraId="02604BC8" w14:textId="77777777" w:rsidR="006A31C5" w:rsidRPr="00071529" w:rsidRDefault="006A31C5" w:rsidP="00744733">
      <w:pPr>
        <w:rPr>
          <w:rFonts w:eastAsia="Arial"/>
          <w:bCs/>
          <w:sz w:val="24"/>
          <w:szCs w:val="24"/>
        </w:rPr>
      </w:pPr>
    </w:p>
    <w:p w14:paraId="61C9B086" w14:textId="28ADC34B" w:rsidR="00FB0913" w:rsidRPr="00071529" w:rsidRDefault="00FB0913" w:rsidP="00744733">
      <w:pPr>
        <w:rPr>
          <w:rFonts w:eastAsia="Arial"/>
          <w:bCs/>
          <w:sz w:val="24"/>
          <w:szCs w:val="24"/>
        </w:rPr>
      </w:pPr>
      <w:r w:rsidRPr="00071529">
        <w:rPr>
          <w:sz w:val="24"/>
        </w:rPr>
        <w:t xml:space="preserve">The Court underscores that, </w:t>
      </w:r>
      <w:r w:rsidR="00637DE7" w:rsidRPr="00071529">
        <w:rPr>
          <w:sz w:val="24"/>
        </w:rPr>
        <w:t xml:space="preserve">for it </w:t>
      </w:r>
      <w:r w:rsidRPr="00071529">
        <w:rPr>
          <w:sz w:val="24"/>
        </w:rPr>
        <w:t>to assume material jurisdiction, it is sufficient that the Applicant alleges violations of human rights protected by the Charter or by any other human rights instrument ratified by the Respondent State.</w:t>
      </w:r>
      <w:r w:rsidRPr="00071529">
        <w:rPr>
          <w:rStyle w:val="FootnoteReference"/>
          <w:rFonts w:ascii="Arial" w:eastAsia="Arial" w:hAnsi="Arial" w:cs="Arial"/>
          <w:bCs/>
          <w:sz w:val="24"/>
          <w:szCs w:val="24"/>
        </w:rPr>
        <w:footnoteReference w:id="4"/>
      </w:r>
      <w:r w:rsidRPr="00071529">
        <w:rPr>
          <w:sz w:val="24"/>
        </w:rPr>
        <w:t xml:space="preserve"> In the present case, the Applicant alleges violations of Articles 3(1)(2) and 7(1)(c) of the Charter.</w:t>
      </w:r>
    </w:p>
    <w:p w14:paraId="3EFBBE28" w14:textId="77777777" w:rsidR="00A92F28" w:rsidRPr="00071529" w:rsidRDefault="00A92F28" w:rsidP="00744733">
      <w:pPr>
        <w:rPr>
          <w:rFonts w:eastAsia="Arial"/>
          <w:bCs/>
          <w:sz w:val="24"/>
          <w:szCs w:val="24"/>
        </w:rPr>
      </w:pPr>
    </w:p>
    <w:p w14:paraId="3764DAB8" w14:textId="17770B1C" w:rsidR="00FB0913" w:rsidRPr="00071529" w:rsidRDefault="006179EA" w:rsidP="00744733">
      <w:pPr>
        <w:rPr>
          <w:sz w:val="20"/>
          <w:szCs w:val="20"/>
          <w:lang w:val="en-US"/>
        </w:rPr>
      </w:pPr>
      <w:r w:rsidRPr="00071529">
        <w:rPr>
          <w:sz w:val="24"/>
        </w:rPr>
        <w:t xml:space="preserve">The Court further recalls its </w:t>
      </w:r>
      <w:r w:rsidR="00413FA6" w:rsidRPr="00071529">
        <w:rPr>
          <w:sz w:val="24"/>
        </w:rPr>
        <w:t xml:space="preserve">established </w:t>
      </w:r>
      <w:r w:rsidRPr="00071529">
        <w:rPr>
          <w:sz w:val="24"/>
        </w:rPr>
        <w:t>jurisprudence that it is neither a trial court nor an appellate body with respect to decisions of national courts”.</w:t>
      </w:r>
      <w:r w:rsidRPr="00071529">
        <w:rPr>
          <w:vertAlign w:val="superscript"/>
        </w:rPr>
        <w:footnoteReference w:id="5"/>
      </w:r>
      <w:r w:rsidRPr="00071529">
        <w:rPr>
          <w:sz w:val="24"/>
        </w:rPr>
        <w:t xml:space="preserve"> However, </w:t>
      </w:r>
      <w:r w:rsidR="00563B80" w:rsidRPr="00071529">
        <w:rPr>
          <w:sz w:val="24"/>
        </w:rPr>
        <w:t>“</w:t>
      </w:r>
      <w:r w:rsidRPr="00071529">
        <w:rPr>
          <w:sz w:val="24"/>
        </w:rPr>
        <w:t xml:space="preserve">this </w:t>
      </w:r>
      <w:r w:rsidR="00A4792C" w:rsidRPr="00071529">
        <w:rPr>
          <w:sz w:val="24"/>
        </w:rPr>
        <w:t>does not preclude it from assessing whether domestic proceedings were conducted in accordance with international standards set out in the Charter and other international human rights instruments ratified by the State concerned</w:t>
      </w:r>
      <w:r w:rsidRPr="00071529">
        <w:rPr>
          <w:sz w:val="24"/>
        </w:rPr>
        <w:t>”.</w:t>
      </w:r>
      <w:r w:rsidRPr="00071529">
        <w:rPr>
          <w:vertAlign w:val="superscript"/>
        </w:rPr>
        <w:footnoteReference w:id="6"/>
      </w:r>
      <w:r w:rsidRPr="00071529">
        <w:rPr>
          <w:sz w:val="24"/>
          <w:vertAlign w:val="superscript"/>
        </w:rPr>
        <w:t xml:space="preserve"> </w:t>
      </w:r>
      <w:r w:rsidRPr="00071529">
        <w:rPr>
          <w:sz w:val="24"/>
        </w:rPr>
        <w:t>The Court would</w:t>
      </w:r>
      <w:r w:rsidR="00A11F08" w:rsidRPr="00071529">
        <w:rPr>
          <w:sz w:val="24"/>
        </w:rPr>
        <w:t>,</w:t>
      </w:r>
      <w:r w:rsidRPr="00071529">
        <w:rPr>
          <w:sz w:val="24"/>
        </w:rPr>
        <w:t xml:space="preserve"> therefore</w:t>
      </w:r>
      <w:r w:rsidR="00A11F08" w:rsidRPr="00071529">
        <w:rPr>
          <w:sz w:val="24"/>
        </w:rPr>
        <w:t>,</w:t>
      </w:r>
      <w:r w:rsidRPr="00071529">
        <w:rPr>
          <w:sz w:val="24"/>
        </w:rPr>
        <w:t xml:space="preserve"> not be sitting as an appellate court if it were to consider the Applicant</w:t>
      </w:r>
      <w:r w:rsidR="00563B80" w:rsidRPr="00071529">
        <w:rPr>
          <w:sz w:val="24"/>
        </w:rPr>
        <w:t>’</w:t>
      </w:r>
      <w:r w:rsidRPr="00071529">
        <w:rPr>
          <w:sz w:val="24"/>
        </w:rPr>
        <w:t xml:space="preserve">s allegations. In view of the foregoing, the Court holds that it has material jurisdiction to examine the present Application.  </w:t>
      </w:r>
    </w:p>
    <w:p w14:paraId="6F3697FA" w14:textId="77777777" w:rsidR="004A25B3" w:rsidRPr="00071529" w:rsidRDefault="004A25B3" w:rsidP="00744733">
      <w:pPr>
        <w:rPr>
          <w:rFonts w:eastAsia="Arial"/>
          <w:bCs/>
          <w:sz w:val="24"/>
          <w:szCs w:val="24"/>
        </w:rPr>
      </w:pPr>
    </w:p>
    <w:p w14:paraId="7FDE4D2F" w14:textId="01EA4832" w:rsidR="00FB0913" w:rsidRPr="00071529" w:rsidRDefault="00FB0913" w:rsidP="00744733">
      <w:pPr>
        <w:rPr>
          <w:rFonts w:eastAsia="Arial"/>
          <w:bCs/>
          <w:sz w:val="24"/>
          <w:szCs w:val="24"/>
        </w:rPr>
      </w:pPr>
      <w:r w:rsidRPr="00071529">
        <w:rPr>
          <w:sz w:val="24"/>
        </w:rPr>
        <w:t>In view of the foregoing, the Court holds that it has material jurisdiction to examine the present Application.</w:t>
      </w:r>
    </w:p>
    <w:p w14:paraId="35D5B77B" w14:textId="77777777" w:rsidR="009A16F4" w:rsidRPr="00071529" w:rsidRDefault="009A16F4" w:rsidP="00744733">
      <w:pPr>
        <w:rPr>
          <w:rFonts w:eastAsia="Arial"/>
          <w:bCs/>
          <w:sz w:val="24"/>
          <w:szCs w:val="24"/>
        </w:rPr>
      </w:pPr>
    </w:p>
    <w:p w14:paraId="09A0DEBE" w14:textId="085FD978" w:rsidR="00897FCD" w:rsidRPr="00071529" w:rsidRDefault="0063535F" w:rsidP="00744733">
      <w:pPr>
        <w:rPr>
          <w:sz w:val="24"/>
          <w:szCs w:val="24"/>
        </w:rPr>
      </w:pPr>
      <w:bookmarkStart w:id="15" w:name="_Toc143519686"/>
      <w:r w:rsidRPr="00071529">
        <w:rPr>
          <w:sz w:val="24"/>
        </w:rPr>
        <w:t>Other aspects of jurisdiction</w:t>
      </w:r>
      <w:bookmarkEnd w:id="15"/>
    </w:p>
    <w:p w14:paraId="60267502" w14:textId="77777777" w:rsidR="004A25B3" w:rsidRPr="00071529" w:rsidRDefault="004A25B3" w:rsidP="00744733"/>
    <w:p w14:paraId="4998DFA7" w14:textId="4CF20192" w:rsidR="0063535F" w:rsidRPr="00071529" w:rsidRDefault="0063535F" w:rsidP="00744733">
      <w:pPr>
        <w:rPr>
          <w:rFonts w:eastAsia="Arial"/>
          <w:bCs/>
          <w:sz w:val="24"/>
          <w:szCs w:val="24"/>
        </w:rPr>
      </w:pPr>
      <w:r w:rsidRPr="00071529">
        <w:rPr>
          <w:sz w:val="24"/>
        </w:rPr>
        <w:t>The Court notes that the Respondent State does not contest its personal, temporal and territorial jurisdiction. Nonetheless, in line with Rule 49(1) of the Rules</w:t>
      </w:r>
      <w:r w:rsidR="00A11F08" w:rsidRPr="00071529">
        <w:rPr>
          <w:sz w:val="24"/>
        </w:rPr>
        <w:t>,</w:t>
      </w:r>
      <w:r w:rsidR="00AE43BE" w:rsidRPr="00071529">
        <w:rPr>
          <w:rStyle w:val="FootnoteReference"/>
          <w:rFonts w:ascii="Arial" w:eastAsia="Arial" w:hAnsi="Arial" w:cs="Arial"/>
          <w:bCs/>
          <w:sz w:val="24"/>
          <w:szCs w:val="24"/>
        </w:rPr>
        <w:footnoteReference w:id="7"/>
      </w:r>
      <w:r w:rsidRPr="00071529">
        <w:rPr>
          <w:sz w:val="24"/>
        </w:rPr>
        <w:t xml:space="preserve"> it must satisfy itself </w:t>
      </w:r>
      <w:r w:rsidRPr="00071529">
        <w:rPr>
          <w:sz w:val="24"/>
        </w:rPr>
        <w:lastRenderedPageBreak/>
        <w:t>that all aspects of its jurisdiction are fulfilled before proceeding to examine the present Application.</w:t>
      </w:r>
    </w:p>
    <w:p w14:paraId="282CB262" w14:textId="77777777" w:rsidR="006A31C5" w:rsidRPr="00071529" w:rsidRDefault="006A31C5" w:rsidP="00744733">
      <w:pPr>
        <w:rPr>
          <w:rFonts w:eastAsia="Arial"/>
          <w:bCs/>
          <w:sz w:val="24"/>
          <w:szCs w:val="24"/>
        </w:rPr>
      </w:pPr>
    </w:p>
    <w:p w14:paraId="36EE3265" w14:textId="71954B01" w:rsidR="0063535F" w:rsidRPr="00071529" w:rsidRDefault="0063535F" w:rsidP="00744733">
      <w:pPr>
        <w:rPr>
          <w:rFonts w:eastAsia="Arial"/>
          <w:bCs/>
          <w:sz w:val="24"/>
          <w:szCs w:val="24"/>
        </w:rPr>
      </w:pPr>
      <w:r w:rsidRPr="00071529">
        <w:rPr>
          <w:sz w:val="24"/>
        </w:rPr>
        <w:t xml:space="preserve">As regards its personal jurisdiction, the Court recalls, as stated in paragraph 2 of this judgment, that on 21 November 2019, </w:t>
      </w:r>
      <w:r w:rsidR="00081F0F" w:rsidRPr="00071529">
        <w:rPr>
          <w:sz w:val="24"/>
        </w:rPr>
        <w:t xml:space="preserve">the Respondent State </w:t>
      </w:r>
      <w:r w:rsidRPr="00071529">
        <w:rPr>
          <w:sz w:val="24"/>
        </w:rPr>
        <w:t xml:space="preserve">deposited with the Chairperson of the African Union Commission the instrument of withdrawal of its Declaration made under Article 34(6) of the Protocol. The Court has held that the withdrawal has no retroactive effect, nor does it affect cases pending before the Court </w:t>
      </w:r>
      <w:r w:rsidR="00563B80" w:rsidRPr="00071529">
        <w:rPr>
          <w:sz w:val="24"/>
        </w:rPr>
        <w:t xml:space="preserve">prior to </w:t>
      </w:r>
      <w:r w:rsidRPr="00071529">
        <w:rPr>
          <w:sz w:val="24"/>
        </w:rPr>
        <w:t>the deposit of the instrument of withdrawal of the Declaration</w:t>
      </w:r>
      <w:r w:rsidR="00081F0F" w:rsidRPr="00071529">
        <w:rPr>
          <w:sz w:val="24"/>
        </w:rPr>
        <w:t>,</w:t>
      </w:r>
      <w:r w:rsidRPr="00071529">
        <w:rPr>
          <w:sz w:val="24"/>
        </w:rPr>
        <w:t xml:space="preserve"> or new cases filed before the withdrawal takes effect one (1) year after the deposit of the instrument of withdrawal, in this case, on 22 November 2020.</w:t>
      </w:r>
      <w:r w:rsidR="001A13A2" w:rsidRPr="00071529">
        <w:rPr>
          <w:rStyle w:val="FootnoteReference"/>
          <w:rFonts w:ascii="Arial" w:eastAsia="Arial" w:hAnsi="Arial" w:cs="Arial"/>
          <w:bCs/>
          <w:sz w:val="24"/>
          <w:szCs w:val="24"/>
        </w:rPr>
        <w:footnoteReference w:id="8"/>
      </w:r>
      <w:r w:rsidRPr="00071529">
        <w:rPr>
          <w:sz w:val="24"/>
        </w:rPr>
        <w:t xml:space="preserve"> The instant Application was filed before the Respondent State deposited its instrument </w:t>
      </w:r>
      <w:r w:rsidR="001F1AAF" w:rsidRPr="00071529">
        <w:rPr>
          <w:sz w:val="24"/>
        </w:rPr>
        <w:t xml:space="preserve">of </w:t>
      </w:r>
      <w:r w:rsidRPr="00071529">
        <w:rPr>
          <w:sz w:val="24"/>
        </w:rPr>
        <w:t>withdrawal and is</w:t>
      </w:r>
      <w:r w:rsidR="00A11F08" w:rsidRPr="00071529">
        <w:rPr>
          <w:sz w:val="24"/>
        </w:rPr>
        <w:t>,</w:t>
      </w:r>
      <w:r w:rsidRPr="00071529">
        <w:rPr>
          <w:sz w:val="24"/>
        </w:rPr>
        <w:t xml:space="preserve"> therefore</w:t>
      </w:r>
      <w:r w:rsidR="00A11F08" w:rsidRPr="00071529">
        <w:rPr>
          <w:sz w:val="24"/>
        </w:rPr>
        <w:t>,</w:t>
      </w:r>
      <w:r w:rsidRPr="00071529">
        <w:rPr>
          <w:sz w:val="24"/>
        </w:rPr>
        <w:t xml:space="preserve"> not affected by the said withdrawal. Accordingly, the Court finds that it has personal jurisdiction to examine the present Application.</w:t>
      </w:r>
    </w:p>
    <w:p w14:paraId="01986749" w14:textId="77777777" w:rsidR="004A25B3" w:rsidRPr="00071529" w:rsidRDefault="004A25B3" w:rsidP="00744733">
      <w:pPr>
        <w:rPr>
          <w:rFonts w:eastAsia="Arial"/>
          <w:bCs/>
          <w:sz w:val="24"/>
          <w:szCs w:val="24"/>
        </w:rPr>
      </w:pPr>
    </w:p>
    <w:p w14:paraId="1147D5EF" w14:textId="31A321B4" w:rsidR="0063535F" w:rsidRPr="00071529" w:rsidRDefault="0063535F" w:rsidP="00744733">
      <w:pPr>
        <w:rPr>
          <w:rFonts w:eastAsia="Arial"/>
          <w:bCs/>
          <w:sz w:val="24"/>
          <w:szCs w:val="24"/>
        </w:rPr>
      </w:pPr>
      <w:r w:rsidRPr="00071529">
        <w:rPr>
          <w:sz w:val="24"/>
        </w:rPr>
        <w:t xml:space="preserve">Furthermore, the Court has temporal jurisdiction in respect of the Application insofar as the alleged violations were committed after the Respondent State became a party to the Charter and the Protocol. </w:t>
      </w:r>
      <w:r w:rsidR="00413FA6" w:rsidRPr="00071529">
        <w:rPr>
          <w:sz w:val="24"/>
        </w:rPr>
        <w:t>The</w:t>
      </w:r>
      <w:r w:rsidRPr="00071529">
        <w:rPr>
          <w:sz w:val="24"/>
        </w:rPr>
        <w:t xml:space="preserve"> alleged violations are </w:t>
      </w:r>
      <w:r w:rsidR="00413FA6" w:rsidRPr="00071529">
        <w:rPr>
          <w:sz w:val="24"/>
        </w:rPr>
        <w:t xml:space="preserve">also </w:t>
      </w:r>
      <w:r w:rsidR="00B6540D" w:rsidRPr="00071529">
        <w:rPr>
          <w:sz w:val="24"/>
        </w:rPr>
        <w:t>continuing since</w:t>
      </w:r>
      <w:r w:rsidRPr="00071529">
        <w:rPr>
          <w:sz w:val="24"/>
        </w:rPr>
        <w:t xml:space="preserve"> the Applicant remains convicted in spite of what he considers an unfair procedure.</w:t>
      </w:r>
      <w:r w:rsidR="001A13A2" w:rsidRPr="00071529">
        <w:rPr>
          <w:rStyle w:val="FootnoteReference"/>
          <w:rFonts w:ascii="Arial" w:eastAsia="Arial" w:hAnsi="Arial" w:cs="Arial"/>
          <w:bCs/>
          <w:sz w:val="24"/>
          <w:szCs w:val="24"/>
        </w:rPr>
        <w:footnoteReference w:id="9"/>
      </w:r>
    </w:p>
    <w:p w14:paraId="44BFEE2E" w14:textId="77777777" w:rsidR="004A25B3" w:rsidRPr="00071529" w:rsidRDefault="004A25B3" w:rsidP="00744733">
      <w:pPr>
        <w:rPr>
          <w:rFonts w:eastAsia="Arial"/>
          <w:bCs/>
          <w:sz w:val="24"/>
          <w:szCs w:val="24"/>
        </w:rPr>
      </w:pPr>
    </w:p>
    <w:p w14:paraId="4DE56331" w14:textId="719B5A40" w:rsidR="004A51A4" w:rsidRPr="00071529" w:rsidRDefault="009A0EC8" w:rsidP="00744733">
      <w:pPr>
        <w:rPr>
          <w:rFonts w:eastAsia="Arial"/>
          <w:bCs/>
          <w:sz w:val="24"/>
          <w:szCs w:val="24"/>
        </w:rPr>
      </w:pPr>
      <w:r w:rsidRPr="00071529">
        <w:rPr>
          <w:sz w:val="24"/>
        </w:rPr>
        <w:t>Finally, the Court considers that its territorial jurisdiction is also established since the alleged violations were committed in the territory of the Respondent State.</w:t>
      </w:r>
    </w:p>
    <w:p w14:paraId="68B94EDE" w14:textId="77777777" w:rsidR="004A25B3" w:rsidRPr="00071529" w:rsidRDefault="004A25B3" w:rsidP="00744733">
      <w:pPr>
        <w:rPr>
          <w:rFonts w:eastAsia="Arial"/>
          <w:bCs/>
          <w:sz w:val="24"/>
          <w:szCs w:val="24"/>
        </w:rPr>
      </w:pPr>
    </w:p>
    <w:p w14:paraId="327F0255" w14:textId="11550E17" w:rsidR="004A51A4" w:rsidRPr="00071529" w:rsidRDefault="004A51A4" w:rsidP="00744733">
      <w:pPr>
        <w:rPr>
          <w:rFonts w:eastAsia="Arial"/>
          <w:bCs/>
          <w:sz w:val="24"/>
          <w:szCs w:val="24"/>
        </w:rPr>
      </w:pPr>
      <w:r w:rsidRPr="00071529">
        <w:rPr>
          <w:sz w:val="24"/>
        </w:rPr>
        <w:t>In light of the foregoing, the Court has jurisdiction to hear the instant Application.</w:t>
      </w:r>
    </w:p>
    <w:p w14:paraId="2D9DB7F3" w14:textId="77777777" w:rsidR="00322E3F" w:rsidRPr="00071529" w:rsidRDefault="00322E3F" w:rsidP="00744733">
      <w:pPr>
        <w:rPr>
          <w:rFonts w:eastAsia="Arial"/>
          <w:bCs/>
          <w:sz w:val="24"/>
          <w:szCs w:val="24"/>
        </w:rPr>
      </w:pPr>
    </w:p>
    <w:p w14:paraId="070A34F1" w14:textId="77777777" w:rsidR="00322E3F" w:rsidRPr="00071529" w:rsidRDefault="00322E3F" w:rsidP="00744733">
      <w:pPr>
        <w:rPr>
          <w:rFonts w:eastAsia="Arial"/>
          <w:bCs/>
          <w:sz w:val="24"/>
          <w:szCs w:val="24"/>
        </w:rPr>
      </w:pPr>
    </w:p>
    <w:p w14:paraId="3CDB156E" w14:textId="2B006F18" w:rsidR="00AF3DCD" w:rsidRPr="00071529" w:rsidRDefault="00AF3DCD" w:rsidP="00744733">
      <w:pPr>
        <w:rPr>
          <w:sz w:val="24"/>
          <w:szCs w:val="24"/>
        </w:rPr>
      </w:pPr>
      <w:bookmarkStart w:id="16" w:name="_Toc143519687"/>
      <w:r w:rsidRPr="00071529">
        <w:rPr>
          <w:sz w:val="24"/>
        </w:rPr>
        <w:t>ADMISSIBILITY</w:t>
      </w:r>
      <w:bookmarkEnd w:id="16"/>
    </w:p>
    <w:p w14:paraId="05D439BD" w14:textId="77777777" w:rsidR="00AF3DCD" w:rsidRPr="00071529" w:rsidRDefault="00AF3DCD" w:rsidP="00744733">
      <w:pPr>
        <w:rPr>
          <w:rFonts w:eastAsia="Arial"/>
          <w:bCs/>
          <w:sz w:val="24"/>
          <w:szCs w:val="24"/>
        </w:rPr>
      </w:pPr>
    </w:p>
    <w:p w14:paraId="206DB7D7" w14:textId="2F2C89E3" w:rsidR="00AF3DCD" w:rsidRPr="00071529" w:rsidRDefault="00AF3DCD" w:rsidP="00744733">
      <w:pPr>
        <w:rPr>
          <w:rFonts w:eastAsia="Arial"/>
          <w:bCs/>
          <w:sz w:val="24"/>
          <w:szCs w:val="24"/>
        </w:rPr>
      </w:pPr>
      <w:r w:rsidRPr="00071529">
        <w:t xml:space="preserve">Under </w:t>
      </w:r>
      <w:r w:rsidRPr="00071529">
        <w:rPr>
          <w:sz w:val="24"/>
        </w:rPr>
        <w:t xml:space="preserve">Article 6(2) of the </w:t>
      </w:r>
      <w:r w:rsidRPr="00071529">
        <w:t>Protocol, “The Court shall rule on the admissibility of cases taking into account the provisions of Article 56 of the Charter”.</w:t>
      </w:r>
    </w:p>
    <w:p w14:paraId="0FCCF58A" w14:textId="77777777" w:rsidR="004A25B3" w:rsidRPr="00071529" w:rsidRDefault="004A25B3" w:rsidP="00744733">
      <w:pPr>
        <w:rPr>
          <w:rFonts w:eastAsia="Arial"/>
          <w:bCs/>
          <w:sz w:val="24"/>
          <w:szCs w:val="24"/>
        </w:rPr>
      </w:pPr>
    </w:p>
    <w:p w14:paraId="79E66CB3" w14:textId="44F466BB" w:rsidR="00AF3DCD" w:rsidRPr="00071529" w:rsidRDefault="00AF3DCD" w:rsidP="00744733">
      <w:pPr>
        <w:rPr>
          <w:rFonts w:eastAsia="Arial"/>
          <w:bCs/>
          <w:sz w:val="24"/>
          <w:szCs w:val="24"/>
        </w:rPr>
      </w:pPr>
      <w:r w:rsidRPr="00071529">
        <w:rPr>
          <w:sz w:val="24"/>
        </w:rPr>
        <w:lastRenderedPageBreak/>
        <w:t xml:space="preserve">Pursuant to Rule 50(1) of the </w:t>
      </w:r>
      <w:r w:rsidRPr="00071529">
        <w:rPr>
          <w:sz w:val="24"/>
          <w:szCs w:val="24"/>
        </w:rPr>
        <w:t>Rules, “the Court shall ascertain the admissibility of an Application filed before it in accordance with Article 56 of the Charter, Article 6 (2) of the Protocol and these Rules.”</w:t>
      </w:r>
    </w:p>
    <w:p w14:paraId="6F15E53A" w14:textId="77777777" w:rsidR="004A25B3" w:rsidRPr="00071529" w:rsidRDefault="004A25B3" w:rsidP="00744733">
      <w:pPr>
        <w:rPr>
          <w:rFonts w:eastAsia="Arial"/>
          <w:bCs/>
          <w:sz w:val="24"/>
          <w:szCs w:val="24"/>
        </w:rPr>
      </w:pPr>
    </w:p>
    <w:p w14:paraId="2E2800A9" w14:textId="5AE81E3A" w:rsidR="00AF3DCD" w:rsidRPr="00071529" w:rsidRDefault="00B918DB" w:rsidP="00744733">
      <w:pPr>
        <w:rPr>
          <w:rFonts w:eastAsia="Arial"/>
          <w:bCs/>
          <w:sz w:val="24"/>
          <w:szCs w:val="24"/>
        </w:rPr>
      </w:pPr>
      <w:r w:rsidRPr="00071529">
        <w:rPr>
          <w:sz w:val="24"/>
        </w:rPr>
        <w:t>Furthermore, Rule</w:t>
      </w:r>
      <w:r w:rsidR="009A0EC8" w:rsidRPr="00071529">
        <w:rPr>
          <w:sz w:val="24"/>
        </w:rPr>
        <w:t xml:space="preserve"> 50(2) of the Rules, which in substance restates the provisions of Article 56 of the Charter, provides as follows: </w:t>
      </w:r>
    </w:p>
    <w:p w14:paraId="67F643CC" w14:textId="77777777" w:rsidR="004A25B3" w:rsidRPr="00071529" w:rsidRDefault="004A25B3" w:rsidP="00744733">
      <w:pPr>
        <w:rPr>
          <w:rFonts w:eastAsia="Arial"/>
          <w:bCs/>
          <w:sz w:val="24"/>
          <w:szCs w:val="24"/>
        </w:rPr>
      </w:pPr>
    </w:p>
    <w:p w14:paraId="4AB002A7" w14:textId="7D5C479F" w:rsidR="002B5986" w:rsidRPr="00071529" w:rsidRDefault="002B5986" w:rsidP="00744733">
      <w:pPr>
        <w:rPr>
          <w:rFonts w:eastAsia="Arial"/>
          <w:bCs/>
        </w:rPr>
      </w:pPr>
      <w:r w:rsidRPr="00071529">
        <w:t>Applications filed before the Court shall comply with all of the following conditions:</w:t>
      </w:r>
    </w:p>
    <w:p w14:paraId="015D0123" w14:textId="3BB09AB2" w:rsidR="002B5986" w:rsidRPr="00071529" w:rsidRDefault="002B5986" w:rsidP="00744733">
      <w:pPr>
        <w:rPr>
          <w:rFonts w:eastAsia="Arial"/>
          <w:bCs/>
        </w:rPr>
      </w:pPr>
      <w:r w:rsidRPr="00071529">
        <w:t xml:space="preserve">Indicate their authors even if the latter request anonymity; </w:t>
      </w:r>
    </w:p>
    <w:p w14:paraId="771B8EAC" w14:textId="15DC758F" w:rsidR="002B5986" w:rsidRPr="00071529" w:rsidRDefault="002B5986" w:rsidP="00744733">
      <w:pPr>
        <w:rPr>
          <w:rFonts w:eastAsia="Arial"/>
          <w:bCs/>
        </w:rPr>
      </w:pPr>
      <w:r w:rsidRPr="00071529">
        <w:t xml:space="preserve">Are compatible with the Constitutive Act of the African Union and with the Charter, </w:t>
      </w:r>
    </w:p>
    <w:p w14:paraId="615A6B1D" w14:textId="7220F120" w:rsidR="002B5986" w:rsidRPr="00071529" w:rsidRDefault="002B5986" w:rsidP="00744733">
      <w:pPr>
        <w:rPr>
          <w:rFonts w:eastAsia="Arial"/>
          <w:bCs/>
        </w:rPr>
      </w:pPr>
      <w:r w:rsidRPr="00071529">
        <w:t xml:space="preserve">Are not written in disparaging or insulting language directed against the State concerned and its institutions or the African Union, </w:t>
      </w:r>
    </w:p>
    <w:p w14:paraId="449E8165" w14:textId="68A5FBE9" w:rsidR="002B5986" w:rsidRPr="00071529" w:rsidRDefault="002B5986" w:rsidP="00744733">
      <w:pPr>
        <w:rPr>
          <w:rFonts w:eastAsia="Arial"/>
          <w:bCs/>
        </w:rPr>
      </w:pPr>
      <w:r w:rsidRPr="00071529">
        <w:t xml:space="preserve">Are not based exclusively on news disseminated through the mass media, </w:t>
      </w:r>
    </w:p>
    <w:p w14:paraId="42BE0B63" w14:textId="4A1E9910" w:rsidR="002B5986" w:rsidRPr="00071529" w:rsidRDefault="002B5986" w:rsidP="00744733">
      <w:pPr>
        <w:rPr>
          <w:rFonts w:eastAsia="Arial"/>
          <w:bCs/>
        </w:rPr>
      </w:pPr>
      <w:r w:rsidRPr="00071529">
        <w:t>Are sent after exhausting local remedies, if any, unless it is obvious that this procedure is unduly prolonged,</w:t>
      </w:r>
    </w:p>
    <w:p w14:paraId="419594E7" w14:textId="4596A44C" w:rsidR="002B5986" w:rsidRPr="00071529" w:rsidRDefault="002B5986" w:rsidP="00744733">
      <w:pPr>
        <w:rPr>
          <w:rFonts w:eastAsia="Arial"/>
          <w:bCs/>
        </w:rPr>
      </w:pPr>
      <w:r w:rsidRPr="00071529">
        <w:t>Are submitted within a reasonable time from the date local remedies were exhausted or from the date the Commission is seized with the matter, and</w:t>
      </w:r>
    </w:p>
    <w:p w14:paraId="38DF52EA" w14:textId="43C09AC1" w:rsidR="002427DC" w:rsidRPr="00071529" w:rsidRDefault="002427DC" w:rsidP="00744733">
      <w:pPr>
        <w:rPr>
          <w:rFonts w:eastAsia="Arial"/>
          <w:bCs/>
        </w:rPr>
      </w:pPr>
      <w:r w:rsidRPr="00071529">
        <w:t>Do not deal with cases which have been settled by those States involved in accordance with the principles of the Charter of the United Nations, or the Constitutive Act of African Union or the provisions of the Charter.</w:t>
      </w:r>
    </w:p>
    <w:p w14:paraId="789A6322" w14:textId="77777777" w:rsidR="003E71B7" w:rsidRPr="00071529" w:rsidRDefault="003E71B7" w:rsidP="00744733">
      <w:pPr>
        <w:rPr>
          <w:rFonts w:eastAsia="Arial"/>
          <w:bCs/>
          <w:sz w:val="24"/>
          <w:szCs w:val="24"/>
        </w:rPr>
      </w:pPr>
    </w:p>
    <w:p w14:paraId="58C31FEF" w14:textId="25F4B9FC" w:rsidR="0063535F" w:rsidRPr="00071529" w:rsidRDefault="0063535F" w:rsidP="00744733">
      <w:pPr>
        <w:rPr>
          <w:rFonts w:eastAsia="Arial"/>
          <w:bCs/>
          <w:sz w:val="24"/>
          <w:szCs w:val="24"/>
        </w:rPr>
      </w:pPr>
      <w:r w:rsidRPr="00071529">
        <w:rPr>
          <w:sz w:val="24"/>
        </w:rPr>
        <w:t xml:space="preserve">The Court notes that the Respondent State raises </w:t>
      </w:r>
      <w:r w:rsidR="00B918DB" w:rsidRPr="00071529">
        <w:rPr>
          <w:sz w:val="24"/>
        </w:rPr>
        <w:t xml:space="preserve">two </w:t>
      </w:r>
      <w:r w:rsidRPr="00071529">
        <w:rPr>
          <w:sz w:val="24"/>
        </w:rPr>
        <w:t xml:space="preserve">objections to </w:t>
      </w:r>
      <w:r w:rsidR="00413FA6" w:rsidRPr="00071529">
        <w:rPr>
          <w:sz w:val="24"/>
        </w:rPr>
        <w:t xml:space="preserve">the </w:t>
      </w:r>
      <w:r w:rsidRPr="00071529">
        <w:rPr>
          <w:sz w:val="24"/>
        </w:rPr>
        <w:t>admissibility</w:t>
      </w:r>
      <w:r w:rsidR="00413FA6" w:rsidRPr="00071529">
        <w:rPr>
          <w:sz w:val="24"/>
        </w:rPr>
        <w:t xml:space="preserve"> of the Application</w:t>
      </w:r>
      <w:r w:rsidRPr="00071529">
        <w:rPr>
          <w:sz w:val="24"/>
        </w:rPr>
        <w:t>. The first objection is based on non-exhaustion of local remedies</w:t>
      </w:r>
      <w:r w:rsidR="00B918DB" w:rsidRPr="00071529">
        <w:rPr>
          <w:sz w:val="24"/>
        </w:rPr>
        <w:t xml:space="preserve"> while </w:t>
      </w:r>
      <w:r w:rsidRPr="00071529">
        <w:rPr>
          <w:sz w:val="24"/>
        </w:rPr>
        <w:t xml:space="preserve">the second </w:t>
      </w:r>
      <w:r w:rsidR="00B918DB" w:rsidRPr="00071529">
        <w:rPr>
          <w:sz w:val="24"/>
        </w:rPr>
        <w:t xml:space="preserve">is based </w:t>
      </w:r>
      <w:r w:rsidRPr="00071529">
        <w:rPr>
          <w:sz w:val="24"/>
        </w:rPr>
        <w:t xml:space="preserve">on the fact that the application was not filed within </w:t>
      </w:r>
      <w:r w:rsidR="005E5926" w:rsidRPr="00071529">
        <w:rPr>
          <w:sz w:val="24"/>
        </w:rPr>
        <w:t xml:space="preserve">a </w:t>
      </w:r>
      <w:r w:rsidRPr="00071529">
        <w:rPr>
          <w:sz w:val="24"/>
        </w:rPr>
        <w:t xml:space="preserve">reasonable time. The Court will thus rule on the said objections before considering other admissibility requirements, if necessary. </w:t>
      </w:r>
    </w:p>
    <w:p w14:paraId="43323CC7" w14:textId="77777777" w:rsidR="0069617F" w:rsidRPr="00071529" w:rsidRDefault="0069617F" w:rsidP="00744733">
      <w:pPr>
        <w:rPr>
          <w:rFonts w:eastAsia="Arial"/>
          <w:bCs/>
          <w:sz w:val="24"/>
          <w:szCs w:val="24"/>
        </w:rPr>
      </w:pPr>
    </w:p>
    <w:p w14:paraId="2195CF86" w14:textId="3B16609A" w:rsidR="00E635FB" w:rsidRPr="00071529" w:rsidRDefault="00B752B4" w:rsidP="00744733">
      <w:pPr>
        <w:rPr>
          <w:sz w:val="24"/>
        </w:rPr>
      </w:pPr>
      <w:bookmarkStart w:id="17" w:name="_Toc138763454"/>
      <w:bookmarkStart w:id="18" w:name="_Toc143519688"/>
      <w:r w:rsidRPr="00071529">
        <w:rPr>
          <w:sz w:val="24"/>
          <w:szCs w:val="24"/>
        </w:rPr>
        <w:t>Objection based on non-exhaustion of local remedies</w:t>
      </w:r>
      <w:bookmarkEnd w:id="17"/>
      <w:bookmarkEnd w:id="18"/>
    </w:p>
    <w:p w14:paraId="27E18A3F" w14:textId="0C94C0E5" w:rsidR="00412167" w:rsidRPr="00071529" w:rsidRDefault="00412167" w:rsidP="00744733">
      <w:pPr>
        <w:rPr>
          <w:rFonts w:eastAsia="Arial"/>
          <w:bCs/>
          <w:sz w:val="24"/>
          <w:szCs w:val="24"/>
        </w:rPr>
      </w:pPr>
    </w:p>
    <w:p w14:paraId="456BED79" w14:textId="0F007E93" w:rsidR="00C52420" w:rsidRPr="00071529" w:rsidRDefault="00B752B4" w:rsidP="00744733">
      <w:pPr>
        <w:rPr>
          <w:rFonts w:eastAsia="Arial"/>
          <w:bCs/>
          <w:sz w:val="24"/>
          <w:szCs w:val="24"/>
        </w:rPr>
      </w:pPr>
      <w:r w:rsidRPr="00071529">
        <w:rPr>
          <w:sz w:val="24"/>
        </w:rPr>
        <w:t>T</w:t>
      </w:r>
      <w:r w:rsidR="00416552" w:rsidRPr="00071529">
        <w:rPr>
          <w:sz w:val="24"/>
        </w:rPr>
        <w:t xml:space="preserve">he Respondent State </w:t>
      </w:r>
      <w:r w:rsidR="00BF061E" w:rsidRPr="00071529">
        <w:rPr>
          <w:sz w:val="24"/>
        </w:rPr>
        <w:t xml:space="preserve">submits </w:t>
      </w:r>
      <w:r w:rsidR="00B918DB" w:rsidRPr="00071529">
        <w:rPr>
          <w:sz w:val="24"/>
        </w:rPr>
        <w:t>that under</w:t>
      </w:r>
      <w:r w:rsidR="00BF061E" w:rsidRPr="00071529">
        <w:rPr>
          <w:sz w:val="24"/>
        </w:rPr>
        <w:t xml:space="preserve"> Rule 66 of </w:t>
      </w:r>
      <w:r w:rsidR="00910D72" w:rsidRPr="00071529">
        <w:rPr>
          <w:sz w:val="24"/>
        </w:rPr>
        <w:t xml:space="preserve">its </w:t>
      </w:r>
      <w:r w:rsidR="00BF061E" w:rsidRPr="00071529">
        <w:rPr>
          <w:sz w:val="24"/>
        </w:rPr>
        <w:t xml:space="preserve">Court of Appeal Rules, as amended, the Applicant had a legal remedy to seek review of the Court of Appeal’s decision if he believed he had sufficient and convincing grounds, but did not pursue this remedy.  Instead of pursuing the available remedy, he prematurely rushed to this Court to seek redress.  </w:t>
      </w:r>
      <w:r w:rsidR="00635E36" w:rsidRPr="00071529">
        <w:rPr>
          <w:sz w:val="24"/>
        </w:rPr>
        <w:t>Furthermore</w:t>
      </w:r>
      <w:r w:rsidR="00BF061E" w:rsidRPr="00071529">
        <w:rPr>
          <w:sz w:val="24"/>
        </w:rPr>
        <w:t xml:space="preserve">, </w:t>
      </w:r>
      <w:r w:rsidR="00B918DB" w:rsidRPr="00071529">
        <w:rPr>
          <w:sz w:val="24"/>
        </w:rPr>
        <w:t xml:space="preserve">the Respondent State </w:t>
      </w:r>
      <w:r w:rsidR="00BF061E" w:rsidRPr="00071529">
        <w:rPr>
          <w:sz w:val="24"/>
        </w:rPr>
        <w:t>contends</w:t>
      </w:r>
      <w:r w:rsidR="009F7995" w:rsidRPr="00071529">
        <w:rPr>
          <w:sz w:val="24"/>
        </w:rPr>
        <w:t xml:space="preserve"> that </w:t>
      </w:r>
      <w:r w:rsidR="00BF061E" w:rsidRPr="00071529">
        <w:rPr>
          <w:sz w:val="24"/>
        </w:rPr>
        <w:t xml:space="preserve">certain allegations are being raised </w:t>
      </w:r>
      <w:r w:rsidR="00910D72" w:rsidRPr="00071529">
        <w:rPr>
          <w:sz w:val="24"/>
        </w:rPr>
        <w:t xml:space="preserve">before the Court </w:t>
      </w:r>
      <w:r w:rsidR="00BF061E" w:rsidRPr="00071529">
        <w:rPr>
          <w:sz w:val="24"/>
        </w:rPr>
        <w:t>for the very first time.</w:t>
      </w:r>
    </w:p>
    <w:p w14:paraId="1181667E" w14:textId="77777777" w:rsidR="00C52420" w:rsidRPr="00071529" w:rsidRDefault="00C52420" w:rsidP="00744733">
      <w:pPr>
        <w:rPr>
          <w:rFonts w:eastAsia="Arial"/>
          <w:bCs/>
          <w:sz w:val="24"/>
          <w:szCs w:val="24"/>
        </w:rPr>
      </w:pPr>
    </w:p>
    <w:p w14:paraId="064C37A1" w14:textId="456F224C" w:rsidR="00F06A86" w:rsidRPr="00071529" w:rsidRDefault="00A57CA9" w:rsidP="00744733">
      <w:pPr>
        <w:rPr>
          <w:rFonts w:eastAsia="Arial"/>
          <w:bCs/>
          <w:sz w:val="24"/>
          <w:szCs w:val="24"/>
        </w:rPr>
      </w:pPr>
      <w:r w:rsidRPr="00071529">
        <w:rPr>
          <w:sz w:val="24"/>
          <w:szCs w:val="24"/>
        </w:rPr>
        <w:lastRenderedPageBreak/>
        <w:t xml:space="preserve">The Respondent State states that it acknowledges the importance and significance of the principle of exhaustion of local remedies. It further submits that the African Commission on Human and Peoples’ Rights held in </w:t>
      </w:r>
      <w:r w:rsidRPr="00071529">
        <w:rPr>
          <w:i/>
          <w:iCs/>
          <w:sz w:val="24"/>
          <w:szCs w:val="24"/>
        </w:rPr>
        <w:t>Article 19 v. Eritrea</w:t>
      </w:r>
      <w:r w:rsidRPr="00071529">
        <w:rPr>
          <w:sz w:val="24"/>
          <w:szCs w:val="24"/>
        </w:rPr>
        <w:t xml:space="preserve"> that</w:t>
      </w:r>
      <w:r w:rsidR="00910D72" w:rsidRPr="00071529">
        <w:rPr>
          <w:sz w:val="24"/>
          <w:szCs w:val="24"/>
        </w:rPr>
        <w:t>,</w:t>
      </w:r>
      <w:r w:rsidRPr="00071529">
        <w:rPr>
          <w:sz w:val="24"/>
          <w:szCs w:val="24"/>
        </w:rPr>
        <w:t xml:space="preserve"> at least</w:t>
      </w:r>
      <w:r w:rsidR="00910D72" w:rsidRPr="00071529">
        <w:rPr>
          <w:sz w:val="24"/>
          <w:szCs w:val="24"/>
        </w:rPr>
        <w:t>,</w:t>
      </w:r>
      <w:r w:rsidRPr="00071529">
        <w:rPr>
          <w:sz w:val="24"/>
          <w:szCs w:val="24"/>
        </w:rPr>
        <w:t xml:space="preserve"> an attempt should be made to exhaust available remedies. It is not enough to merely cast doubt on the merits of exhausting local remedies. It contends that it is incumbent on the Applicant to take all necessary steps to exhaust, or at least attempt to exhaust, local remedies.</w:t>
      </w:r>
    </w:p>
    <w:p w14:paraId="0C3D6991" w14:textId="77777777" w:rsidR="00412167" w:rsidRPr="00071529" w:rsidRDefault="00412167" w:rsidP="00744733">
      <w:pPr>
        <w:rPr>
          <w:sz w:val="24"/>
          <w:szCs w:val="24"/>
        </w:rPr>
      </w:pPr>
    </w:p>
    <w:p w14:paraId="4A22C9F3" w14:textId="683A65A6" w:rsidR="00416552" w:rsidRPr="00071529" w:rsidRDefault="00564A07" w:rsidP="00744733">
      <w:pPr>
        <w:rPr>
          <w:sz w:val="24"/>
          <w:szCs w:val="24"/>
        </w:rPr>
      </w:pPr>
      <w:r w:rsidRPr="00071529">
        <w:rPr>
          <w:sz w:val="24"/>
        </w:rPr>
        <w:t xml:space="preserve">The </w:t>
      </w:r>
      <w:r w:rsidR="00B6540D" w:rsidRPr="00071529">
        <w:rPr>
          <w:sz w:val="24"/>
        </w:rPr>
        <w:t>Applicant contests</w:t>
      </w:r>
      <w:r w:rsidR="00635E36" w:rsidRPr="00071529">
        <w:rPr>
          <w:sz w:val="24"/>
        </w:rPr>
        <w:t xml:space="preserve"> </w:t>
      </w:r>
      <w:r w:rsidRPr="00071529">
        <w:rPr>
          <w:sz w:val="24"/>
        </w:rPr>
        <w:t xml:space="preserve">the Respondent State’s responses </w:t>
      </w:r>
      <w:r w:rsidR="009F7995" w:rsidRPr="00071529">
        <w:rPr>
          <w:sz w:val="24"/>
        </w:rPr>
        <w:t xml:space="preserve">and submits that </w:t>
      </w:r>
      <w:r w:rsidRPr="00071529">
        <w:rPr>
          <w:sz w:val="24"/>
        </w:rPr>
        <w:t xml:space="preserve">all judicial remedies that must be exhausted in respect of the case </w:t>
      </w:r>
      <w:r w:rsidR="006C6086" w:rsidRPr="00071529">
        <w:rPr>
          <w:sz w:val="24"/>
        </w:rPr>
        <w:t>were</w:t>
      </w:r>
      <w:r w:rsidRPr="00071529">
        <w:rPr>
          <w:sz w:val="24"/>
        </w:rPr>
        <w:t xml:space="preserve"> pursued, namely, the High Court and the Court of Appeal, which is the highest court of the Respondent State.</w:t>
      </w:r>
    </w:p>
    <w:p w14:paraId="179A72A1" w14:textId="77777777" w:rsidR="00416552" w:rsidRPr="00071529" w:rsidRDefault="00416552" w:rsidP="00744733">
      <w:pPr>
        <w:rPr>
          <w:sz w:val="24"/>
        </w:rPr>
      </w:pPr>
    </w:p>
    <w:p w14:paraId="49C36007" w14:textId="18D0DF8C" w:rsidR="00D277E3" w:rsidRPr="00071529" w:rsidRDefault="00D277E3" w:rsidP="00744733">
      <w:pPr>
        <w:rPr>
          <w:bCs/>
          <w:sz w:val="24"/>
          <w:szCs w:val="24"/>
        </w:rPr>
      </w:pPr>
      <w:r w:rsidRPr="00071529">
        <w:rPr>
          <w:bCs/>
          <w:sz w:val="24"/>
        </w:rPr>
        <w:t xml:space="preserve">He further submits that the reasons given by the Respondent State lack </w:t>
      </w:r>
      <w:r w:rsidR="00BB0BFF" w:rsidRPr="00071529">
        <w:rPr>
          <w:bCs/>
          <w:sz w:val="24"/>
        </w:rPr>
        <w:t xml:space="preserve">merit </w:t>
      </w:r>
      <w:r w:rsidRPr="00071529">
        <w:rPr>
          <w:bCs/>
          <w:sz w:val="24"/>
        </w:rPr>
        <w:t xml:space="preserve">insofar as there was the opportunity to redress the harm in the present case within the </w:t>
      </w:r>
      <w:r w:rsidR="00DC4D5B" w:rsidRPr="00071529">
        <w:rPr>
          <w:bCs/>
          <w:sz w:val="24"/>
        </w:rPr>
        <w:t xml:space="preserve">domestic </w:t>
      </w:r>
      <w:r w:rsidRPr="00071529">
        <w:rPr>
          <w:bCs/>
          <w:sz w:val="24"/>
        </w:rPr>
        <w:t xml:space="preserve">legal system. He further submits that, in any event, the request for review of the Court of Appeal’s decision suggested by the Respondent State </w:t>
      </w:r>
      <w:r w:rsidR="00B90462" w:rsidRPr="00071529">
        <w:rPr>
          <w:bCs/>
          <w:sz w:val="24"/>
        </w:rPr>
        <w:t xml:space="preserve">in its response </w:t>
      </w:r>
      <w:r w:rsidRPr="00071529">
        <w:rPr>
          <w:bCs/>
          <w:sz w:val="24"/>
        </w:rPr>
        <w:t xml:space="preserve">is not just and that his application </w:t>
      </w:r>
      <w:r w:rsidR="006C6086" w:rsidRPr="00071529">
        <w:rPr>
          <w:bCs/>
          <w:sz w:val="24"/>
        </w:rPr>
        <w:t xml:space="preserve">meets </w:t>
      </w:r>
      <w:r w:rsidR="00B90462" w:rsidRPr="00071529">
        <w:rPr>
          <w:bCs/>
          <w:sz w:val="24"/>
        </w:rPr>
        <w:t xml:space="preserve">this admissibility </w:t>
      </w:r>
      <w:r w:rsidRPr="00071529">
        <w:rPr>
          <w:bCs/>
          <w:sz w:val="24"/>
        </w:rPr>
        <w:t>requirement.</w:t>
      </w:r>
    </w:p>
    <w:p w14:paraId="574996B4" w14:textId="2915C3BA" w:rsidR="00BF061E" w:rsidRPr="00071529" w:rsidRDefault="00BF061E" w:rsidP="00744733">
      <w:pPr>
        <w:rPr>
          <w:sz w:val="24"/>
          <w:szCs w:val="24"/>
        </w:rPr>
      </w:pPr>
      <w:r w:rsidRPr="00071529">
        <w:rPr>
          <w:sz w:val="24"/>
        </w:rPr>
        <w:t>***</w:t>
      </w:r>
    </w:p>
    <w:p w14:paraId="5FA61544" w14:textId="77777777" w:rsidR="004A25B3" w:rsidRPr="00071529" w:rsidRDefault="004A25B3" w:rsidP="00744733">
      <w:pPr>
        <w:rPr>
          <w:sz w:val="24"/>
          <w:szCs w:val="24"/>
        </w:rPr>
      </w:pPr>
    </w:p>
    <w:p w14:paraId="532AFED2" w14:textId="760A52AE" w:rsidR="004A25B3" w:rsidRPr="00071529" w:rsidRDefault="004A25B3" w:rsidP="00744733">
      <w:pPr>
        <w:rPr>
          <w:sz w:val="24"/>
          <w:szCs w:val="24"/>
        </w:rPr>
      </w:pPr>
      <w:r w:rsidRPr="00071529">
        <w:rPr>
          <w:sz w:val="24"/>
        </w:rPr>
        <w:t>The Court notes that pursuant to Article 56(5) of the Charter, whose provisions are restated in Rule 50(2) (e) of the Rules, any application filed before it shall fulfil the requirement of exhaustion of local remedies. As regards the remedies to be exhausted, the Court has held that they must be ordinary</w:t>
      </w:r>
      <w:r w:rsidR="00910D72" w:rsidRPr="00071529">
        <w:rPr>
          <w:sz w:val="24"/>
        </w:rPr>
        <w:t xml:space="preserve"> judicial</w:t>
      </w:r>
      <w:r w:rsidRPr="00071529">
        <w:rPr>
          <w:sz w:val="24"/>
        </w:rPr>
        <w:t xml:space="preserve"> remedies</w:t>
      </w:r>
      <w:r w:rsidR="00014F3A" w:rsidRPr="00071529">
        <w:rPr>
          <w:sz w:val="24"/>
        </w:rPr>
        <w:t>.</w:t>
      </w:r>
      <w:r w:rsidR="00564A07" w:rsidRPr="00071529">
        <w:rPr>
          <w:rStyle w:val="FootnoteReference"/>
          <w:rFonts w:ascii="Arial" w:hAnsi="Arial" w:cs="Arial"/>
          <w:sz w:val="24"/>
          <w:szCs w:val="24"/>
        </w:rPr>
        <w:footnoteReference w:id="10"/>
      </w:r>
      <w:r w:rsidRPr="00071529">
        <w:rPr>
          <w:sz w:val="24"/>
        </w:rPr>
        <w:t xml:space="preserve"> </w:t>
      </w:r>
    </w:p>
    <w:p w14:paraId="1CA18483" w14:textId="77777777" w:rsidR="004A25B3" w:rsidRPr="00071529" w:rsidRDefault="004A25B3" w:rsidP="00744733">
      <w:pPr>
        <w:rPr>
          <w:sz w:val="24"/>
          <w:szCs w:val="24"/>
        </w:rPr>
      </w:pPr>
    </w:p>
    <w:p w14:paraId="43028E63" w14:textId="0DDF36A5" w:rsidR="00BF061E" w:rsidRPr="00071529" w:rsidRDefault="001521D4" w:rsidP="00744733">
      <w:pPr>
        <w:rPr>
          <w:sz w:val="24"/>
          <w:szCs w:val="24"/>
        </w:rPr>
      </w:pPr>
      <w:r w:rsidRPr="00071529">
        <w:rPr>
          <w:sz w:val="24"/>
        </w:rPr>
        <w:t xml:space="preserve">Furthermore, in line with its jurisprudence, the Court underscores that in the Respondent State’s judicial system, Applicants are not required to pursue </w:t>
      </w:r>
      <w:r w:rsidR="004B2F42" w:rsidRPr="00071529">
        <w:rPr>
          <w:sz w:val="24"/>
        </w:rPr>
        <w:t xml:space="preserve">the constitutional petition </w:t>
      </w:r>
      <w:r w:rsidRPr="00071529">
        <w:rPr>
          <w:sz w:val="24"/>
        </w:rPr>
        <w:t>remedy before the High Court</w:t>
      </w:r>
      <w:r w:rsidR="00D935AD" w:rsidRPr="00071529">
        <w:rPr>
          <w:sz w:val="24"/>
        </w:rPr>
        <w:t>,</w:t>
      </w:r>
      <w:r w:rsidRPr="00071529">
        <w:rPr>
          <w:sz w:val="24"/>
        </w:rPr>
        <w:t xml:space="preserve"> </w:t>
      </w:r>
      <w:r w:rsidR="00635E36" w:rsidRPr="00071529">
        <w:rPr>
          <w:bCs/>
          <w:sz w:val="24"/>
        </w:rPr>
        <w:t>after the Court of Appeal has been seized of the matter,</w:t>
      </w:r>
      <w:r w:rsidR="00635E36" w:rsidRPr="00071529">
        <w:rPr>
          <w:sz w:val="24"/>
        </w:rPr>
        <w:t xml:space="preserve"> </w:t>
      </w:r>
      <w:r w:rsidRPr="00071529">
        <w:rPr>
          <w:sz w:val="24"/>
        </w:rPr>
        <w:t xml:space="preserve">as this </w:t>
      </w:r>
      <w:r w:rsidR="00635E36" w:rsidRPr="00071529">
        <w:rPr>
          <w:sz w:val="24"/>
        </w:rPr>
        <w:t>is</w:t>
      </w:r>
      <w:r w:rsidRPr="00071529">
        <w:rPr>
          <w:sz w:val="24"/>
        </w:rPr>
        <w:t xml:space="preserve"> an extraordinary remedy</w:t>
      </w:r>
      <w:r w:rsidR="004B2F42" w:rsidRPr="00071529">
        <w:rPr>
          <w:sz w:val="24"/>
        </w:rPr>
        <w:t>.</w:t>
      </w:r>
      <w:r w:rsidR="00564A07" w:rsidRPr="00071529">
        <w:rPr>
          <w:rStyle w:val="FootnoteReference"/>
          <w:rFonts w:ascii="Arial" w:hAnsi="Arial" w:cs="Arial"/>
          <w:sz w:val="24"/>
          <w:szCs w:val="24"/>
        </w:rPr>
        <w:footnoteReference w:id="11"/>
      </w:r>
      <w:r w:rsidRPr="00071529">
        <w:rPr>
          <w:sz w:val="24"/>
        </w:rPr>
        <w:t xml:space="preserve"> </w:t>
      </w:r>
      <w:r w:rsidR="00910D72" w:rsidRPr="00071529">
        <w:rPr>
          <w:sz w:val="24"/>
        </w:rPr>
        <w:t xml:space="preserve">In the instant Application, the Court observes that the Court of Appeal ruled on the Applicant’s appeal on 1 August 2013. </w:t>
      </w:r>
      <w:r w:rsidRPr="00071529">
        <w:rPr>
          <w:sz w:val="24"/>
        </w:rPr>
        <w:t>The Applicant is</w:t>
      </w:r>
      <w:r w:rsidR="004B2F42" w:rsidRPr="00071529">
        <w:rPr>
          <w:sz w:val="24"/>
        </w:rPr>
        <w:t>,</w:t>
      </w:r>
      <w:r w:rsidRPr="00071529">
        <w:rPr>
          <w:sz w:val="24"/>
        </w:rPr>
        <w:t xml:space="preserve"> therefore</w:t>
      </w:r>
      <w:r w:rsidR="004B2F42" w:rsidRPr="00071529">
        <w:rPr>
          <w:sz w:val="24"/>
        </w:rPr>
        <w:t>,</w:t>
      </w:r>
      <w:r w:rsidRPr="00071529">
        <w:rPr>
          <w:sz w:val="24"/>
        </w:rPr>
        <w:t xml:space="preserve"> deemed to have exhausted </w:t>
      </w:r>
      <w:r w:rsidR="004B2F42" w:rsidRPr="00071529">
        <w:rPr>
          <w:sz w:val="24"/>
        </w:rPr>
        <w:t>local</w:t>
      </w:r>
      <w:r w:rsidRPr="00071529">
        <w:rPr>
          <w:sz w:val="24"/>
        </w:rPr>
        <w:t xml:space="preserve"> remedies </w:t>
      </w:r>
      <w:r w:rsidR="00910D72" w:rsidRPr="00071529">
        <w:rPr>
          <w:sz w:val="24"/>
        </w:rPr>
        <w:t>as his Application</w:t>
      </w:r>
      <w:r w:rsidRPr="00071529">
        <w:rPr>
          <w:sz w:val="24"/>
        </w:rPr>
        <w:t xml:space="preserve"> </w:t>
      </w:r>
      <w:r w:rsidR="00910D72" w:rsidRPr="00071529">
        <w:rPr>
          <w:sz w:val="24"/>
        </w:rPr>
        <w:t xml:space="preserve">went </w:t>
      </w:r>
      <w:r w:rsidRPr="00071529">
        <w:rPr>
          <w:sz w:val="24"/>
        </w:rPr>
        <w:t>through all the echelons of the judicial system up to the Court of Appeal, which is the highest court of the land</w:t>
      </w:r>
      <w:r w:rsidR="00910D72" w:rsidRPr="00071529">
        <w:rPr>
          <w:sz w:val="24"/>
        </w:rPr>
        <w:t>.</w:t>
      </w:r>
      <w:r w:rsidR="00564A07" w:rsidRPr="00071529">
        <w:rPr>
          <w:rStyle w:val="FootnoteReference"/>
          <w:rFonts w:ascii="Arial" w:hAnsi="Arial" w:cs="Arial"/>
          <w:sz w:val="24"/>
          <w:szCs w:val="24"/>
        </w:rPr>
        <w:footnoteReference w:id="12"/>
      </w:r>
    </w:p>
    <w:p w14:paraId="0C564DF2" w14:textId="77777777" w:rsidR="001521D4" w:rsidRPr="00071529" w:rsidRDefault="001521D4" w:rsidP="00744733">
      <w:pPr>
        <w:rPr>
          <w:sz w:val="24"/>
          <w:szCs w:val="24"/>
        </w:rPr>
      </w:pPr>
    </w:p>
    <w:p w14:paraId="1465E38F" w14:textId="36B17F07" w:rsidR="00564A07" w:rsidRPr="00071529" w:rsidRDefault="00564A07" w:rsidP="00744733">
      <w:pPr>
        <w:rPr>
          <w:sz w:val="24"/>
          <w:szCs w:val="24"/>
        </w:rPr>
      </w:pPr>
      <w:r w:rsidRPr="00071529">
        <w:rPr>
          <w:sz w:val="24"/>
        </w:rPr>
        <w:t xml:space="preserve">In view of the foregoing, the Court holds that the </w:t>
      </w:r>
      <w:r w:rsidR="00B6540D" w:rsidRPr="00071529">
        <w:rPr>
          <w:sz w:val="24"/>
        </w:rPr>
        <w:t>Applicant exhausted local</w:t>
      </w:r>
      <w:r w:rsidRPr="00071529">
        <w:rPr>
          <w:sz w:val="24"/>
        </w:rPr>
        <w:t xml:space="preserve"> remedies</w:t>
      </w:r>
      <w:r w:rsidR="004B2F42" w:rsidRPr="00071529">
        <w:rPr>
          <w:sz w:val="24"/>
        </w:rPr>
        <w:t xml:space="preserve"> as</w:t>
      </w:r>
      <w:r w:rsidRPr="00071529">
        <w:rPr>
          <w:sz w:val="24"/>
        </w:rPr>
        <w:t xml:space="preserve"> provided for in Article 56(5) of the Charter and Rule 50(2)(e) of the Rules. It</w:t>
      </w:r>
      <w:r w:rsidR="004B2F42" w:rsidRPr="00071529">
        <w:rPr>
          <w:sz w:val="24"/>
        </w:rPr>
        <w:t>,</w:t>
      </w:r>
      <w:r w:rsidRPr="00071529">
        <w:rPr>
          <w:sz w:val="24"/>
        </w:rPr>
        <w:t xml:space="preserve"> therefore</w:t>
      </w:r>
      <w:r w:rsidR="004B2F42" w:rsidRPr="00071529">
        <w:rPr>
          <w:sz w:val="24"/>
        </w:rPr>
        <w:t>,</w:t>
      </w:r>
      <w:r w:rsidRPr="00071529">
        <w:rPr>
          <w:sz w:val="24"/>
        </w:rPr>
        <w:t xml:space="preserve"> dismisses the Respondent State’s objection to admissibility based on non-exhaustion of local remedies.</w:t>
      </w:r>
    </w:p>
    <w:p w14:paraId="31A159E8" w14:textId="77777777" w:rsidR="00412167" w:rsidRPr="00071529" w:rsidRDefault="00412167" w:rsidP="00744733">
      <w:pPr>
        <w:rPr>
          <w:sz w:val="24"/>
          <w:szCs w:val="24"/>
        </w:rPr>
      </w:pPr>
    </w:p>
    <w:p w14:paraId="2C8D4ACD" w14:textId="77777777" w:rsidR="00B752B4" w:rsidRPr="00071529" w:rsidRDefault="00B752B4" w:rsidP="00744733">
      <w:pPr>
        <w:rPr>
          <w:b/>
          <w:sz w:val="24"/>
          <w:szCs w:val="24"/>
        </w:rPr>
      </w:pPr>
      <w:bookmarkStart w:id="20" w:name="_Toc106791740"/>
      <w:bookmarkStart w:id="21" w:name="_Toc138763455"/>
      <w:bookmarkStart w:id="22" w:name="_Toc143519689"/>
      <w:r w:rsidRPr="00071529">
        <w:rPr>
          <w:sz w:val="24"/>
          <w:szCs w:val="24"/>
        </w:rPr>
        <w:t>Objection based on the failure to file the Application within a reasonable time</w:t>
      </w:r>
      <w:bookmarkEnd w:id="20"/>
      <w:bookmarkEnd w:id="21"/>
      <w:bookmarkEnd w:id="22"/>
    </w:p>
    <w:p w14:paraId="2B9ED7AE" w14:textId="77777777" w:rsidR="001521D4" w:rsidRPr="00071529" w:rsidRDefault="001521D4" w:rsidP="00744733">
      <w:pPr>
        <w:rPr>
          <w:b/>
        </w:rPr>
      </w:pPr>
    </w:p>
    <w:p w14:paraId="301ED129" w14:textId="6053B612" w:rsidR="0063535F" w:rsidRPr="00071529" w:rsidRDefault="0063535F" w:rsidP="00744733">
      <w:pPr>
        <w:rPr>
          <w:rFonts w:eastAsia="Arial"/>
          <w:bCs/>
          <w:sz w:val="24"/>
          <w:szCs w:val="24"/>
        </w:rPr>
      </w:pPr>
      <w:r w:rsidRPr="00071529">
        <w:rPr>
          <w:sz w:val="24"/>
        </w:rPr>
        <w:t xml:space="preserve">The Respondent State submits that the Application was not filed within reasonable time. According to the Respondent State, the case was settled by the Court of Appeal on 31 July 2013. The Application was filed before </w:t>
      </w:r>
      <w:r w:rsidR="00563B80" w:rsidRPr="00071529">
        <w:rPr>
          <w:sz w:val="24"/>
        </w:rPr>
        <w:t xml:space="preserve">this </w:t>
      </w:r>
      <w:r w:rsidRPr="00071529">
        <w:rPr>
          <w:sz w:val="24"/>
        </w:rPr>
        <w:t xml:space="preserve">Court on 10 May 2016, that is, after a period of almost twenty (20) months. According to the Respondent State, this period cannot be said to constitute </w:t>
      </w:r>
      <w:r w:rsidR="007A4A3B" w:rsidRPr="00071529">
        <w:rPr>
          <w:sz w:val="24"/>
        </w:rPr>
        <w:t xml:space="preserve">a </w:t>
      </w:r>
      <w:r w:rsidRPr="00071529">
        <w:rPr>
          <w:sz w:val="24"/>
        </w:rPr>
        <w:t>reasonable time.</w:t>
      </w:r>
    </w:p>
    <w:p w14:paraId="715B2DA9" w14:textId="77777777" w:rsidR="00470055" w:rsidRPr="00071529" w:rsidRDefault="00470055" w:rsidP="00744733">
      <w:pPr>
        <w:rPr>
          <w:rFonts w:eastAsia="Arial"/>
          <w:bCs/>
          <w:sz w:val="24"/>
          <w:szCs w:val="24"/>
        </w:rPr>
      </w:pPr>
    </w:p>
    <w:p w14:paraId="1AC0F38B" w14:textId="067CC25C" w:rsidR="00E126C3" w:rsidRPr="00071529" w:rsidRDefault="00E126C3" w:rsidP="00744733">
      <w:pPr>
        <w:rPr>
          <w:rFonts w:eastAsia="Arial"/>
          <w:bCs/>
          <w:sz w:val="24"/>
          <w:szCs w:val="24"/>
        </w:rPr>
      </w:pPr>
      <w:r w:rsidRPr="00071529">
        <w:rPr>
          <w:sz w:val="24"/>
          <w:szCs w:val="24"/>
        </w:rPr>
        <w:t xml:space="preserve">The Respondent State </w:t>
      </w:r>
      <w:r w:rsidR="00C5285C" w:rsidRPr="00071529">
        <w:rPr>
          <w:sz w:val="24"/>
          <w:szCs w:val="24"/>
        </w:rPr>
        <w:t xml:space="preserve">contends </w:t>
      </w:r>
      <w:r w:rsidRPr="00071529">
        <w:rPr>
          <w:sz w:val="24"/>
          <w:szCs w:val="24"/>
        </w:rPr>
        <w:t xml:space="preserve">that despite the fact that Rule 50(2)(f) of the Rules does not prescribe the time-limit within which individuals are required to file applications, going by the norms of other regional mechanisms similar to those of the African Union, a period of six (6) months has been considered reasonable time. In this regard it references the decision of the African Commission on Human and Peoples’ Rights in </w:t>
      </w:r>
      <w:r w:rsidRPr="00071529">
        <w:rPr>
          <w:i/>
          <w:iCs/>
          <w:sz w:val="24"/>
          <w:szCs w:val="24"/>
        </w:rPr>
        <w:t>Majuru v. Zimbabwe.</w:t>
      </w:r>
    </w:p>
    <w:p w14:paraId="496FD354" w14:textId="77777777" w:rsidR="00470055" w:rsidRPr="00071529" w:rsidRDefault="00470055" w:rsidP="00744733">
      <w:pPr>
        <w:rPr>
          <w:rFonts w:eastAsia="Arial"/>
          <w:bCs/>
          <w:sz w:val="24"/>
          <w:szCs w:val="24"/>
        </w:rPr>
      </w:pPr>
    </w:p>
    <w:p w14:paraId="5485E3F5" w14:textId="46776EC4" w:rsidR="00CC1446" w:rsidRPr="00071529" w:rsidRDefault="0063535F" w:rsidP="00744733">
      <w:pPr>
        <w:rPr>
          <w:rFonts w:eastAsia="Arial"/>
          <w:bCs/>
          <w:sz w:val="24"/>
          <w:szCs w:val="24"/>
        </w:rPr>
      </w:pPr>
      <w:r w:rsidRPr="00071529">
        <w:rPr>
          <w:sz w:val="24"/>
        </w:rPr>
        <w:t>The Applicant, for his part, argues that his application should be approached and considered with particular attention. This is because although the Respondent State deposited the Declaration on 29 March 2010, the Applicant only became aware of the existence of the Court between late 2015 and early 2016, after a lengthy search outside the Respondent State’s legal institutions.</w:t>
      </w:r>
    </w:p>
    <w:p w14:paraId="410675C5" w14:textId="77777777" w:rsidR="00A428A6" w:rsidRPr="00071529" w:rsidRDefault="00A428A6" w:rsidP="00744733">
      <w:pPr>
        <w:rPr>
          <w:rFonts w:eastAsia="Arial"/>
          <w:bCs/>
          <w:sz w:val="24"/>
          <w:szCs w:val="24"/>
        </w:rPr>
      </w:pPr>
    </w:p>
    <w:p w14:paraId="3F0F33E7" w14:textId="750F9874" w:rsidR="00294B0C" w:rsidRPr="00071529" w:rsidRDefault="007A4A3B" w:rsidP="00744733">
      <w:pPr>
        <w:rPr>
          <w:rFonts w:eastAsia="Arial"/>
          <w:bCs/>
          <w:sz w:val="24"/>
          <w:szCs w:val="24"/>
        </w:rPr>
      </w:pPr>
      <w:r w:rsidRPr="00071529">
        <w:rPr>
          <w:sz w:val="24"/>
        </w:rPr>
        <w:t xml:space="preserve">The Applicant avers </w:t>
      </w:r>
      <w:r w:rsidR="00A428A6" w:rsidRPr="00071529">
        <w:rPr>
          <w:sz w:val="24"/>
        </w:rPr>
        <w:t>that the six (6)</w:t>
      </w:r>
      <w:r w:rsidR="00131B6D" w:rsidRPr="00071529">
        <w:rPr>
          <w:sz w:val="24"/>
        </w:rPr>
        <w:t>-</w:t>
      </w:r>
      <w:r w:rsidR="00A428A6" w:rsidRPr="00071529">
        <w:rPr>
          <w:sz w:val="24"/>
        </w:rPr>
        <w:t xml:space="preserve">month period should be applied with </w:t>
      </w:r>
      <w:r w:rsidRPr="00071529">
        <w:rPr>
          <w:sz w:val="24"/>
        </w:rPr>
        <w:t xml:space="preserve">great </w:t>
      </w:r>
      <w:r w:rsidR="00A428A6" w:rsidRPr="00071529">
        <w:rPr>
          <w:sz w:val="24"/>
        </w:rPr>
        <w:t xml:space="preserve">caution bearing in mind that </w:t>
      </w:r>
      <w:r w:rsidRPr="00071529">
        <w:rPr>
          <w:sz w:val="24"/>
        </w:rPr>
        <w:t xml:space="preserve">he </w:t>
      </w:r>
      <w:r w:rsidR="00A428A6" w:rsidRPr="00071529">
        <w:rPr>
          <w:sz w:val="24"/>
        </w:rPr>
        <w:t xml:space="preserve">is a prisoner bereft of legal representation.  He submits that, the Court, upon examining all applications filed before it by individuals, in particular prisoners detained at Butimba Central Prison in Mwanza, will find that the establishment and existence of the Court was brought to their knowledge between late 2015 and early 2016. Accordingly, </w:t>
      </w:r>
      <w:r w:rsidR="00744E2F" w:rsidRPr="00071529">
        <w:rPr>
          <w:sz w:val="24"/>
        </w:rPr>
        <w:t xml:space="preserve">he submits that </w:t>
      </w:r>
      <w:r w:rsidR="00A428A6" w:rsidRPr="00071529">
        <w:rPr>
          <w:sz w:val="24"/>
        </w:rPr>
        <w:t xml:space="preserve">the present </w:t>
      </w:r>
      <w:r w:rsidR="004A172E" w:rsidRPr="00071529">
        <w:rPr>
          <w:sz w:val="24"/>
        </w:rPr>
        <w:t>A</w:t>
      </w:r>
      <w:r w:rsidR="00A428A6" w:rsidRPr="00071529">
        <w:rPr>
          <w:sz w:val="24"/>
        </w:rPr>
        <w:t>pplication was filed within reasonable time and should be entertained.</w:t>
      </w:r>
    </w:p>
    <w:p w14:paraId="18C99AD5" w14:textId="77777777" w:rsidR="00AF2C85" w:rsidRPr="00071529" w:rsidRDefault="00AF2C85" w:rsidP="00744733">
      <w:pPr>
        <w:rPr>
          <w:sz w:val="24"/>
        </w:rPr>
      </w:pPr>
    </w:p>
    <w:p w14:paraId="7344A2BA" w14:textId="07AB6487" w:rsidR="00BF061E" w:rsidRPr="00071529" w:rsidRDefault="00BF061E" w:rsidP="00744733">
      <w:pPr>
        <w:rPr>
          <w:rFonts w:eastAsia="Arial"/>
          <w:bCs/>
          <w:sz w:val="24"/>
          <w:szCs w:val="24"/>
        </w:rPr>
      </w:pPr>
      <w:r w:rsidRPr="00071529">
        <w:rPr>
          <w:sz w:val="24"/>
        </w:rPr>
        <w:t>***</w:t>
      </w:r>
    </w:p>
    <w:p w14:paraId="5DD0F823" w14:textId="77777777" w:rsidR="00470055" w:rsidRPr="00071529" w:rsidRDefault="00470055" w:rsidP="00744733"/>
    <w:p w14:paraId="198ACFD9" w14:textId="0B9673D5" w:rsidR="00BF061E" w:rsidRPr="00071529" w:rsidRDefault="0057255A" w:rsidP="00744733">
      <w:pPr>
        <w:rPr>
          <w:rFonts w:eastAsia="Arial"/>
          <w:bCs/>
          <w:sz w:val="24"/>
          <w:szCs w:val="24"/>
        </w:rPr>
      </w:pPr>
      <w:r w:rsidRPr="00071529">
        <w:rPr>
          <w:sz w:val="24"/>
        </w:rPr>
        <w:lastRenderedPageBreak/>
        <w:t xml:space="preserve">The Court notes that the issue before it is whether the time taken by the Applicant to </w:t>
      </w:r>
      <w:r w:rsidR="003A4CC7" w:rsidRPr="00071529">
        <w:rPr>
          <w:sz w:val="24"/>
        </w:rPr>
        <w:t>file the Application</w:t>
      </w:r>
      <w:r w:rsidRPr="00071529">
        <w:rPr>
          <w:sz w:val="24"/>
        </w:rPr>
        <w:t xml:space="preserve"> is reasonable, within the meaning of Article 56(6) of the Charter read together with Rule 50(2)(f) of the Rules</w:t>
      </w:r>
    </w:p>
    <w:p w14:paraId="18446B33" w14:textId="77777777" w:rsidR="00470055" w:rsidRPr="00071529" w:rsidRDefault="00470055" w:rsidP="00744733"/>
    <w:p w14:paraId="7160AF26" w14:textId="48ECF8C2" w:rsidR="0057255A" w:rsidRPr="00071529" w:rsidRDefault="0057255A" w:rsidP="00744733">
      <w:pPr>
        <w:rPr>
          <w:rFonts w:eastAsia="Arial"/>
          <w:bCs/>
          <w:sz w:val="24"/>
          <w:szCs w:val="24"/>
        </w:rPr>
      </w:pPr>
      <w:r w:rsidRPr="00071529">
        <w:rPr>
          <w:sz w:val="24"/>
        </w:rPr>
        <w:t>Under Article 56(6) of the Charter, restated in Rule 50(2)(f) of the Rules, Applications must be filed “…</w:t>
      </w:r>
      <w:r w:rsidR="00073C0B" w:rsidRPr="00071529">
        <w:rPr>
          <w:sz w:val="24"/>
        </w:rPr>
        <w:t xml:space="preserve"> </w:t>
      </w:r>
      <w:r w:rsidRPr="00071529">
        <w:rPr>
          <w:sz w:val="24"/>
        </w:rPr>
        <w:t>within</w:t>
      </w:r>
      <w:r w:rsidR="00A27E8A" w:rsidRPr="00071529">
        <w:rPr>
          <w:sz w:val="24"/>
        </w:rPr>
        <w:t xml:space="preserve"> a</w:t>
      </w:r>
      <w:r w:rsidRPr="00071529">
        <w:rPr>
          <w:sz w:val="24"/>
        </w:rPr>
        <w:t xml:space="preserve"> reasonable time from the date local remedies were exhausted or from the date set by the Court as being the commencement of the time</w:t>
      </w:r>
      <w:r w:rsidR="00131B6D" w:rsidRPr="00071529">
        <w:rPr>
          <w:sz w:val="24"/>
        </w:rPr>
        <w:t>-</w:t>
      </w:r>
      <w:r w:rsidRPr="00071529">
        <w:rPr>
          <w:sz w:val="24"/>
        </w:rPr>
        <w:t xml:space="preserve">limit within which it shall be seized with the matter”. </w:t>
      </w:r>
      <w:r w:rsidR="00325407" w:rsidRPr="00071529">
        <w:rPr>
          <w:sz w:val="24"/>
        </w:rPr>
        <w:t>Notably, t</w:t>
      </w:r>
      <w:r w:rsidRPr="00071529">
        <w:rPr>
          <w:sz w:val="24"/>
        </w:rPr>
        <w:t>hese provisions do not set a time-limit within which cases must be referred to the Court.</w:t>
      </w:r>
    </w:p>
    <w:p w14:paraId="5FE93664" w14:textId="77777777" w:rsidR="00896BF6" w:rsidRPr="00071529" w:rsidRDefault="00896BF6" w:rsidP="00744733"/>
    <w:p w14:paraId="3D821099" w14:textId="38DF6F24" w:rsidR="00896BF6" w:rsidRPr="00071529" w:rsidRDefault="00896BF6" w:rsidP="00744733">
      <w:pPr>
        <w:rPr>
          <w:sz w:val="24"/>
          <w:szCs w:val="24"/>
        </w:rPr>
      </w:pPr>
      <w:r w:rsidRPr="00071529">
        <w:rPr>
          <w:sz w:val="24"/>
          <w:szCs w:val="24"/>
        </w:rPr>
        <w:t>The Court recalls its jurisprudence that: “… the reasonableness of the time limit for its referral depends on the particular circumstances of each case ...”</w:t>
      </w:r>
      <w:r w:rsidR="00DD7E28" w:rsidRPr="00071529">
        <w:rPr>
          <w:sz w:val="24"/>
          <w:szCs w:val="24"/>
        </w:rPr>
        <w:t>.</w:t>
      </w:r>
      <w:r w:rsidRPr="00071529">
        <w:rPr>
          <w:rStyle w:val="FootnoteReference"/>
          <w:rFonts w:ascii="Arial" w:hAnsi="Arial" w:cs="Arial"/>
          <w:sz w:val="24"/>
          <w:szCs w:val="24"/>
          <w:lang w:eastAsia="en-GB"/>
        </w:rPr>
        <w:footnoteReference w:id="13"/>
      </w:r>
      <w:r w:rsidRPr="00071529">
        <w:rPr>
          <w:sz w:val="24"/>
          <w:szCs w:val="24"/>
        </w:rPr>
        <w:t xml:space="preserve"> The Court </w:t>
      </w:r>
      <w:r w:rsidR="00C5285C" w:rsidRPr="00071529">
        <w:rPr>
          <w:sz w:val="24"/>
          <w:szCs w:val="24"/>
        </w:rPr>
        <w:t xml:space="preserve">further recalls </w:t>
      </w:r>
      <w:r w:rsidRPr="00071529">
        <w:rPr>
          <w:sz w:val="24"/>
          <w:szCs w:val="24"/>
        </w:rPr>
        <w:t xml:space="preserve">that </w:t>
      </w:r>
      <w:r w:rsidR="00B6540D" w:rsidRPr="00071529">
        <w:rPr>
          <w:sz w:val="24"/>
          <w:szCs w:val="24"/>
        </w:rPr>
        <w:t>some factors</w:t>
      </w:r>
      <w:r w:rsidRPr="00071529">
        <w:rPr>
          <w:sz w:val="24"/>
          <w:szCs w:val="24"/>
        </w:rPr>
        <w:t xml:space="preserve"> taken into account </w:t>
      </w:r>
      <w:r w:rsidR="00325407" w:rsidRPr="00071529">
        <w:rPr>
          <w:sz w:val="24"/>
          <w:szCs w:val="24"/>
        </w:rPr>
        <w:t xml:space="preserve">in determining reasonable time </w:t>
      </w:r>
      <w:r w:rsidRPr="00071529">
        <w:rPr>
          <w:sz w:val="24"/>
          <w:szCs w:val="24"/>
        </w:rPr>
        <w:t xml:space="preserve">are the applicant’s situation, the fact of being incarcerated, </w:t>
      </w:r>
      <w:r w:rsidR="00355AE9" w:rsidRPr="00071529">
        <w:rPr>
          <w:sz w:val="24"/>
          <w:szCs w:val="24"/>
        </w:rPr>
        <w:t xml:space="preserve">being </w:t>
      </w:r>
      <w:r w:rsidRPr="00071529">
        <w:rPr>
          <w:sz w:val="24"/>
          <w:szCs w:val="24"/>
        </w:rPr>
        <w:t>a lay person, not receiving legal aid</w:t>
      </w:r>
      <w:r w:rsidR="00355AE9" w:rsidRPr="00071529">
        <w:rPr>
          <w:sz w:val="24"/>
          <w:szCs w:val="24"/>
        </w:rPr>
        <w:t xml:space="preserve"> and being</w:t>
      </w:r>
      <w:r w:rsidR="00DD7E28" w:rsidRPr="00071529">
        <w:rPr>
          <w:sz w:val="24"/>
          <w:szCs w:val="24"/>
        </w:rPr>
        <w:t xml:space="preserve"> </w:t>
      </w:r>
      <w:r w:rsidRPr="00071529">
        <w:rPr>
          <w:sz w:val="24"/>
          <w:szCs w:val="24"/>
        </w:rPr>
        <w:t>indigent</w:t>
      </w:r>
      <w:r w:rsidR="007A4A3B" w:rsidRPr="00071529">
        <w:rPr>
          <w:sz w:val="24"/>
          <w:szCs w:val="24"/>
        </w:rPr>
        <w:t xml:space="preserve"> and</w:t>
      </w:r>
      <w:r w:rsidRPr="00071529">
        <w:rPr>
          <w:sz w:val="24"/>
          <w:szCs w:val="24"/>
        </w:rPr>
        <w:t xml:space="preserve"> illiterate. </w:t>
      </w:r>
    </w:p>
    <w:p w14:paraId="091FE770" w14:textId="77777777" w:rsidR="00587607" w:rsidRPr="00071529" w:rsidRDefault="00587607" w:rsidP="00744733"/>
    <w:p w14:paraId="66E341F1" w14:textId="18D18627" w:rsidR="007D27A3" w:rsidRPr="00071529" w:rsidRDefault="007D27A3" w:rsidP="00744733">
      <w:pPr>
        <w:rPr>
          <w:rFonts w:eastAsia="Arial"/>
          <w:bCs/>
          <w:sz w:val="24"/>
          <w:szCs w:val="24"/>
        </w:rPr>
      </w:pPr>
      <w:r w:rsidRPr="00071529">
        <w:rPr>
          <w:sz w:val="24"/>
        </w:rPr>
        <w:t xml:space="preserve">In the present case, the Court notes that local remedies were exhausted on 1 </w:t>
      </w:r>
      <w:r w:rsidR="003A4CC7" w:rsidRPr="00071529">
        <w:rPr>
          <w:sz w:val="24"/>
        </w:rPr>
        <w:t xml:space="preserve">August </w:t>
      </w:r>
      <w:r w:rsidRPr="00071529">
        <w:rPr>
          <w:sz w:val="24"/>
        </w:rPr>
        <w:t>2013, when the</w:t>
      </w:r>
      <w:r w:rsidR="00202C77" w:rsidRPr="00071529">
        <w:rPr>
          <w:sz w:val="24"/>
        </w:rPr>
        <w:t xml:space="preserve"> Court of</w:t>
      </w:r>
      <w:r w:rsidRPr="00071529">
        <w:rPr>
          <w:sz w:val="24"/>
        </w:rPr>
        <w:t xml:space="preserve"> Appeal Court sitting in Mwanza dismissed the Applicant’s appeal. </w:t>
      </w:r>
      <w:r w:rsidR="00355AE9" w:rsidRPr="00071529">
        <w:rPr>
          <w:sz w:val="24"/>
        </w:rPr>
        <w:t>Since t</w:t>
      </w:r>
      <w:r w:rsidRPr="00071529">
        <w:rPr>
          <w:sz w:val="24"/>
        </w:rPr>
        <w:t>he present Application was filed on 10 May 2016, a period of two (2) year, nine (9) months and nine (9) days elapsed after the exhaustion of local remedies. The issue for determination, therefore, is whether the time it took the Applicant to file the Application before the Court is reasonable.</w:t>
      </w:r>
    </w:p>
    <w:p w14:paraId="1D0642CA" w14:textId="77777777" w:rsidR="003E71B7" w:rsidRPr="00071529" w:rsidRDefault="003E71B7" w:rsidP="00744733">
      <w:pPr>
        <w:rPr>
          <w:rFonts w:eastAsia="Arial"/>
          <w:bCs/>
          <w:sz w:val="24"/>
          <w:szCs w:val="24"/>
        </w:rPr>
      </w:pPr>
    </w:p>
    <w:p w14:paraId="1E1FAF15" w14:textId="396B6202" w:rsidR="006D379F" w:rsidRPr="00071529" w:rsidRDefault="008E54A4" w:rsidP="00744733">
      <w:pPr>
        <w:rPr>
          <w:rFonts w:eastAsia="Arial"/>
          <w:bCs/>
          <w:sz w:val="24"/>
          <w:szCs w:val="24"/>
        </w:rPr>
      </w:pPr>
      <w:r w:rsidRPr="00071529">
        <w:rPr>
          <w:sz w:val="24"/>
        </w:rPr>
        <w:t xml:space="preserve">The Court notes that the Applicant </w:t>
      </w:r>
      <w:r w:rsidR="00174B4C" w:rsidRPr="00071529">
        <w:rPr>
          <w:sz w:val="24"/>
        </w:rPr>
        <w:t>is a</w:t>
      </w:r>
      <w:r w:rsidR="00635E36" w:rsidRPr="00071529">
        <w:rPr>
          <w:sz w:val="24"/>
        </w:rPr>
        <w:t xml:space="preserve"> </w:t>
      </w:r>
      <w:r w:rsidR="00174B4C" w:rsidRPr="00071529">
        <w:rPr>
          <w:sz w:val="24"/>
        </w:rPr>
        <w:t xml:space="preserve">peasant who could not afford </w:t>
      </w:r>
      <w:r w:rsidRPr="00071529">
        <w:rPr>
          <w:sz w:val="24"/>
        </w:rPr>
        <w:t>legal representation</w:t>
      </w:r>
      <w:r w:rsidR="00174B4C" w:rsidRPr="00071529">
        <w:rPr>
          <w:sz w:val="24"/>
        </w:rPr>
        <w:t xml:space="preserve"> in the proceedings before domestic courts</w:t>
      </w:r>
      <w:r w:rsidRPr="00071529">
        <w:rPr>
          <w:sz w:val="24"/>
        </w:rPr>
        <w:t xml:space="preserve">. </w:t>
      </w:r>
      <w:r w:rsidR="0095684F" w:rsidRPr="00071529">
        <w:rPr>
          <w:sz w:val="24"/>
        </w:rPr>
        <w:t xml:space="preserve">Given that </w:t>
      </w:r>
      <w:r w:rsidR="00B6540D" w:rsidRPr="00071529">
        <w:rPr>
          <w:sz w:val="24"/>
        </w:rPr>
        <w:t>the Applicant</w:t>
      </w:r>
      <w:r w:rsidR="0095684F" w:rsidRPr="00071529">
        <w:rPr>
          <w:sz w:val="24"/>
        </w:rPr>
        <w:t xml:space="preserve"> </w:t>
      </w:r>
      <w:r w:rsidR="00B6540D" w:rsidRPr="00071529">
        <w:rPr>
          <w:sz w:val="24"/>
        </w:rPr>
        <w:t>is a</w:t>
      </w:r>
      <w:r w:rsidR="00174B4C" w:rsidRPr="00071529">
        <w:rPr>
          <w:sz w:val="24"/>
        </w:rPr>
        <w:t xml:space="preserve"> lay</w:t>
      </w:r>
      <w:r w:rsidR="00052FBD" w:rsidRPr="00071529">
        <w:rPr>
          <w:sz w:val="24"/>
        </w:rPr>
        <w:t>, incarcerated</w:t>
      </w:r>
      <w:r w:rsidR="00174B4C" w:rsidRPr="00071529">
        <w:rPr>
          <w:sz w:val="24"/>
        </w:rPr>
        <w:t xml:space="preserve"> and indigent person who did not have the benefit of legal support to aptly understand processes before this Court, it should be considered that the period of two (2) year, nine (9) months and nine (9) days that it took him to file the present Application is reasonable.</w:t>
      </w:r>
      <w:r w:rsidRPr="00071529">
        <w:rPr>
          <w:sz w:val="24"/>
        </w:rPr>
        <w:t xml:space="preserve">  </w:t>
      </w:r>
    </w:p>
    <w:p w14:paraId="408C7120" w14:textId="77777777" w:rsidR="006D379F" w:rsidRPr="00071529" w:rsidRDefault="006D379F" w:rsidP="00744733">
      <w:pPr>
        <w:rPr>
          <w:rFonts w:eastAsia="Arial"/>
          <w:bCs/>
          <w:sz w:val="24"/>
          <w:szCs w:val="24"/>
        </w:rPr>
      </w:pPr>
    </w:p>
    <w:p w14:paraId="43AB2008" w14:textId="73D2CCA4" w:rsidR="00B3181E" w:rsidRPr="00071529" w:rsidRDefault="00F2512D" w:rsidP="00744733">
      <w:pPr>
        <w:rPr>
          <w:rFonts w:eastAsia="Arial"/>
          <w:bCs/>
          <w:sz w:val="24"/>
          <w:szCs w:val="24"/>
        </w:rPr>
      </w:pPr>
      <w:r w:rsidRPr="00071529">
        <w:rPr>
          <w:sz w:val="24"/>
        </w:rPr>
        <w:t>Given the above</w:t>
      </w:r>
      <w:r w:rsidR="00B3181E" w:rsidRPr="00071529">
        <w:rPr>
          <w:sz w:val="24"/>
        </w:rPr>
        <w:t xml:space="preserve">, the Court finds that the </w:t>
      </w:r>
      <w:r w:rsidR="00174B4C" w:rsidRPr="00071529">
        <w:rPr>
          <w:sz w:val="24"/>
        </w:rPr>
        <w:t xml:space="preserve">Application was filed within a </w:t>
      </w:r>
      <w:r w:rsidR="00B3181E" w:rsidRPr="00071529">
        <w:rPr>
          <w:sz w:val="24"/>
        </w:rPr>
        <w:t xml:space="preserve">reasonable time </w:t>
      </w:r>
      <w:r w:rsidR="00174B4C" w:rsidRPr="00071529">
        <w:rPr>
          <w:sz w:val="24"/>
        </w:rPr>
        <w:t xml:space="preserve">as prescribed under </w:t>
      </w:r>
      <w:r w:rsidR="00B3181E" w:rsidRPr="00071529">
        <w:rPr>
          <w:sz w:val="24"/>
        </w:rPr>
        <w:t xml:space="preserve">Article 56(6) of the Charter and </w:t>
      </w:r>
      <w:r w:rsidRPr="00071529">
        <w:rPr>
          <w:sz w:val="24"/>
        </w:rPr>
        <w:t xml:space="preserve">as restated in </w:t>
      </w:r>
      <w:r w:rsidR="00B3181E" w:rsidRPr="00071529">
        <w:rPr>
          <w:sz w:val="24"/>
        </w:rPr>
        <w:t>Rule 50(2)(f) of the Rules.</w:t>
      </w:r>
      <w:r w:rsidR="00052FBD" w:rsidRPr="00071529">
        <w:rPr>
          <w:sz w:val="24"/>
        </w:rPr>
        <w:t xml:space="preserve"> The Court thus dismisses the Respondent State’s objection in this regard. </w:t>
      </w:r>
    </w:p>
    <w:p w14:paraId="73813035" w14:textId="77777777" w:rsidR="00911729" w:rsidRPr="00071529" w:rsidRDefault="00911729" w:rsidP="00744733">
      <w:pPr>
        <w:rPr>
          <w:rFonts w:eastAsia="Arial"/>
          <w:bCs/>
          <w:sz w:val="24"/>
          <w:szCs w:val="24"/>
        </w:rPr>
      </w:pPr>
    </w:p>
    <w:p w14:paraId="66A8ECC3" w14:textId="20E32110" w:rsidR="0063535F" w:rsidRPr="00071529" w:rsidRDefault="00AF3DCD" w:rsidP="00744733">
      <w:pPr>
        <w:rPr>
          <w:sz w:val="24"/>
          <w:szCs w:val="24"/>
        </w:rPr>
      </w:pPr>
      <w:bookmarkStart w:id="23" w:name="_Toc143519690"/>
      <w:r w:rsidRPr="00071529">
        <w:rPr>
          <w:sz w:val="24"/>
        </w:rPr>
        <w:t xml:space="preserve">Other </w:t>
      </w:r>
      <w:r w:rsidR="00B6540D" w:rsidRPr="00071529">
        <w:rPr>
          <w:sz w:val="24"/>
        </w:rPr>
        <w:t>admissibility requirements</w:t>
      </w:r>
      <w:bookmarkEnd w:id="23"/>
      <w:r w:rsidR="00131B6D" w:rsidRPr="00071529">
        <w:rPr>
          <w:sz w:val="24"/>
        </w:rPr>
        <w:t xml:space="preserve"> </w:t>
      </w:r>
    </w:p>
    <w:p w14:paraId="7F5A30C1" w14:textId="77777777" w:rsidR="00E4035D" w:rsidRPr="00071529" w:rsidRDefault="00E4035D" w:rsidP="00744733"/>
    <w:p w14:paraId="5F5E8B76" w14:textId="1D87CAF5" w:rsidR="00AF3DCD" w:rsidRPr="00071529" w:rsidRDefault="00AF3DCD" w:rsidP="00744733">
      <w:pPr>
        <w:rPr>
          <w:rFonts w:eastAsia="Arial"/>
          <w:bCs/>
          <w:sz w:val="24"/>
          <w:szCs w:val="24"/>
        </w:rPr>
      </w:pPr>
      <w:r w:rsidRPr="00071529">
        <w:rPr>
          <w:sz w:val="24"/>
        </w:rPr>
        <w:lastRenderedPageBreak/>
        <w:t>The Court notes that the Parties do not contest the admissibility of the Application in relation to the requirements of Rule 50(2)(a), (b), (c), (d), and (g) of the Rules</w:t>
      </w:r>
      <w:r w:rsidR="00A0170C" w:rsidRPr="00071529">
        <w:rPr>
          <w:sz w:val="24"/>
        </w:rPr>
        <w:t>.</w:t>
      </w:r>
      <w:r w:rsidRPr="00071529">
        <w:rPr>
          <w:sz w:val="24"/>
        </w:rPr>
        <w:t xml:space="preserve"> Nevertheless, the Court must ascertain that these requirements are also met.</w:t>
      </w:r>
    </w:p>
    <w:p w14:paraId="30A01AE3" w14:textId="77777777" w:rsidR="00E4035D" w:rsidRPr="00071529" w:rsidRDefault="00E4035D" w:rsidP="00744733">
      <w:pPr>
        <w:rPr>
          <w:rFonts w:eastAsia="Arial"/>
          <w:bCs/>
          <w:sz w:val="24"/>
          <w:szCs w:val="24"/>
        </w:rPr>
      </w:pPr>
    </w:p>
    <w:p w14:paraId="74F875E8" w14:textId="415A6D77" w:rsidR="00AF3DCD" w:rsidRPr="00071529" w:rsidRDefault="00AF3DCD" w:rsidP="00744733">
      <w:pPr>
        <w:rPr>
          <w:rFonts w:eastAsia="Arial"/>
          <w:bCs/>
          <w:sz w:val="24"/>
          <w:szCs w:val="24"/>
        </w:rPr>
      </w:pPr>
      <w:r w:rsidRPr="00071529">
        <w:rPr>
          <w:sz w:val="24"/>
        </w:rPr>
        <w:t>It emerges from the record that the Applicant is clearly identified by name in line with Rule 50(2)(a) of the Rules.</w:t>
      </w:r>
    </w:p>
    <w:p w14:paraId="358102F3" w14:textId="77777777" w:rsidR="00E4035D" w:rsidRPr="00071529" w:rsidRDefault="00E4035D" w:rsidP="00744733">
      <w:pPr>
        <w:rPr>
          <w:rFonts w:eastAsia="Arial"/>
          <w:bCs/>
          <w:sz w:val="24"/>
          <w:szCs w:val="24"/>
        </w:rPr>
      </w:pPr>
    </w:p>
    <w:p w14:paraId="7BC2D2C7" w14:textId="65C63CC1" w:rsidR="00AF3DCD" w:rsidRPr="00071529" w:rsidRDefault="00165D0C" w:rsidP="00744733">
      <w:pPr>
        <w:rPr>
          <w:rFonts w:eastAsia="Arial"/>
          <w:b/>
          <w:sz w:val="24"/>
          <w:szCs w:val="24"/>
        </w:rPr>
      </w:pPr>
      <w:r w:rsidRPr="00071529">
        <w:rPr>
          <w:sz w:val="24"/>
        </w:rPr>
        <w:t>The Court</w:t>
      </w:r>
      <w:r w:rsidR="00A0170C" w:rsidRPr="00071529">
        <w:rPr>
          <w:sz w:val="24"/>
        </w:rPr>
        <w:t xml:space="preserve"> also</w:t>
      </w:r>
      <w:r w:rsidRPr="00071529">
        <w:rPr>
          <w:sz w:val="24"/>
        </w:rPr>
        <w:t xml:space="preserve"> notes that the Appl</w:t>
      </w:r>
      <w:r w:rsidR="00184515" w:rsidRPr="00071529">
        <w:rPr>
          <w:sz w:val="24"/>
        </w:rPr>
        <w:t xml:space="preserve">ication </w:t>
      </w:r>
      <w:r w:rsidRPr="00071529">
        <w:rPr>
          <w:sz w:val="24"/>
        </w:rPr>
        <w:t>seek</w:t>
      </w:r>
      <w:r w:rsidR="00184515" w:rsidRPr="00071529">
        <w:rPr>
          <w:sz w:val="24"/>
        </w:rPr>
        <w:t>s</w:t>
      </w:r>
      <w:r w:rsidRPr="00071529">
        <w:rPr>
          <w:sz w:val="24"/>
        </w:rPr>
        <w:t xml:space="preserve"> to protect </w:t>
      </w:r>
      <w:r w:rsidR="00184515" w:rsidRPr="00071529">
        <w:rPr>
          <w:sz w:val="24"/>
        </w:rPr>
        <w:t xml:space="preserve">the Applicant’s </w:t>
      </w:r>
      <w:r w:rsidRPr="00071529">
        <w:rPr>
          <w:sz w:val="24"/>
        </w:rPr>
        <w:t>rights guaranteed under the Charter. It further notes that one of the objectives of the Constitutive Act of the African Union as stated in Article 3(h) thereof is the promotion and protection of human and peoples’ rights. Furthermore, the Application does not contain any complaint or request that is incompatible with any provision of the said Act. Accordingly, the Court considers that the Application is compatible with the Constitutive Act of the African Union and the Charter, and</w:t>
      </w:r>
      <w:r w:rsidR="00A63E80" w:rsidRPr="00071529">
        <w:rPr>
          <w:sz w:val="24"/>
        </w:rPr>
        <w:t>,</w:t>
      </w:r>
      <w:r w:rsidRPr="00071529">
        <w:rPr>
          <w:sz w:val="24"/>
        </w:rPr>
        <w:t xml:space="preserve"> therefore</w:t>
      </w:r>
      <w:r w:rsidR="00A63E80" w:rsidRPr="00071529">
        <w:rPr>
          <w:sz w:val="24"/>
        </w:rPr>
        <w:t>,</w:t>
      </w:r>
      <w:r w:rsidRPr="00071529">
        <w:rPr>
          <w:sz w:val="24"/>
        </w:rPr>
        <w:t xml:space="preserve"> holds that it meets the requirement of Rule 50(2)(b) of the Rules.</w:t>
      </w:r>
    </w:p>
    <w:p w14:paraId="0B2CB291" w14:textId="77777777" w:rsidR="00E4035D" w:rsidRPr="00071529" w:rsidRDefault="00E4035D" w:rsidP="00744733">
      <w:pPr>
        <w:rPr>
          <w:rFonts w:eastAsia="Arial"/>
          <w:b/>
          <w:sz w:val="24"/>
          <w:szCs w:val="24"/>
        </w:rPr>
      </w:pPr>
    </w:p>
    <w:p w14:paraId="1A6EDA1F" w14:textId="30534E30" w:rsidR="00165D0C" w:rsidRPr="00071529" w:rsidRDefault="003D32B4" w:rsidP="00744733">
      <w:pPr>
        <w:rPr>
          <w:rFonts w:eastAsia="Arial"/>
          <w:b/>
          <w:sz w:val="24"/>
          <w:szCs w:val="24"/>
        </w:rPr>
      </w:pPr>
      <w:r w:rsidRPr="00071529">
        <w:rPr>
          <w:sz w:val="24"/>
        </w:rPr>
        <w:t>Furthermore, the language in which the Application is drafted is neither disparaging nor insulting to the Respondent State or its institutions, as the Application is based on information contained in official documents such as court decisions rendered by national courts. The</w:t>
      </w:r>
      <w:r w:rsidR="00CF51F8" w:rsidRPr="00071529">
        <w:rPr>
          <w:sz w:val="24"/>
        </w:rPr>
        <w:t xml:space="preserve"> Court, the</w:t>
      </w:r>
      <w:r w:rsidRPr="00071529">
        <w:rPr>
          <w:sz w:val="24"/>
        </w:rPr>
        <w:t xml:space="preserve">refore, </w:t>
      </w:r>
      <w:r w:rsidR="00CF51F8" w:rsidRPr="00071529">
        <w:rPr>
          <w:sz w:val="24"/>
        </w:rPr>
        <w:t xml:space="preserve">holds that </w:t>
      </w:r>
      <w:r w:rsidRPr="00071529">
        <w:rPr>
          <w:sz w:val="24"/>
        </w:rPr>
        <w:t>the Application complies with the requirements of Rule 50(2)(c) of the Rules.</w:t>
      </w:r>
    </w:p>
    <w:p w14:paraId="03BFC6E0" w14:textId="77777777" w:rsidR="00E4035D" w:rsidRPr="00071529" w:rsidRDefault="00E4035D" w:rsidP="00744733">
      <w:pPr>
        <w:rPr>
          <w:rFonts w:eastAsia="Arial"/>
          <w:b/>
          <w:sz w:val="24"/>
          <w:szCs w:val="24"/>
        </w:rPr>
      </w:pPr>
    </w:p>
    <w:p w14:paraId="17132B87" w14:textId="4835EA8D" w:rsidR="00165D0C" w:rsidRPr="00071529" w:rsidRDefault="00165D0C" w:rsidP="00744733">
      <w:pPr>
        <w:rPr>
          <w:rFonts w:eastAsia="Arial"/>
          <w:b/>
          <w:sz w:val="24"/>
          <w:szCs w:val="24"/>
        </w:rPr>
      </w:pPr>
      <w:r w:rsidRPr="00071529">
        <w:rPr>
          <w:sz w:val="24"/>
        </w:rPr>
        <w:t xml:space="preserve">Finally, the Application does not concern a matter that has </w:t>
      </w:r>
      <w:r w:rsidR="00A0170C" w:rsidRPr="00071529">
        <w:rPr>
          <w:sz w:val="24"/>
        </w:rPr>
        <w:t xml:space="preserve">previously </w:t>
      </w:r>
      <w:r w:rsidRPr="00071529">
        <w:rPr>
          <w:sz w:val="24"/>
        </w:rPr>
        <w:t>been settled in accordance with the principles of the United Nations Charter, the Constitutive Act of the African Union, the provisions of the Charter or any legal instrument of the African Union. It</w:t>
      </w:r>
      <w:r w:rsidR="00CF51F8" w:rsidRPr="00071529">
        <w:rPr>
          <w:sz w:val="24"/>
        </w:rPr>
        <w:t>,</w:t>
      </w:r>
      <w:r w:rsidRPr="00071529">
        <w:rPr>
          <w:sz w:val="24"/>
        </w:rPr>
        <w:t xml:space="preserve"> therefore</w:t>
      </w:r>
      <w:r w:rsidR="00CF51F8" w:rsidRPr="00071529">
        <w:rPr>
          <w:sz w:val="24"/>
        </w:rPr>
        <w:t>,</w:t>
      </w:r>
      <w:r w:rsidRPr="00071529">
        <w:rPr>
          <w:sz w:val="24"/>
        </w:rPr>
        <w:t xml:space="preserve"> complies with Rule 50(2)(g) of the Rules.</w:t>
      </w:r>
    </w:p>
    <w:p w14:paraId="6DCA0B15" w14:textId="77777777" w:rsidR="00E4035D" w:rsidRPr="00071529" w:rsidRDefault="00E4035D" w:rsidP="00744733">
      <w:pPr>
        <w:rPr>
          <w:rFonts w:eastAsia="Arial"/>
          <w:b/>
          <w:sz w:val="24"/>
          <w:szCs w:val="24"/>
        </w:rPr>
      </w:pPr>
    </w:p>
    <w:p w14:paraId="6253EFA7" w14:textId="05E1AF36" w:rsidR="00C255EB" w:rsidRPr="00071529" w:rsidRDefault="00C255EB" w:rsidP="00744733">
      <w:pPr>
        <w:rPr>
          <w:rFonts w:eastAsia="Arial"/>
          <w:b/>
          <w:sz w:val="24"/>
          <w:szCs w:val="24"/>
        </w:rPr>
      </w:pPr>
      <w:r w:rsidRPr="00071529">
        <w:rPr>
          <w:sz w:val="24"/>
        </w:rPr>
        <w:t xml:space="preserve">In light of </w:t>
      </w:r>
      <w:r w:rsidR="00CF51F8" w:rsidRPr="00071529">
        <w:rPr>
          <w:sz w:val="24"/>
        </w:rPr>
        <w:t xml:space="preserve">all of </w:t>
      </w:r>
      <w:r w:rsidRPr="00071529">
        <w:rPr>
          <w:sz w:val="24"/>
        </w:rPr>
        <w:t>the foregoing, the Court holds that the instant Application meets all admissibility requirements under Article 56 of the Charter, read in conjunction with Rule 50(2) of the Rules of Court, and accordingly declares it admissible.</w:t>
      </w:r>
    </w:p>
    <w:p w14:paraId="56AE8F76" w14:textId="77777777" w:rsidR="00911729" w:rsidRPr="00071529" w:rsidRDefault="00911729" w:rsidP="00744733">
      <w:pPr>
        <w:rPr>
          <w:rFonts w:eastAsia="Arial"/>
          <w:b/>
          <w:sz w:val="24"/>
          <w:szCs w:val="24"/>
        </w:rPr>
      </w:pPr>
    </w:p>
    <w:p w14:paraId="2C6AE992" w14:textId="77777777" w:rsidR="00C635A7" w:rsidRPr="00071529" w:rsidRDefault="00C635A7" w:rsidP="00744733">
      <w:pPr>
        <w:rPr>
          <w:rFonts w:eastAsia="Arial"/>
          <w:b/>
          <w:sz w:val="24"/>
          <w:szCs w:val="24"/>
        </w:rPr>
      </w:pPr>
    </w:p>
    <w:p w14:paraId="02C7124E" w14:textId="26D04BCA" w:rsidR="00AF3DCD" w:rsidRPr="00071529" w:rsidRDefault="00AF3DCD" w:rsidP="00744733">
      <w:pPr>
        <w:rPr>
          <w:sz w:val="24"/>
          <w:szCs w:val="24"/>
        </w:rPr>
      </w:pPr>
      <w:bookmarkStart w:id="24" w:name="_Toc143519691"/>
      <w:r w:rsidRPr="00071529">
        <w:rPr>
          <w:sz w:val="24"/>
        </w:rPr>
        <w:t>MERITS</w:t>
      </w:r>
      <w:bookmarkEnd w:id="24"/>
    </w:p>
    <w:p w14:paraId="7AF4CE11" w14:textId="77777777" w:rsidR="00E4035D" w:rsidRPr="00071529" w:rsidRDefault="00E4035D" w:rsidP="00744733"/>
    <w:p w14:paraId="24274D7D" w14:textId="34CAEB99" w:rsidR="00AF3DCD" w:rsidRPr="00071529" w:rsidRDefault="00AF3DCD" w:rsidP="00744733">
      <w:pPr>
        <w:rPr>
          <w:rFonts w:eastAsia="Arial"/>
          <w:bCs/>
          <w:sz w:val="24"/>
          <w:szCs w:val="24"/>
        </w:rPr>
      </w:pPr>
      <w:r w:rsidRPr="00071529">
        <w:rPr>
          <w:sz w:val="24"/>
        </w:rPr>
        <w:t>The Applicant alleges that the Respondent State violated i) his rights to equality before the law and equal protection before the law, and ii) his right to free legal assistance.</w:t>
      </w:r>
    </w:p>
    <w:p w14:paraId="40BDDECD" w14:textId="77777777" w:rsidR="003E71B7" w:rsidRPr="00071529" w:rsidRDefault="003E71B7" w:rsidP="00744733">
      <w:pPr>
        <w:rPr>
          <w:rFonts w:eastAsia="Arial"/>
          <w:bCs/>
          <w:sz w:val="24"/>
          <w:szCs w:val="24"/>
        </w:rPr>
      </w:pPr>
    </w:p>
    <w:p w14:paraId="5AD612D2" w14:textId="2C5E4625" w:rsidR="00194EDF" w:rsidRPr="00071529" w:rsidRDefault="00194EDF" w:rsidP="00744733">
      <w:pPr>
        <w:rPr>
          <w:sz w:val="24"/>
          <w:szCs w:val="24"/>
        </w:rPr>
      </w:pPr>
      <w:bookmarkStart w:id="25" w:name="_Toc143519692"/>
      <w:r w:rsidRPr="00071529">
        <w:rPr>
          <w:sz w:val="24"/>
        </w:rPr>
        <w:lastRenderedPageBreak/>
        <w:t>Alleged violation of the right to equality before the law and equal protection of the law</w:t>
      </w:r>
      <w:bookmarkEnd w:id="25"/>
    </w:p>
    <w:p w14:paraId="78E3CAF2" w14:textId="77777777" w:rsidR="00E4035D" w:rsidRPr="00071529" w:rsidRDefault="00E4035D" w:rsidP="00744733"/>
    <w:p w14:paraId="619CE0EC" w14:textId="4E366D7E" w:rsidR="00194EDF" w:rsidRPr="00071529" w:rsidRDefault="00194EDF" w:rsidP="00744733">
      <w:pPr>
        <w:rPr>
          <w:rFonts w:eastAsia="Arial"/>
          <w:bCs/>
          <w:sz w:val="24"/>
          <w:szCs w:val="24"/>
        </w:rPr>
      </w:pPr>
      <w:r w:rsidRPr="00071529">
        <w:rPr>
          <w:sz w:val="24"/>
        </w:rPr>
        <w:t xml:space="preserve">The Applicant alleges that the Appeal Court upheld </w:t>
      </w:r>
      <w:r w:rsidR="0086008A" w:rsidRPr="00071529">
        <w:rPr>
          <w:sz w:val="24"/>
        </w:rPr>
        <w:t>his</w:t>
      </w:r>
      <w:r w:rsidRPr="00071529">
        <w:rPr>
          <w:sz w:val="24"/>
        </w:rPr>
        <w:t xml:space="preserve"> conviction, notwithstanding the absence of key particulars of the case, in violation of Article 3(1) and (2) of the Charter. He submits that the said court completely failed to take into account the importance of a key piece of evidence in the case, namely the issue of visual identification by PW 1, insofar it was not clearly established that the assailants were identified in circumstances and weather conditions conducive </w:t>
      </w:r>
      <w:r w:rsidR="006C6086" w:rsidRPr="00071529">
        <w:rPr>
          <w:sz w:val="24"/>
        </w:rPr>
        <w:t>to correct</w:t>
      </w:r>
      <w:r w:rsidRPr="00071529">
        <w:rPr>
          <w:sz w:val="24"/>
        </w:rPr>
        <w:t xml:space="preserve"> and reliable identification.  </w:t>
      </w:r>
    </w:p>
    <w:p w14:paraId="4412CD63" w14:textId="77777777" w:rsidR="005B2C7A" w:rsidRPr="00071529" w:rsidRDefault="005B2C7A" w:rsidP="00744733">
      <w:pPr>
        <w:rPr>
          <w:rFonts w:eastAsia="Arial"/>
          <w:bCs/>
          <w:sz w:val="24"/>
          <w:szCs w:val="24"/>
        </w:rPr>
      </w:pPr>
    </w:p>
    <w:p w14:paraId="5C02F4E6" w14:textId="5720DBDC" w:rsidR="00D11CF6" w:rsidRPr="00071529" w:rsidRDefault="00D11CF6" w:rsidP="00744733">
      <w:pPr>
        <w:rPr>
          <w:rFonts w:eastAsia="Arial"/>
          <w:bCs/>
          <w:sz w:val="24"/>
          <w:szCs w:val="24"/>
        </w:rPr>
      </w:pPr>
      <w:r w:rsidRPr="00071529">
        <w:rPr>
          <w:sz w:val="24"/>
        </w:rPr>
        <w:t xml:space="preserve">He </w:t>
      </w:r>
      <w:r w:rsidR="00964143" w:rsidRPr="00071529">
        <w:rPr>
          <w:sz w:val="24"/>
        </w:rPr>
        <w:t xml:space="preserve">further </w:t>
      </w:r>
      <w:r w:rsidRPr="00071529">
        <w:rPr>
          <w:sz w:val="24"/>
        </w:rPr>
        <w:t xml:space="preserve">alleges that the Court of Appeal did not consider all of his grounds of appeal, but instead grouped them into seven grounds, thereby depriving him of his rights.  </w:t>
      </w:r>
    </w:p>
    <w:p w14:paraId="5E78C1ED" w14:textId="77777777" w:rsidR="00E4035D" w:rsidRPr="00071529" w:rsidRDefault="00E4035D" w:rsidP="00744733">
      <w:pPr>
        <w:rPr>
          <w:rFonts w:eastAsia="Arial"/>
          <w:bCs/>
          <w:sz w:val="24"/>
          <w:szCs w:val="24"/>
        </w:rPr>
      </w:pPr>
    </w:p>
    <w:p w14:paraId="5A6DA762" w14:textId="376DC5F1" w:rsidR="00194EDF" w:rsidRPr="00071529" w:rsidRDefault="00194EDF" w:rsidP="00744733">
      <w:pPr>
        <w:rPr>
          <w:rFonts w:eastAsia="Arial"/>
          <w:bCs/>
          <w:sz w:val="24"/>
          <w:szCs w:val="24"/>
        </w:rPr>
      </w:pPr>
      <w:r w:rsidRPr="00071529">
        <w:rPr>
          <w:sz w:val="24"/>
        </w:rPr>
        <w:t xml:space="preserve">The Respondent State </w:t>
      </w:r>
      <w:r w:rsidR="00964143" w:rsidRPr="00071529">
        <w:rPr>
          <w:sz w:val="24"/>
        </w:rPr>
        <w:t>asserts</w:t>
      </w:r>
      <w:r w:rsidRPr="00071529">
        <w:rPr>
          <w:sz w:val="24"/>
        </w:rPr>
        <w:t xml:space="preserve"> that the Court of Appeal convicted the Applicant on the basis of a corroborated and retracted statement and then found that the offence was proven against the Applicant.</w:t>
      </w:r>
    </w:p>
    <w:p w14:paraId="06F3B5FD" w14:textId="77777777" w:rsidR="008C0E11" w:rsidRPr="00071529" w:rsidRDefault="008C0E11" w:rsidP="00744733">
      <w:pPr>
        <w:rPr>
          <w:rFonts w:eastAsia="Arial"/>
          <w:bCs/>
          <w:sz w:val="24"/>
          <w:szCs w:val="24"/>
        </w:rPr>
      </w:pPr>
    </w:p>
    <w:p w14:paraId="7FCFDAFA" w14:textId="1913610E" w:rsidR="00E971C3" w:rsidRPr="00071529" w:rsidRDefault="00E971C3" w:rsidP="00744733">
      <w:pPr>
        <w:rPr>
          <w:rFonts w:eastAsia="Arial"/>
          <w:bCs/>
          <w:sz w:val="24"/>
          <w:szCs w:val="24"/>
        </w:rPr>
      </w:pPr>
      <w:r w:rsidRPr="00071529">
        <w:rPr>
          <w:sz w:val="24"/>
        </w:rPr>
        <w:t xml:space="preserve">The Respondent State further submits that the Court of Appeal did address the issues of visual identification. It states that on page 5 of the Court of Appeal’s judgment, the said court stated that it was satisfied that the identification was made under adequate conditions and that PW3 knew the Applicant prior to the date of the incident. </w:t>
      </w:r>
      <w:r w:rsidRPr="00071529">
        <w:rPr>
          <w:bCs/>
          <w:sz w:val="24"/>
        </w:rPr>
        <w:t>It also took into account the distance between the witness and the Applicant, and the fact that the witness sever</w:t>
      </w:r>
      <w:r w:rsidR="002703FF" w:rsidRPr="00071529">
        <w:rPr>
          <w:bCs/>
          <w:sz w:val="24"/>
        </w:rPr>
        <w:t>ed</w:t>
      </w:r>
      <w:r w:rsidRPr="00071529">
        <w:rPr>
          <w:bCs/>
          <w:sz w:val="24"/>
        </w:rPr>
        <w:t xml:space="preserve"> the Applicant's hand. It found that the incident took place over a fairly long period of time, which leaves no doubt about the identification.</w:t>
      </w:r>
    </w:p>
    <w:p w14:paraId="7AB708B5" w14:textId="6348B554" w:rsidR="00194EDF" w:rsidRPr="00071529" w:rsidRDefault="00194EDF" w:rsidP="00744733">
      <w:pPr>
        <w:rPr>
          <w:rFonts w:eastAsia="Arial"/>
          <w:bCs/>
          <w:sz w:val="24"/>
          <w:szCs w:val="24"/>
        </w:rPr>
      </w:pPr>
      <w:r w:rsidRPr="00071529">
        <w:rPr>
          <w:sz w:val="24"/>
        </w:rPr>
        <w:t>***</w:t>
      </w:r>
    </w:p>
    <w:p w14:paraId="1FA37EB0" w14:textId="77777777" w:rsidR="0033506C" w:rsidRPr="00071529" w:rsidRDefault="0033506C" w:rsidP="00744733">
      <w:pPr>
        <w:rPr>
          <w:rFonts w:eastAsia="Arial"/>
          <w:bCs/>
          <w:sz w:val="24"/>
          <w:szCs w:val="24"/>
        </w:rPr>
      </w:pPr>
    </w:p>
    <w:p w14:paraId="0825A93B" w14:textId="77777777" w:rsidR="00922AE3" w:rsidRPr="00071529" w:rsidRDefault="00C8236C" w:rsidP="00744733">
      <w:pPr>
        <w:rPr>
          <w:sz w:val="24"/>
          <w:szCs w:val="24"/>
        </w:rPr>
      </w:pPr>
      <w:r w:rsidRPr="00071529">
        <w:rPr>
          <w:sz w:val="24"/>
        </w:rPr>
        <w:t xml:space="preserve">Article 3 of the Protocol provides that: </w:t>
      </w:r>
    </w:p>
    <w:p w14:paraId="1C8F62E1" w14:textId="77777777" w:rsidR="00C635A7" w:rsidRPr="00071529" w:rsidRDefault="00C635A7" w:rsidP="00744733"/>
    <w:p w14:paraId="03691E3D" w14:textId="177F073E" w:rsidR="008E7804" w:rsidRPr="00071529" w:rsidRDefault="00474E7F" w:rsidP="00744733">
      <w:r w:rsidRPr="00071529">
        <w:t xml:space="preserve">1. Every individual shall be equal before the law. </w:t>
      </w:r>
    </w:p>
    <w:p w14:paraId="43FF2E0B" w14:textId="4844687B" w:rsidR="00474E7F" w:rsidRPr="00071529" w:rsidRDefault="00474E7F" w:rsidP="00744733">
      <w:pPr>
        <w:rPr>
          <w:sz w:val="24"/>
          <w:szCs w:val="24"/>
        </w:rPr>
      </w:pPr>
      <w:r w:rsidRPr="00071529">
        <w:t>2. Every individual shall be entitled to equal protection of the law.</w:t>
      </w:r>
    </w:p>
    <w:p w14:paraId="2F964040" w14:textId="77777777" w:rsidR="00474E7F" w:rsidRPr="00071529" w:rsidRDefault="00474E7F" w:rsidP="00744733">
      <w:pPr>
        <w:rPr>
          <w:sz w:val="24"/>
          <w:szCs w:val="24"/>
        </w:rPr>
      </w:pPr>
    </w:p>
    <w:p w14:paraId="322BB270" w14:textId="12C0D291" w:rsidR="00474E7F" w:rsidRPr="00071529" w:rsidRDefault="00474E7F" w:rsidP="00744733">
      <w:pPr>
        <w:rPr>
          <w:sz w:val="24"/>
          <w:szCs w:val="24"/>
        </w:rPr>
      </w:pPr>
      <w:r w:rsidRPr="00071529">
        <w:rPr>
          <w:sz w:val="24"/>
        </w:rPr>
        <w:t>The Court recalls that, according to its constant jurisprudence, equal protection of the law requires that the law protects all persons without distinction</w:t>
      </w:r>
      <w:r w:rsidR="00A0170C" w:rsidRPr="00071529">
        <w:rPr>
          <w:sz w:val="24"/>
        </w:rPr>
        <w:t>.</w:t>
      </w:r>
      <w:r w:rsidRPr="00071529">
        <w:rPr>
          <w:rStyle w:val="FootnoteReference"/>
          <w:rFonts w:ascii="Arial" w:hAnsi="Arial" w:cs="Arial"/>
          <w:sz w:val="24"/>
          <w:szCs w:val="24"/>
          <w:lang w:val="fr"/>
        </w:rPr>
        <w:footnoteReference w:id="14"/>
      </w:r>
      <w:r w:rsidRPr="00071529">
        <w:rPr>
          <w:sz w:val="24"/>
        </w:rPr>
        <w:t xml:space="preserve"> It follows that, in order to </w:t>
      </w:r>
      <w:r w:rsidR="00A0170C" w:rsidRPr="00071529">
        <w:rPr>
          <w:sz w:val="24"/>
        </w:rPr>
        <w:lastRenderedPageBreak/>
        <w:t xml:space="preserve">find </w:t>
      </w:r>
      <w:r w:rsidRPr="00071529">
        <w:rPr>
          <w:sz w:val="24"/>
        </w:rPr>
        <w:t>a violation of this right, it must be established that the applicant was treated differently from other persons who were in a similar situation.</w:t>
      </w:r>
      <w:r w:rsidR="00667FBF" w:rsidRPr="00071529">
        <w:rPr>
          <w:rStyle w:val="FootnoteReference"/>
          <w:rFonts w:ascii="Arial" w:hAnsi="Arial" w:cs="Arial"/>
          <w:sz w:val="24"/>
        </w:rPr>
        <w:footnoteReference w:id="15"/>
      </w:r>
    </w:p>
    <w:p w14:paraId="51694EB3" w14:textId="77777777" w:rsidR="00474E7F" w:rsidRPr="00071529" w:rsidRDefault="00474E7F" w:rsidP="00744733">
      <w:pPr>
        <w:rPr>
          <w:sz w:val="24"/>
          <w:szCs w:val="24"/>
        </w:rPr>
      </w:pPr>
    </w:p>
    <w:p w14:paraId="4FFD04F7" w14:textId="265C21E7" w:rsidR="00474E7F" w:rsidRPr="00071529" w:rsidRDefault="00474E7F" w:rsidP="00744733">
      <w:pPr>
        <w:rPr>
          <w:sz w:val="24"/>
          <w:szCs w:val="24"/>
        </w:rPr>
      </w:pPr>
      <w:r w:rsidRPr="00071529">
        <w:rPr>
          <w:sz w:val="24"/>
        </w:rPr>
        <w:t>The Court considers that, when a violation of the right to a fair trial is alleged, it is incumbent on the Applicant to prove that the manner in which the competent national courts assessed the evidence reveals an apparent or manifest error which resulted in a miscarriage of justice to the detriment of the party claiming the violation</w:t>
      </w:r>
      <w:r w:rsidR="00A0170C" w:rsidRPr="00071529">
        <w:rPr>
          <w:sz w:val="24"/>
        </w:rPr>
        <w:t>,</w:t>
      </w:r>
      <w:r w:rsidRPr="00071529">
        <w:rPr>
          <w:sz w:val="24"/>
        </w:rPr>
        <w:t xml:space="preserve"> as opposed to other parties in the same situation</w:t>
      </w:r>
      <w:r w:rsidR="00964143" w:rsidRPr="00071529">
        <w:rPr>
          <w:sz w:val="24"/>
        </w:rPr>
        <w:t>.</w:t>
      </w:r>
      <w:r w:rsidRPr="00071529">
        <w:rPr>
          <w:rStyle w:val="FootnoteReference"/>
          <w:rFonts w:ascii="Arial" w:hAnsi="Arial" w:cs="Arial"/>
          <w:sz w:val="24"/>
          <w:szCs w:val="24"/>
          <w:lang w:val="fr"/>
        </w:rPr>
        <w:footnoteReference w:id="16"/>
      </w:r>
    </w:p>
    <w:p w14:paraId="4DCC1EF2" w14:textId="77777777" w:rsidR="00474E7F" w:rsidRPr="00071529" w:rsidRDefault="00474E7F" w:rsidP="00744733">
      <w:pPr>
        <w:rPr>
          <w:rFonts w:eastAsia="Arial"/>
          <w:sz w:val="24"/>
          <w:szCs w:val="24"/>
        </w:rPr>
      </w:pPr>
    </w:p>
    <w:p w14:paraId="4BC9D6C8" w14:textId="65244DE6" w:rsidR="008F45F9" w:rsidRPr="00071529" w:rsidRDefault="007452CC" w:rsidP="00744733">
      <w:pPr>
        <w:rPr>
          <w:rFonts w:eastAsia="Arial"/>
          <w:sz w:val="24"/>
          <w:szCs w:val="24"/>
        </w:rPr>
      </w:pPr>
      <w:r w:rsidRPr="00071529">
        <w:rPr>
          <w:sz w:val="24"/>
        </w:rPr>
        <w:t xml:space="preserve">The Court notes that in the present case, and as it emerges from the record, there is no provision in the applicable domestic law providing for different treatment of litigants in similar situations.  </w:t>
      </w:r>
    </w:p>
    <w:p w14:paraId="1941A1E2" w14:textId="77777777" w:rsidR="008F45F9" w:rsidRPr="00071529" w:rsidRDefault="008F45F9" w:rsidP="00744733">
      <w:pPr>
        <w:rPr>
          <w:rFonts w:eastAsia="Arial"/>
          <w:sz w:val="24"/>
          <w:szCs w:val="24"/>
        </w:rPr>
      </w:pPr>
    </w:p>
    <w:p w14:paraId="5EA9AE41" w14:textId="2C49A877" w:rsidR="00474E7F" w:rsidRPr="00071529" w:rsidRDefault="008E7804" w:rsidP="00744733">
      <w:pPr>
        <w:rPr>
          <w:rFonts w:eastAsia="Arial"/>
          <w:sz w:val="24"/>
          <w:szCs w:val="24"/>
        </w:rPr>
      </w:pPr>
      <w:r w:rsidRPr="00071529">
        <w:rPr>
          <w:sz w:val="24"/>
        </w:rPr>
        <w:t xml:space="preserve">The Court finds </w:t>
      </w:r>
      <w:r w:rsidR="00B6540D" w:rsidRPr="00071529">
        <w:rPr>
          <w:sz w:val="24"/>
        </w:rPr>
        <w:t>that the</w:t>
      </w:r>
      <w:r w:rsidR="008F45F9" w:rsidRPr="00071529">
        <w:rPr>
          <w:sz w:val="24"/>
        </w:rPr>
        <w:t xml:space="preserve"> domestic courts </w:t>
      </w:r>
      <w:r w:rsidR="00F613CD" w:rsidRPr="00071529">
        <w:rPr>
          <w:sz w:val="24"/>
        </w:rPr>
        <w:t xml:space="preserve">properly </w:t>
      </w:r>
      <w:r w:rsidR="008F45F9" w:rsidRPr="00071529">
        <w:rPr>
          <w:sz w:val="24"/>
        </w:rPr>
        <w:t xml:space="preserve">examined the Applicant’s allegations. </w:t>
      </w:r>
      <w:r w:rsidR="00895E57" w:rsidRPr="00071529">
        <w:rPr>
          <w:sz w:val="24"/>
        </w:rPr>
        <w:t>Notably, t</w:t>
      </w:r>
      <w:r w:rsidR="00F613CD" w:rsidRPr="00071529">
        <w:rPr>
          <w:sz w:val="24"/>
        </w:rPr>
        <w:t>he</w:t>
      </w:r>
      <w:r w:rsidR="008F45F9" w:rsidRPr="00071529">
        <w:rPr>
          <w:sz w:val="24"/>
        </w:rPr>
        <w:t xml:space="preserve"> Court of Appeal heard five (5) witnesses during the Applicant’s trial</w:t>
      </w:r>
      <w:r w:rsidR="00895E57" w:rsidRPr="00071529">
        <w:rPr>
          <w:sz w:val="24"/>
        </w:rPr>
        <w:t xml:space="preserve">, and found that his identification was </w:t>
      </w:r>
      <w:r w:rsidR="00C0258C" w:rsidRPr="00071529">
        <w:rPr>
          <w:sz w:val="24"/>
        </w:rPr>
        <w:t>properly conducted</w:t>
      </w:r>
      <w:r w:rsidR="00895E57" w:rsidRPr="00071529">
        <w:rPr>
          <w:sz w:val="24"/>
        </w:rPr>
        <w:t xml:space="preserve"> and left no doubt that he committed the offence. </w:t>
      </w:r>
      <w:bookmarkStart w:id="26" w:name="_Hlk136107184"/>
      <w:r w:rsidR="00895E57" w:rsidRPr="00071529">
        <w:rPr>
          <w:sz w:val="24"/>
        </w:rPr>
        <w:t xml:space="preserve">In any event, there is no evidence </w:t>
      </w:r>
      <w:r w:rsidR="00B6540D" w:rsidRPr="00071529">
        <w:rPr>
          <w:sz w:val="24"/>
        </w:rPr>
        <w:t>on record</w:t>
      </w:r>
      <w:r w:rsidR="00895E57" w:rsidRPr="00071529">
        <w:rPr>
          <w:sz w:val="24"/>
        </w:rPr>
        <w:t xml:space="preserve"> that the Court of Appeal committed a manifest error that resulted in a denial of justice to the detriment of the Applicant warranting its intervention.</w:t>
      </w:r>
      <w:r w:rsidR="006A445A" w:rsidRPr="00071529">
        <w:rPr>
          <w:sz w:val="24"/>
        </w:rPr>
        <w:t xml:space="preserve"> </w:t>
      </w:r>
    </w:p>
    <w:bookmarkEnd w:id="26"/>
    <w:p w14:paraId="6DC5B555" w14:textId="77777777" w:rsidR="00474E7F" w:rsidRPr="00071529" w:rsidRDefault="00474E7F" w:rsidP="00744733">
      <w:pPr>
        <w:rPr>
          <w:rFonts w:eastAsia="Arial"/>
          <w:sz w:val="24"/>
          <w:szCs w:val="24"/>
        </w:rPr>
      </w:pPr>
    </w:p>
    <w:p w14:paraId="27B9D28F" w14:textId="34630FA6" w:rsidR="005B2C7A" w:rsidRPr="00071529" w:rsidRDefault="00895E57" w:rsidP="00744733">
      <w:pPr>
        <w:rPr>
          <w:rFonts w:eastAsia="Arial"/>
          <w:sz w:val="24"/>
          <w:szCs w:val="24"/>
        </w:rPr>
      </w:pPr>
      <w:r w:rsidRPr="00071529">
        <w:rPr>
          <w:sz w:val="24"/>
        </w:rPr>
        <w:t xml:space="preserve">Furthermore, </w:t>
      </w:r>
      <w:r w:rsidR="007452CC" w:rsidRPr="00071529">
        <w:rPr>
          <w:sz w:val="24"/>
        </w:rPr>
        <w:t xml:space="preserve">the Applicant has not proven </w:t>
      </w:r>
      <w:bookmarkStart w:id="27" w:name="_Hlk136107346"/>
      <w:r w:rsidRPr="00071529">
        <w:rPr>
          <w:sz w:val="24"/>
        </w:rPr>
        <w:t xml:space="preserve">that the domestic courts undertook the proceedings in a manner that unduly differentiated between the Applicant and other accused persons in </w:t>
      </w:r>
      <w:r w:rsidR="008E7804" w:rsidRPr="00071529">
        <w:rPr>
          <w:sz w:val="24"/>
        </w:rPr>
        <w:t xml:space="preserve">a similar situation to </w:t>
      </w:r>
      <w:r w:rsidR="00131B6D" w:rsidRPr="00071529">
        <w:rPr>
          <w:sz w:val="24"/>
        </w:rPr>
        <w:t>his</w:t>
      </w:r>
      <w:r w:rsidRPr="00071529">
        <w:rPr>
          <w:sz w:val="24"/>
        </w:rPr>
        <w:t xml:space="preserve">. </w:t>
      </w:r>
      <w:bookmarkEnd w:id="27"/>
    </w:p>
    <w:p w14:paraId="1ECF7A43" w14:textId="77777777" w:rsidR="005B2C7A" w:rsidRPr="00071529" w:rsidRDefault="005B2C7A" w:rsidP="00744733">
      <w:pPr>
        <w:rPr>
          <w:rFonts w:eastAsia="Arial"/>
          <w:sz w:val="24"/>
          <w:szCs w:val="24"/>
        </w:rPr>
      </w:pPr>
    </w:p>
    <w:p w14:paraId="11DFADC7" w14:textId="05609B96" w:rsidR="007452CC" w:rsidRPr="00071529" w:rsidRDefault="000C0700" w:rsidP="00744733">
      <w:pPr>
        <w:rPr>
          <w:rFonts w:eastAsia="Arial"/>
          <w:sz w:val="24"/>
          <w:szCs w:val="24"/>
        </w:rPr>
      </w:pPr>
      <w:r w:rsidRPr="00071529">
        <w:rPr>
          <w:sz w:val="24"/>
        </w:rPr>
        <w:t>Consequently, the Court dismisses the Applicant’s allegation and finds that the Respondent State did not violate Article 3(1) and (2) of the Charter.</w:t>
      </w:r>
    </w:p>
    <w:p w14:paraId="5C0DF152" w14:textId="77777777" w:rsidR="00B16FB5" w:rsidRPr="00071529" w:rsidRDefault="00B16FB5" w:rsidP="00744733">
      <w:pPr>
        <w:rPr>
          <w:sz w:val="24"/>
          <w:szCs w:val="24"/>
        </w:rPr>
      </w:pPr>
    </w:p>
    <w:p w14:paraId="6954DF5A" w14:textId="650E5FEF" w:rsidR="00AF3DCD" w:rsidRPr="00071529" w:rsidRDefault="00AF3DCD" w:rsidP="00744733">
      <w:pPr>
        <w:rPr>
          <w:sz w:val="24"/>
          <w:szCs w:val="24"/>
        </w:rPr>
      </w:pPr>
      <w:bookmarkStart w:id="28" w:name="_Toc143519693"/>
      <w:r w:rsidRPr="00071529">
        <w:rPr>
          <w:sz w:val="24"/>
        </w:rPr>
        <w:t>Alleged violation of the right to free legal assistance</w:t>
      </w:r>
      <w:bookmarkEnd w:id="28"/>
    </w:p>
    <w:p w14:paraId="608C022C" w14:textId="77777777" w:rsidR="00957FF8" w:rsidRPr="00071529" w:rsidRDefault="00957FF8" w:rsidP="00744733"/>
    <w:p w14:paraId="2E4575DB" w14:textId="5F5B4473" w:rsidR="00AF3DCD" w:rsidRPr="00071529" w:rsidRDefault="00AF3DCD" w:rsidP="00744733">
      <w:pPr>
        <w:rPr>
          <w:rFonts w:eastAsia="Arial"/>
          <w:bCs/>
          <w:sz w:val="24"/>
          <w:szCs w:val="24"/>
        </w:rPr>
      </w:pPr>
      <w:r w:rsidRPr="00071529">
        <w:rPr>
          <w:sz w:val="24"/>
        </w:rPr>
        <w:t>The Applicant alleges that he was not afforded</w:t>
      </w:r>
      <w:r w:rsidR="0001008E" w:rsidRPr="00071529">
        <w:rPr>
          <w:sz w:val="24"/>
        </w:rPr>
        <w:t xml:space="preserve"> free</w:t>
      </w:r>
      <w:r w:rsidRPr="00071529">
        <w:rPr>
          <w:sz w:val="24"/>
        </w:rPr>
        <w:t xml:space="preserve"> legal a</w:t>
      </w:r>
      <w:r w:rsidR="0001008E" w:rsidRPr="00071529">
        <w:rPr>
          <w:sz w:val="24"/>
        </w:rPr>
        <w:t>ssistance</w:t>
      </w:r>
      <w:r w:rsidRPr="00071529">
        <w:rPr>
          <w:sz w:val="24"/>
        </w:rPr>
        <w:t xml:space="preserve"> in the proceedings against him before the domestic courts and that the Respondent State thereby violated Article 7(1)(c) of the Charter.</w:t>
      </w:r>
    </w:p>
    <w:p w14:paraId="44DAA6D1" w14:textId="77777777" w:rsidR="005B2C7A" w:rsidRPr="00071529" w:rsidRDefault="005B2C7A" w:rsidP="00744733">
      <w:pPr>
        <w:rPr>
          <w:rFonts w:eastAsia="Arial"/>
          <w:bCs/>
          <w:sz w:val="24"/>
          <w:szCs w:val="24"/>
        </w:rPr>
      </w:pPr>
    </w:p>
    <w:p w14:paraId="1B308742" w14:textId="11B9EBA9" w:rsidR="00CA58F1" w:rsidRPr="00071529" w:rsidRDefault="00CA58F1" w:rsidP="00744733">
      <w:pPr>
        <w:rPr>
          <w:rFonts w:eastAsia="Arial"/>
          <w:bCs/>
          <w:sz w:val="24"/>
          <w:szCs w:val="24"/>
        </w:rPr>
      </w:pPr>
      <w:r w:rsidRPr="00071529">
        <w:rPr>
          <w:sz w:val="24"/>
        </w:rPr>
        <w:lastRenderedPageBreak/>
        <w:t>He submits that his grievances relate primarily to the alleged violation of the right to free legal assistance, which is a source of miscarriage of justice not only for the Applicant but also for many Tanzanians. He submits that the Prosecutor of the Respondent State is duty-bound to refrain from employing improper methods to secure wrongful conviction. Rather, he must deploy all legitimate methods to secure a just conviction.</w:t>
      </w:r>
    </w:p>
    <w:p w14:paraId="01582210" w14:textId="77777777" w:rsidR="00957FF8" w:rsidRPr="00071529" w:rsidRDefault="00957FF8" w:rsidP="00744733">
      <w:pPr>
        <w:rPr>
          <w:rFonts w:eastAsia="Arial"/>
          <w:bCs/>
          <w:sz w:val="24"/>
          <w:szCs w:val="24"/>
        </w:rPr>
      </w:pPr>
    </w:p>
    <w:p w14:paraId="0489EA64" w14:textId="1FA181F9" w:rsidR="00AF3DCD" w:rsidRPr="00071529" w:rsidRDefault="00AF3DCD" w:rsidP="00744733">
      <w:pPr>
        <w:rPr>
          <w:rFonts w:eastAsia="Arial"/>
          <w:bCs/>
          <w:sz w:val="24"/>
          <w:szCs w:val="24"/>
        </w:rPr>
      </w:pPr>
      <w:r w:rsidRPr="00071529">
        <w:rPr>
          <w:sz w:val="24"/>
        </w:rPr>
        <w:t xml:space="preserve">The Respondent State submits that the Applicant was afforded this right.  It explains that the Applicant commenced his defence on 20 September 2006 and was afforded the opportunity to defend himself. It further contends that the Applicant had the opportunity to apply for legal aid under Section 3 of the Legal Aid (Criminal Proceedings) </w:t>
      </w:r>
      <w:r w:rsidR="00B6540D" w:rsidRPr="00071529">
        <w:rPr>
          <w:sz w:val="24"/>
        </w:rPr>
        <w:t>Act.</w:t>
      </w:r>
      <w:r w:rsidRPr="00071529">
        <w:rPr>
          <w:sz w:val="24"/>
        </w:rPr>
        <w:t xml:space="preserve"> According to the Respondent State, the Applicant could also have applied for legal aid for his appeal to the Court of Appeal under Part II Rule 31(1) of the Rules of Procedure of 2009 of the Respondent State’s Court of Appeal.</w:t>
      </w:r>
    </w:p>
    <w:p w14:paraId="75B77B6B" w14:textId="77777777" w:rsidR="00CA58F1" w:rsidRPr="00071529" w:rsidRDefault="00CA58F1" w:rsidP="00744733">
      <w:pPr>
        <w:rPr>
          <w:rFonts w:eastAsia="Arial"/>
          <w:bCs/>
          <w:sz w:val="24"/>
          <w:szCs w:val="24"/>
        </w:rPr>
      </w:pPr>
    </w:p>
    <w:p w14:paraId="2EB1CAA2" w14:textId="3A435DB6" w:rsidR="00CA58F1" w:rsidRPr="00071529" w:rsidRDefault="00CA58F1" w:rsidP="00744733">
      <w:pPr>
        <w:rPr>
          <w:rFonts w:eastAsia="Arial"/>
          <w:bCs/>
          <w:sz w:val="24"/>
          <w:szCs w:val="24"/>
        </w:rPr>
      </w:pPr>
      <w:r w:rsidRPr="00071529">
        <w:rPr>
          <w:sz w:val="24"/>
        </w:rPr>
        <w:t xml:space="preserve">The Respondent State points out that Article 13(6) of its Constitution provides for the obligation to ensure equality before the law as well as the right to appeal or the right to pursue any other remedy to challenge the decision of the Court in question. It submits that the Applicant was granted leave to file a late appeal before the Court of Appeal. The Respondent State </w:t>
      </w:r>
      <w:r w:rsidR="00B6540D" w:rsidRPr="00071529">
        <w:rPr>
          <w:sz w:val="24"/>
        </w:rPr>
        <w:t>submits that</w:t>
      </w:r>
      <w:r w:rsidRPr="00071529">
        <w:rPr>
          <w:sz w:val="24"/>
        </w:rPr>
        <w:t xml:space="preserve"> in the circumstances of the present case, the trial duration of two</w:t>
      </w:r>
      <w:r w:rsidR="00C354F6" w:rsidRPr="00071529">
        <w:rPr>
          <w:sz w:val="24"/>
        </w:rPr>
        <w:t xml:space="preserve"> (2)</w:t>
      </w:r>
      <w:r w:rsidRPr="00071529">
        <w:rPr>
          <w:sz w:val="24"/>
        </w:rPr>
        <w:t xml:space="preserve"> years and three</w:t>
      </w:r>
      <w:r w:rsidR="00C354F6" w:rsidRPr="00071529">
        <w:rPr>
          <w:sz w:val="24"/>
        </w:rPr>
        <w:t xml:space="preserve"> (3)</w:t>
      </w:r>
      <w:r w:rsidRPr="00071529">
        <w:rPr>
          <w:sz w:val="24"/>
        </w:rPr>
        <w:t xml:space="preserve"> months constitutes reasonable time. </w:t>
      </w:r>
    </w:p>
    <w:p w14:paraId="0945A577" w14:textId="77777777" w:rsidR="00AF2C85" w:rsidRPr="00071529" w:rsidRDefault="00AF2C85" w:rsidP="00744733">
      <w:pPr>
        <w:rPr>
          <w:sz w:val="24"/>
        </w:rPr>
      </w:pPr>
    </w:p>
    <w:p w14:paraId="2D27D763" w14:textId="20C7C5C2" w:rsidR="000F75B5" w:rsidRPr="00071529" w:rsidRDefault="000F75B5" w:rsidP="00744733">
      <w:pPr>
        <w:rPr>
          <w:rFonts w:eastAsia="Arial"/>
          <w:bCs/>
          <w:sz w:val="24"/>
          <w:szCs w:val="24"/>
        </w:rPr>
      </w:pPr>
      <w:r w:rsidRPr="00071529">
        <w:rPr>
          <w:sz w:val="24"/>
        </w:rPr>
        <w:t>***</w:t>
      </w:r>
    </w:p>
    <w:p w14:paraId="64CEF1C9" w14:textId="77777777" w:rsidR="00091F7B" w:rsidRPr="00071529" w:rsidRDefault="00091F7B" w:rsidP="00744733">
      <w:pPr>
        <w:rPr>
          <w:rFonts w:eastAsia="Arial"/>
          <w:bCs/>
          <w:sz w:val="24"/>
          <w:szCs w:val="24"/>
        </w:rPr>
      </w:pPr>
    </w:p>
    <w:p w14:paraId="2AFA717B" w14:textId="00ADF69B" w:rsidR="000F75B5" w:rsidRPr="00071529" w:rsidRDefault="002647A3" w:rsidP="00744733">
      <w:pPr>
        <w:rPr>
          <w:rFonts w:eastAsia="Arial"/>
          <w:bCs/>
          <w:sz w:val="24"/>
          <w:szCs w:val="24"/>
        </w:rPr>
      </w:pPr>
      <w:r w:rsidRPr="00071529">
        <w:rPr>
          <w:sz w:val="24"/>
          <w:szCs w:val="24"/>
        </w:rPr>
        <w:t>Under Article</w:t>
      </w:r>
      <w:r w:rsidR="00C354F6" w:rsidRPr="00071529">
        <w:rPr>
          <w:sz w:val="24"/>
          <w:szCs w:val="24"/>
        </w:rPr>
        <w:t xml:space="preserve"> </w:t>
      </w:r>
      <w:r w:rsidRPr="00071529">
        <w:rPr>
          <w:sz w:val="24"/>
          <w:szCs w:val="24"/>
        </w:rPr>
        <w:t>7(1)(c) of the Charter, the right to have one’s cause heard includes “the right to a defence, including the right to be assisted by counsel of one’s own choosing”.</w:t>
      </w:r>
    </w:p>
    <w:p w14:paraId="4FBF6DD6" w14:textId="77777777" w:rsidR="00957FF8" w:rsidRPr="00071529" w:rsidRDefault="00957FF8" w:rsidP="00744733">
      <w:pPr>
        <w:rPr>
          <w:rFonts w:eastAsia="Arial"/>
          <w:bCs/>
          <w:sz w:val="24"/>
          <w:szCs w:val="24"/>
        </w:rPr>
      </w:pPr>
    </w:p>
    <w:p w14:paraId="76DCFCA3" w14:textId="474334D9" w:rsidR="002647A3" w:rsidRPr="00071529" w:rsidRDefault="00957FF8" w:rsidP="00744733">
      <w:pPr>
        <w:rPr>
          <w:rFonts w:eastAsia="Arial"/>
          <w:bCs/>
          <w:sz w:val="24"/>
          <w:szCs w:val="24"/>
        </w:rPr>
      </w:pPr>
      <w:r w:rsidRPr="00071529">
        <w:rPr>
          <w:sz w:val="24"/>
        </w:rPr>
        <w:t>In its jurisprudence, the Court has interpreted Article 7(1)(c) of the Charter in light of Article 14(3)(d) of the International Covenant on Civil and Political Rights (ICCPR)</w:t>
      </w:r>
      <w:r w:rsidR="00DD7E28" w:rsidRPr="00071529">
        <w:rPr>
          <w:sz w:val="24"/>
        </w:rPr>
        <w:t>,</w:t>
      </w:r>
      <w:r w:rsidR="002647A3" w:rsidRPr="00071529">
        <w:rPr>
          <w:rStyle w:val="FootnoteReference"/>
          <w:rFonts w:ascii="Arial" w:eastAsia="Arial" w:hAnsi="Arial" w:cs="Arial"/>
          <w:bCs/>
          <w:sz w:val="24"/>
          <w:szCs w:val="24"/>
        </w:rPr>
        <w:footnoteReference w:id="17"/>
      </w:r>
      <w:r w:rsidRPr="00071529">
        <w:rPr>
          <w:sz w:val="24"/>
        </w:rPr>
        <w:t xml:space="preserve"> and determined that the right to defence includes the right to be provided free legal assistance.</w:t>
      </w:r>
      <w:r w:rsidR="002647A3" w:rsidRPr="00071529">
        <w:rPr>
          <w:rStyle w:val="FootnoteReference"/>
          <w:rFonts w:ascii="Arial" w:eastAsia="Arial" w:hAnsi="Arial" w:cs="Arial"/>
          <w:bCs/>
          <w:sz w:val="24"/>
          <w:szCs w:val="24"/>
        </w:rPr>
        <w:footnoteReference w:id="18"/>
      </w:r>
    </w:p>
    <w:p w14:paraId="238F7661" w14:textId="77777777" w:rsidR="00957FF8" w:rsidRPr="00071529" w:rsidRDefault="00957FF8" w:rsidP="00744733">
      <w:pPr>
        <w:rPr>
          <w:rFonts w:eastAsia="Arial"/>
          <w:bCs/>
          <w:sz w:val="24"/>
          <w:szCs w:val="24"/>
        </w:rPr>
      </w:pPr>
    </w:p>
    <w:p w14:paraId="2381C70E" w14:textId="784F4298" w:rsidR="00957FF8" w:rsidRPr="00071529" w:rsidRDefault="00364751" w:rsidP="00744733">
      <w:pPr>
        <w:rPr>
          <w:rFonts w:eastAsia="Arial"/>
          <w:bCs/>
          <w:sz w:val="24"/>
          <w:szCs w:val="24"/>
        </w:rPr>
      </w:pPr>
      <w:r w:rsidRPr="00071529">
        <w:rPr>
          <w:sz w:val="24"/>
        </w:rPr>
        <w:t xml:space="preserve">The Court also found that anyone charged with a serious offence, punishable by a heavy sentence, is entitled to have legal representation free of charge and without having to apply </w:t>
      </w:r>
      <w:r w:rsidRPr="00071529">
        <w:rPr>
          <w:sz w:val="24"/>
        </w:rPr>
        <w:lastRenderedPageBreak/>
        <w:t>for it.</w:t>
      </w:r>
      <w:r w:rsidRPr="00071529">
        <w:rPr>
          <w:rStyle w:val="FootnoteReference"/>
          <w:rFonts w:ascii="Arial" w:eastAsia="Arial" w:hAnsi="Arial" w:cs="Arial"/>
          <w:bCs/>
          <w:sz w:val="24"/>
          <w:szCs w:val="24"/>
        </w:rPr>
        <w:footnoteReference w:id="19"/>
      </w:r>
      <w:r w:rsidRPr="00071529">
        <w:rPr>
          <w:sz w:val="24"/>
        </w:rPr>
        <w:t xml:space="preserve"> Furthermore, the obligation to provide free legal </w:t>
      </w:r>
      <w:r w:rsidR="00131B6D" w:rsidRPr="00071529">
        <w:rPr>
          <w:sz w:val="24"/>
        </w:rPr>
        <w:t xml:space="preserve">assistance </w:t>
      </w:r>
      <w:r w:rsidRPr="00071529">
        <w:rPr>
          <w:sz w:val="24"/>
        </w:rPr>
        <w:t>to indigent persons facing serious charges and facing a heavy sentence applies both at trial and on appeal.</w:t>
      </w:r>
      <w:r w:rsidR="00957FF8" w:rsidRPr="00071529">
        <w:rPr>
          <w:rStyle w:val="FootnoteReference"/>
          <w:rFonts w:ascii="Arial" w:eastAsia="Arial" w:hAnsi="Arial" w:cs="Arial"/>
          <w:bCs/>
          <w:sz w:val="24"/>
          <w:szCs w:val="24"/>
        </w:rPr>
        <w:footnoteReference w:id="20"/>
      </w:r>
    </w:p>
    <w:p w14:paraId="1BE7B7F6" w14:textId="77777777" w:rsidR="008A2A0D" w:rsidRPr="00071529" w:rsidRDefault="008A2A0D" w:rsidP="00744733">
      <w:pPr>
        <w:rPr>
          <w:rFonts w:eastAsia="Arial"/>
          <w:bCs/>
          <w:sz w:val="24"/>
          <w:szCs w:val="24"/>
        </w:rPr>
      </w:pPr>
    </w:p>
    <w:p w14:paraId="1A8F439B" w14:textId="7C56781A" w:rsidR="00364751" w:rsidRPr="00071529" w:rsidRDefault="00364751" w:rsidP="00744733">
      <w:pPr>
        <w:rPr>
          <w:rFonts w:eastAsia="Arial"/>
          <w:bCs/>
          <w:sz w:val="24"/>
          <w:szCs w:val="24"/>
        </w:rPr>
      </w:pPr>
      <w:r w:rsidRPr="00071529">
        <w:rPr>
          <w:sz w:val="24"/>
        </w:rPr>
        <w:t xml:space="preserve">The Court notes that although the Applicant was charged with armed robbery, a serious offence punishable by a minimum sentence of thirty (30) years’ imprisonment, there is no indication in the record that he was informed of his right to </w:t>
      </w:r>
      <w:r w:rsidR="00C354F6" w:rsidRPr="00071529">
        <w:rPr>
          <w:sz w:val="24"/>
        </w:rPr>
        <w:t xml:space="preserve">free </w:t>
      </w:r>
      <w:r w:rsidRPr="00071529">
        <w:rPr>
          <w:sz w:val="24"/>
        </w:rPr>
        <w:t>legal a</w:t>
      </w:r>
      <w:r w:rsidR="00C354F6" w:rsidRPr="00071529">
        <w:rPr>
          <w:sz w:val="24"/>
        </w:rPr>
        <w:t>ssistance</w:t>
      </w:r>
      <w:r w:rsidRPr="00071529">
        <w:rPr>
          <w:sz w:val="24"/>
        </w:rPr>
        <w:t xml:space="preserve">. Furthermore, the Applicant was not informed that he could access free legal </w:t>
      </w:r>
      <w:r w:rsidR="00131B6D" w:rsidRPr="00071529">
        <w:rPr>
          <w:sz w:val="24"/>
        </w:rPr>
        <w:t xml:space="preserve">assistance </w:t>
      </w:r>
      <w:r w:rsidR="00143F09" w:rsidRPr="00071529">
        <w:rPr>
          <w:sz w:val="24"/>
        </w:rPr>
        <w:t xml:space="preserve">even </w:t>
      </w:r>
      <w:r w:rsidRPr="00071529">
        <w:rPr>
          <w:sz w:val="24"/>
        </w:rPr>
        <w:t>if he could not afford it. The Court further notes that the Respondent State does not dispute that the Applicant is indigent.</w:t>
      </w:r>
    </w:p>
    <w:p w14:paraId="5E8933CB" w14:textId="77777777" w:rsidR="006146C4" w:rsidRPr="00071529" w:rsidRDefault="006146C4" w:rsidP="00744733">
      <w:pPr>
        <w:rPr>
          <w:rFonts w:eastAsia="Arial"/>
          <w:bCs/>
          <w:sz w:val="24"/>
          <w:szCs w:val="24"/>
        </w:rPr>
      </w:pPr>
    </w:p>
    <w:p w14:paraId="17C29186" w14:textId="1C4A78A1" w:rsidR="00364751" w:rsidRPr="00071529" w:rsidRDefault="00142C9D" w:rsidP="00744733">
      <w:pPr>
        <w:rPr>
          <w:rFonts w:eastAsia="Arial"/>
          <w:bCs/>
          <w:sz w:val="24"/>
          <w:szCs w:val="24"/>
        </w:rPr>
      </w:pPr>
      <w:r w:rsidRPr="00071529">
        <w:rPr>
          <w:sz w:val="24"/>
        </w:rPr>
        <w:t xml:space="preserve">The Court considers that in the circumstances of the case, and in the interests of justice, the Applicant should have been afforded free legal </w:t>
      </w:r>
      <w:r w:rsidR="00C354F6" w:rsidRPr="00071529">
        <w:rPr>
          <w:sz w:val="24"/>
        </w:rPr>
        <w:t>assistance</w:t>
      </w:r>
      <w:r w:rsidR="00143F09" w:rsidRPr="00071529">
        <w:rPr>
          <w:sz w:val="24"/>
        </w:rPr>
        <w:t xml:space="preserve"> </w:t>
      </w:r>
      <w:r w:rsidRPr="00071529">
        <w:rPr>
          <w:sz w:val="24"/>
        </w:rPr>
        <w:t>during the trial proceedings and on appeal.</w:t>
      </w:r>
    </w:p>
    <w:p w14:paraId="6BF85B64" w14:textId="77777777" w:rsidR="00C52420" w:rsidRPr="00071529" w:rsidRDefault="00C52420" w:rsidP="00744733">
      <w:pPr>
        <w:rPr>
          <w:rFonts w:eastAsia="Arial"/>
          <w:bCs/>
          <w:sz w:val="24"/>
          <w:szCs w:val="24"/>
        </w:rPr>
      </w:pPr>
    </w:p>
    <w:p w14:paraId="52891E13" w14:textId="174FD057" w:rsidR="002E7E81" w:rsidRPr="00071529" w:rsidRDefault="00142C9D" w:rsidP="00744733">
      <w:pPr>
        <w:rPr>
          <w:rFonts w:eastAsia="Arial"/>
          <w:bCs/>
          <w:sz w:val="24"/>
          <w:szCs w:val="24"/>
        </w:rPr>
      </w:pPr>
      <w:r w:rsidRPr="00071529">
        <w:rPr>
          <w:sz w:val="24"/>
        </w:rPr>
        <w:t xml:space="preserve">In the light of the foregoing, the Court finds that the Respondent State failed to comply with its obligations </w:t>
      </w:r>
      <w:r w:rsidR="006C6086" w:rsidRPr="00071529">
        <w:rPr>
          <w:sz w:val="24"/>
        </w:rPr>
        <w:t>under Article</w:t>
      </w:r>
      <w:r w:rsidRPr="00071529">
        <w:rPr>
          <w:sz w:val="24"/>
        </w:rPr>
        <w:t xml:space="preserve"> 7(1)(c) of the Charter, read in conjunction with Article 14(3)(d) of the ICCPR, by failing to afford the Applicant free legal assistance in the proceedings before domestic courts.</w:t>
      </w:r>
    </w:p>
    <w:p w14:paraId="58882594" w14:textId="77777777" w:rsidR="005B2C7A" w:rsidRPr="00071529" w:rsidRDefault="005B2C7A" w:rsidP="00744733">
      <w:pPr>
        <w:rPr>
          <w:rFonts w:eastAsia="Arial"/>
          <w:bCs/>
          <w:sz w:val="24"/>
          <w:szCs w:val="24"/>
        </w:rPr>
      </w:pPr>
    </w:p>
    <w:p w14:paraId="14D69F23" w14:textId="77777777" w:rsidR="004E31D4" w:rsidRPr="00071529" w:rsidRDefault="004E31D4" w:rsidP="00744733">
      <w:pPr>
        <w:rPr>
          <w:rFonts w:eastAsia="Arial"/>
          <w:bCs/>
          <w:sz w:val="24"/>
          <w:szCs w:val="24"/>
        </w:rPr>
      </w:pPr>
    </w:p>
    <w:p w14:paraId="632A5CF5" w14:textId="2BE75509" w:rsidR="00142C9D" w:rsidRPr="00071529" w:rsidRDefault="00AF3DCD" w:rsidP="00744733">
      <w:pPr>
        <w:rPr>
          <w:sz w:val="24"/>
          <w:szCs w:val="24"/>
        </w:rPr>
      </w:pPr>
      <w:bookmarkStart w:id="29" w:name="_Toc143519694"/>
      <w:r w:rsidRPr="00071529">
        <w:rPr>
          <w:sz w:val="24"/>
        </w:rPr>
        <w:t>REPARATIONS</w:t>
      </w:r>
      <w:bookmarkEnd w:id="29"/>
      <w:r w:rsidRPr="00071529">
        <w:rPr>
          <w:sz w:val="24"/>
        </w:rPr>
        <w:t xml:space="preserve"> </w:t>
      </w:r>
    </w:p>
    <w:p w14:paraId="450FDA58" w14:textId="77777777" w:rsidR="00142C9D" w:rsidRPr="00071529" w:rsidRDefault="00142C9D" w:rsidP="00744733">
      <w:pPr>
        <w:rPr>
          <w:sz w:val="24"/>
          <w:szCs w:val="24"/>
        </w:rPr>
      </w:pPr>
    </w:p>
    <w:p w14:paraId="621F2DC3" w14:textId="1D2AB90B" w:rsidR="005465DD" w:rsidRPr="00071529" w:rsidRDefault="005465DD" w:rsidP="00744733">
      <w:pPr>
        <w:rPr>
          <w:rFonts w:eastAsia="Arial"/>
          <w:bCs/>
          <w:sz w:val="24"/>
          <w:szCs w:val="24"/>
        </w:rPr>
      </w:pPr>
      <w:r w:rsidRPr="00071529">
        <w:rPr>
          <w:sz w:val="24"/>
        </w:rPr>
        <w:t>The Applicant prays the Court to grant him reparations for the violations he suffered, to vacate the conviction and sentence against him, and to order his release.</w:t>
      </w:r>
    </w:p>
    <w:p w14:paraId="1C945567" w14:textId="77777777" w:rsidR="00142C9D" w:rsidRPr="00071529" w:rsidRDefault="00142C9D" w:rsidP="00744733">
      <w:pPr>
        <w:rPr>
          <w:rFonts w:eastAsia="Arial"/>
          <w:bCs/>
          <w:sz w:val="24"/>
          <w:szCs w:val="24"/>
        </w:rPr>
      </w:pPr>
    </w:p>
    <w:p w14:paraId="5B1558AB" w14:textId="0C90FCC2" w:rsidR="00C32030" w:rsidRPr="00071529" w:rsidRDefault="005465DD" w:rsidP="00744733">
      <w:pPr>
        <w:rPr>
          <w:rFonts w:eastAsia="Arial"/>
          <w:bCs/>
          <w:sz w:val="24"/>
          <w:szCs w:val="24"/>
        </w:rPr>
      </w:pPr>
      <w:r w:rsidRPr="00071529">
        <w:rPr>
          <w:sz w:val="24"/>
        </w:rPr>
        <w:t>The Respondent State prays the Court to dismiss the Applicant’s request for reparations.</w:t>
      </w:r>
    </w:p>
    <w:p w14:paraId="64375733" w14:textId="033FA017" w:rsidR="00C32030" w:rsidRPr="00071529" w:rsidRDefault="00C32030" w:rsidP="00744733">
      <w:pPr>
        <w:rPr>
          <w:rFonts w:eastAsia="Arial"/>
          <w:bCs/>
          <w:sz w:val="24"/>
          <w:szCs w:val="24"/>
        </w:rPr>
      </w:pPr>
      <w:r w:rsidRPr="00071529">
        <w:rPr>
          <w:sz w:val="24"/>
        </w:rPr>
        <w:t>***</w:t>
      </w:r>
    </w:p>
    <w:p w14:paraId="3AED3C64" w14:textId="77777777" w:rsidR="005B2C7A" w:rsidRPr="00071529" w:rsidRDefault="005B2C7A" w:rsidP="00744733">
      <w:pPr>
        <w:rPr>
          <w:rFonts w:eastAsia="Arial"/>
          <w:bCs/>
          <w:sz w:val="24"/>
          <w:szCs w:val="24"/>
        </w:rPr>
      </w:pPr>
    </w:p>
    <w:p w14:paraId="361EA907" w14:textId="0A25C6F6" w:rsidR="00142C9D" w:rsidRPr="00071529" w:rsidRDefault="00AF3DCD" w:rsidP="00744733">
      <w:pPr>
        <w:rPr>
          <w:rFonts w:eastAsia="Arial"/>
          <w:bCs/>
          <w:sz w:val="24"/>
          <w:szCs w:val="24"/>
        </w:rPr>
      </w:pPr>
      <w:r w:rsidRPr="00071529">
        <w:rPr>
          <w:sz w:val="24"/>
        </w:rPr>
        <w:t xml:space="preserve">The Court observes that Article 27(1) of the Protocol provides: </w:t>
      </w:r>
    </w:p>
    <w:p w14:paraId="3307AF9C" w14:textId="77777777" w:rsidR="00142C9D" w:rsidRPr="00071529" w:rsidRDefault="00142C9D" w:rsidP="00744733">
      <w:pPr>
        <w:rPr>
          <w:rFonts w:eastAsia="Arial"/>
          <w:bCs/>
          <w:sz w:val="24"/>
          <w:szCs w:val="24"/>
        </w:rPr>
      </w:pPr>
    </w:p>
    <w:p w14:paraId="30F09F9C" w14:textId="664E90C0" w:rsidR="00AF3DCD" w:rsidRPr="00071529" w:rsidRDefault="00153F19" w:rsidP="00744733">
      <w:pPr>
        <w:rPr>
          <w:rFonts w:eastAsia="Arial"/>
          <w:bCs/>
        </w:rPr>
      </w:pPr>
      <w:r w:rsidRPr="00071529">
        <w:t>If the Court finds that there has been a violation of a human or peoples’ rights, it shall make appropriate orders to remedy the violation, including the payment of fair compensation or reparation.</w:t>
      </w:r>
    </w:p>
    <w:p w14:paraId="30874079" w14:textId="77777777" w:rsidR="00142C9D" w:rsidRPr="00071529" w:rsidRDefault="00142C9D" w:rsidP="00744733">
      <w:pPr>
        <w:rPr>
          <w:rFonts w:eastAsia="Arial"/>
          <w:bCs/>
          <w:sz w:val="24"/>
          <w:szCs w:val="24"/>
        </w:rPr>
      </w:pPr>
    </w:p>
    <w:p w14:paraId="3D428AD6" w14:textId="77777777" w:rsidR="00BE41A2" w:rsidRPr="00071529" w:rsidRDefault="00153F19" w:rsidP="00744733">
      <w:pPr>
        <w:rPr>
          <w:rFonts w:eastAsia="Arial"/>
          <w:bCs/>
          <w:sz w:val="24"/>
          <w:szCs w:val="24"/>
        </w:rPr>
      </w:pPr>
      <w:r w:rsidRPr="00071529">
        <w:rPr>
          <w:sz w:val="24"/>
        </w:rPr>
        <w:t xml:space="preserve">In line with its </w:t>
      </w:r>
      <w:r w:rsidR="000A5A4C" w:rsidRPr="00071529">
        <w:rPr>
          <w:sz w:val="24"/>
        </w:rPr>
        <w:t xml:space="preserve">established </w:t>
      </w:r>
      <w:r w:rsidRPr="00071529">
        <w:rPr>
          <w:sz w:val="24"/>
        </w:rPr>
        <w:t xml:space="preserve">jurisprudence, the Court considers that, in order for reparations to be awarded, it must first be established that the Respondent State is internationally responsible for the wrongful act. </w:t>
      </w:r>
    </w:p>
    <w:p w14:paraId="022DE2D5" w14:textId="206AD38D" w:rsidR="00AF3DCD" w:rsidRPr="00071529" w:rsidRDefault="00153F19" w:rsidP="00744733">
      <w:pPr>
        <w:rPr>
          <w:rFonts w:eastAsia="Arial"/>
          <w:bCs/>
          <w:sz w:val="24"/>
          <w:szCs w:val="24"/>
        </w:rPr>
      </w:pPr>
      <w:r w:rsidRPr="00071529">
        <w:rPr>
          <w:sz w:val="24"/>
        </w:rPr>
        <w:t>Secondly, causation should be established between the wrongful act and the harm alleged</w:t>
      </w:r>
      <w:r w:rsidR="00895E57" w:rsidRPr="00071529">
        <w:rPr>
          <w:sz w:val="24"/>
        </w:rPr>
        <w:t>.</w:t>
      </w:r>
      <w:r w:rsidR="00AF20C4" w:rsidRPr="00071529">
        <w:rPr>
          <w:rStyle w:val="FootnoteReference"/>
          <w:rFonts w:ascii="Arial" w:eastAsia="Arial" w:hAnsi="Arial" w:cs="Arial"/>
          <w:bCs/>
          <w:sz w:val="24"/>
          <w:szCs w:val="24"/>
        </w:rPr>
        <w:footnoteReference w:id="21"/>
      </w:r>
      <w:r w:rsidRPr="00071529">
        <w:rPr>
          <w:sz w:val="24"/>
        </w:rPr>
        <w:t xml:space="preserve"> Finally, where reparation is granted, it should fully redress the harm suffered.</w:t>
      </w:r>
      <w:r w:rsidR="000A5A4C" w:rsidRPr="00071529">
        <w:rPr>
          <w:sz w:val="24"/>
        </w:rPr>
        <w:t xml:space="preserve"> </w:t>
      </w:r>
    </w:p>
    <w:p w14:paraId="3680FB56" w14:textId="77777777" w:rsidR="00142C9D" w:rsidRPr="00071529" w:rsidRDefault="00142C9D" w:rsidP="00744733">
      <w:pPr>
        <w:rPr>
          <w:rFonts w:eastAsia="Arial"/>
          <w:bCs/>
          <w:sz w:val="24"/>
          <w:szCs w:val="24"/>
        </w:rPr>
      </w:pPr>
    </w:p>
    <w:p w14:paraId="49B58CC6" w14:textId="168C0935" w:rsidR="00FB45CD" w:rsidRPr="00071529" w:rsidRDefault="00FB45CD" w:rsidP="00744733">
      <w:pPr>
        <w:rPr>
          <w:rFonts w:eastAsia="Arial"/>
          <w:bCs/>
          <w:sz w:val="24"/>
          <w:szCs w:val="24"/>
        </w:rPr>
      </w:pPr>
      <w:r w:rsidRPr="00071529">
        <w:rPr>
          <w:sz w:val="24"/>
        </w:rPr>
        <w:t>The Court reiterates that the onus is on the Applicant to provide evidence in support of his prayers, in particular with regard to material prejudice.</w:t>
      </w:r>
      <w:r w:rsidRPr="00071529">
        <w:rPr>
          <w:rStyle w:val="FootnoteReference"/>
          <w:rFonts w:ascii="Arial" w:eastAsia="Arial" w:hAnsi="Arial" w:cs="Arial"/>
          <w:bCs/>
          <w:sz w:val="24"/>
          <w:szCs w:val="24"/>
        </w:rPr>
        <w:footnoteReference w:id="22"/>
      </w:r>
      <w:r w:rsidRPr="00071529">
        <w:rPr>
          <w:sz w:val="24"/>
        </w:rPr>
        <w:t xml:space="preserve"> With regard to moral prejudice, the Court has held that the requirement of proof is not strict </w:t>
      </w:r>
      <w:r w:rsidRPr="00071529">
        <w:rPr>
          <w:rStyle w:val="FootnoteReference"/>
          <w:rFonts w:ascii="Arial" w:eastAsia="Arial" w:hAnsi="Arial" w:cs="Arial"/>
          <w:bCs/>
          <w:sz w:val="24"/>
          <w:szCs w:val="24"/>
        </w:rPr>
        <w:footnoteReference w:id="23"/>
      </w:r>
      <w:r w:rsidRPr="00071529">
        <w:rPr>
          <w:sz w:val="24"/>
        </w:rPr>
        <w:t xml:space="preserve"> since prejudice is presumed when violations are established.</w:t>
      </w:r>
      <w:r w:rsidRPr="00071529">
        <w:rPr>
          <w:rStyle w:val="FootnoteReference"/>
          <w:rFonts w:ascii="Arial" w:eastAsia="Arial" w:hAnsi="Arial" w:cs="Arial"/>
          <w:bCs/>
          <w:sz w:val="24"/>
          <w:szCs w:val="24"/>
        </w:rPr>
        <w:footnoteReference w:id="24"/>
      </w:r>
    </w:p>
    <w:p w14:paraId="7CFD2B24" w14:textId="77777777" w:rsidR="00142C9D" w:rsidRPr="00071529" w:rsidRDefault="00142C9D" w:rsidP="00744733">
      <w:pPr>
        <w:rPr>
          <w:rFonts w:eastAsia="Arial"/>
          <w:bCs/>
          <w:sz w:val="24"/>
          <w:szCs w:val="24"/>
        </w:rPr>
      </w:pPr>
    </w:p>
    <w:p w14:paraId="0F6AFE99" w14:textId="4B736323" w:rsidR="00FB45CD" w:rsidRPr="00071529" w:rsidRDefault="00FB45CD" w:rsidP="00744733">
      <w:pPr>
        <w:rPr>
          <w:rFonts w:eastAsia="Arial"/>
          <w:bCs/>
          <w:sz w:val="24"/>
          <w:szCs w:val="24"/>
        </w:rPr>
      </w:pPr>
      <w:r w:rsidRPr="00071529">
        <w:rPr>
          <w:sz w:val="24"/>
        </w:rPr>
        <w:t>The Court also recalls that the measures that a State may take to remedy a violation of human rights can include restitution, compensation and victim rehabilitation as well as measures to ensure non-repetition of the violations, taking into account the circumstances of each case.</w:t>
      </w:r>
      <w:r w:rsidRPr="00071529">
        <w:rPr>
          <w:rStyle w:val="FootnoteReference"/>
          <w:rFonts w:ascii="Arial" w:eastAsia="Arial" w:hAnsi="Arial" w:cs="Arial"/>
          <w:bCs/>
          <w:sz w:val="24"/>
          <w:szCs w:val="24"/>
        </w:rPr>
        <w:footnoteReference w:id="25"/>
      </w:r>
    </w:p>
    <w:p w14:paraId="49A5C686" w14:textId="77777777" w:rsidR="00142C9D" w:rsidRPr="00071529" w:rsidRDefault="00142C9D" w:rsidP="00744733">
      <w:pPr>
        <w:rPr>
          <w:rFonts w:eastAsia="Arial"/>
          <w:bCs/>
          <w:sz w:val="24"/>
          <w:szCs w:val="24"/>
        </w:rPr>
      </w:pPr>
    </w:p>
    <w:p w14:paraId="61278D8E" w14:textId="2598A1B5" w:rsidR="005B07B5" w:rsidRPr="00071529" w:rsidRDefault="005B07B5" w:rsidP="00744733">
      <w:pPr>
        <w:rPr>
          <w:rFonts w:eastAsia="Arial"/>
          <w:bCs/>
          <w:sz w:val="24"/>
          <w:szCs w:val="24"/>
        </w:rPr>
      </w:pPr>
      <w:r w:rsidRPr="00071529">
        <w:rPr>
          <w:sz w:val="24"/>
        </w:rPr>
        <w:t>In the instant case, the Applicant seeks pecuniary</w:t>
      </w:r>
      <w:r w:rsidR="00DD7E28" w:rsidRPr="00071529">
        <w:rPr>
          <w:sz w:val="24"/>
        </w:rPr>
        <w:t xml:space="preserve"> </w:t>
      </w:r>
      <w:r w:rsidRPr="00071529">
        <w:rPr>
          <w:sz w:val="24"/>
        </w:rPr>
        <w:t>(A) and non-pecuniary (B) reparations.</w:t>
      </w:r>
      <w:r w:rsidR="00AB11C4" w:rsidRPr="00071529">
        <w:rPr>
          <w:sz w:val="24"/>
        </w:rPr>
        <w:t xml:space="preserve"> </w:t>
      </w:r>
      <w:bookmarkStart w:id="30" w:name="_Hlk140750043"/>
      <w:r w:rsidR="00AB11C4" w:rsidRPr="00071529">
        <w:rPr>
          <w:sz w:val="24"/>
        </w:rPr>
        <w:t>The Court will now address each of the two limbs of reparations claimed by the Applicant.</w:t>
      </w:r>
      <w:bookmarkEnd w:id="30"/>
    </w:p>
    <w:p w14:paraId="77282951" w14:textId="5432BEE2" w:rsidR="004E31D4" w:rsidRPr="00071529" w:rsidRDefault="004E31D4" w:rsidP="00744733">
      <w:pPr>
        <w:rPr>
          <w:rFonts w:eastAsia="Arial"/>
          <w:bCs/>
          <w:sz w:val="24"/>
          <w:szCs w:val="24"/>
        </w:rPr>
      </w:pPr>
    </w:p>
    <w:p w14:paraId="39D1B82C" w14:textId="77777777" w:rsidR="003E71B7" w:rsidRPr="00071529" w:rsidRDefault="003E71B7" w:rsidP="00744733">
      <w:pPr>
        <w:rPr>
          <w:rFonts w:eastAsia="Arial"/>
          <w:bCs/>
          <w:sz w:val="24"/>
          <w:szCs w:val="24"/>
        </w:rPr>
      </w:pPr>
    </w:p>
    <w:p w14:paraId="2FF0A26E" w14:textId="5A405800" w:rsidR="00AF3DCD" w:rsidRPr="00071529" w:rsidRDefault="00374E2D" w:rsidP="00744733">
      <w:pPr>
        <w:rPr>
          <w:sz w:val="24"/>
          <w:szCs w:val="24"/>
        </w:rPr>
      </w:pPr>
      <w:bookmarkStart w:id="31" w:name="_Toc143519695"/>
      <w:r w:rsidRPr="00071529">
        <w:rPr>
          <w:sz w:val="24"/>
        </w:rPr>
        <w:lastRenderedPageBreak/>
        <w:t>Pecuniary Reparations</w:t>
      </w:r>
      <w:bookmarkEnd w:id="31"/>
      <w:r w:rsidRPr="00071529">
        <w:rPr>
          <w:sz w:val="24"/>
        </w:rPr>
        <w:t xml:space="preserve"> </w:t>
      </w:r>
    </w:p>
    <w:p w14:paraId="06699B65" w14:textId="77777777" w:rsidR="00142C9D" w:rsidRPr="00071529" w:rsidRDefault="00142C9D" w:rsidP="00744733"/>
    <w:p w14:paraId="0E7CB5B6" w14:textId="1EDC4058" w:rsidR="00374E2D" w:rsidRPr="00071529" w:rsidRDefault="00374E2D" w:rsidP="00744733">
      <w:pPr>
        <w:rPr>
          <w:rFonts w:eastAsia="Arial"/>
          <w:bCs/>
          <w:sz w:val="24"/>
          <w:szCs w:val="24"/>
        </w:rPr>
      </w:pPr>
      <w:r w:rsidRPr="00071529">
        <w:rPr>
          <w:sz w:val="24"/>
        </w:rPr>
        <w:t xml:space="preserve">The Applicant seeks pecuniary reparation for the material prejudice which, according to him, the Respondent State’s actions caused him. In this regard, he prays the Court to consider and calculate the amounts to be awarded based on per capital income and the duration of his detention. </w:t>
      </w:r>
    </w:p>
    <w:p w14:paraId="3B1CD67E" w14:textId="77777777" w:rsidR="00142C9D" w:rsidRPr="00071529" w:rsidRDefault="00142C9D" w:rsidP="00744733"/>
    <w:p w14:paraId="082FF93A" w14:textId="6151251A" w:rsidR="00374E2D" w:rsidRPr="00071529" w:rsidRDefault="00374E2D" w:rsidP="00744733">
      <w:pPr>
        <w:rPr>
          <w:rFonts w:eastAsia="Arial"/>
          <w:bCs/>
          <w:sz w:val="24"/>
          <w:szCs w:val="24"/>
        </w:rPr>
      </w:pPr>
      <w:r w:rsidRPr="00071529">
        <w:rPr>
          <w:sz w:val="24"/>
        </w:rPr>
        <w:t xml:space="preserve">The Respondent State prays the Court to dismiss the Applicant's request for reparation, including the payment of fair compensation or reparation under Article 27 of the Protocol. It also prays </w:t>
      </w:r>
      <w:r w:rsidR="000A5A4C" w:rsidRPr="00071529">
        <w:rPr>
          <w:sz w:val="24"/>
        </w:rPr>
        <w:t xml:space="preserve">the Court to declare </w:t>
      </w:r>
      <w:r w:rsidRPr="00071529">
        <w:rPr>
          <w:sz w:val="24"/>
        </w:rPr>
        <w:t>that the Applicant continue to serve his sentence.</w:t>
      </w:r>
    </w:p>
    <w:p w14:paraId="20C994A6" w14:textId="77777777" w:rsidR="00142C9D" w:rsidRPr="00071529" w:rsidRDefault="00142C9D" w:rsidP="00744733"/>
    <w:p w14:paraId="09B42BD0" w14:textId="27311399" w:rsidR="00374E2D" w:rsidRPr="00071529" w:rsidRDefault="000C41E5" w:rsidP="00744733">
      <w:pPr>
        <w:rPr>
          <w:rFonts w:eastAsia="Arial"/>
          <w:sz w:val="24"/>
          <w:szCs w:val="24"/>
        </w:rPr>
      </w:pPr>
      <w:r w:rsidRPr="00071529">
        <w:rPr>
          <w:sz w:val="24"/>
        </w:rPr>
        <w:t>***</w:t>
      </w:r>
    </w:p>
    <w:p w14:paraId="060C391C" w14:textId="77777777" w:rsidR="00142C9D" w:rsidRPr="00071529" w:rsidRDefault="00142C9D" w:rsidP="00744733"/>
    <w:p w14:paraId="1E55DF3C" w14:textId="1097A006" w:rsidR="00C0258C" w:rsidRPr="00071529" w:rsidRDefault="00D8115B" w:rsidP="00744733">
      <w:pPr>
        <w:rPr>
          <w:rFonts w:eastAsia="Arial"/>
          <w:bCs/>
          <w:sz w:val="24"/>
          <w:szCs w:val="24"/>
        </w:rPr>
      </w:pPr>
      <w:r w:rsidRPr="00071529">
        <w:rPr>
          <w:sz w:val="24"/>
        </w:rPr>
        <w:t xml:space="preserve">The Court </w:t>
      </w:r>
      <w:bookmarkStart w:id="32" w:name="_Hlk136107520"/>
      <w:r w:rsidR="00C0258C" w:rsidRPr="00071529">
        <w:rPr>
          <w:sz w:val="24"/>
        </w:rPr>
        <w:t>notes that the Applicant makes a prayer for material damage owing to loss of income without substantiating his claims. The prayer is consequently d</w:t>
      </w:r>
      <w:r w:rsidR="00AB11C4" w:rsidRPr="00071529">
        <w:rPr>
          <w:sz w:val="24"/>
        </w:rPr>
        <w:t>ismissed</w:t>
      </w:r>
      <w:r w:rsidR="00C0258C" w:rsidRPr="00071529">
        <w:rPr>
          <w:sz w:val="24"/>
        </w:rPr>
        <w:t xml:space="preserve">. </w:t>
      </w:r>
      <w:bookmarkEnd w:id="32"/>
    </w:p>
    <w:p w14:paraId="45DCEA1B" w14:textId="77777777" w:rsidR="00C0258C" w:rsidRPr="00071529" w:rsidRDefault="00C0258C" w:rsidP="00744733">
      <w:pPr>
        <w:rPr>
          <w:rFonts w:eastAsia="Arial"/>
          <w:bCs/>
          <w:sz w:val="24"/>
          <w:szCs w:val="24"/>
        </w:rPr>
      </w:pPr>
    </w:p>
    <w:p w14:paraId="17AB67CC" w14:textId="58A085AA" w:rsidR="000C41E5" w:rsidRPr="00071529" w:rsidRDefault="00AB11C4" w:rsidP="00744733">
      <w:pPr>
        <w:rPr>
          <w:rFonts w:eastAsia="Arial"/>
          <w:bCs/>
          <w:sz w:val="24"/>
          <w:szCs w:val="24"/>
        </w:rPr>
      </w:pPr>
      <w:r w:rsidRPr="00071529">
        <w:rPr>
          <w:sz w:val="24"/>
        </w:rPr>
        <w:t>However</w:t>
      </w:r>
      <w:r w:rsidR="00C0258C" w:rsidRPr="00071529">
        <w:rPr>
          <w:sz w:val="24"/>
        </w:rPr>
        <w:t xml:space="preserve">, the Court found </w:t>
      </w:r>
      <w:r w:rsidR="00D8115B" w:rsidRPr="00071529">
        <w:rPr>
          <w:sz w:val="24"/>
        </w:rPr>
        <w:t xml:space="preserve">that the Respondent State violated the </w:t>
      </w:r>
      <w:r w:rsidRPr="00071529">
        <w:rPr>
          <w:sz w:val="24"/>
        </w:rPr>
        <w:t xml:space="preserve">Applicant’s </w:t>
      </w:r>
      <w:r w:rsidR="00D8115B" w:rsidRPr="00071529">
        <w:rPr>
          <w:sz w:val="24"/>
        </w:rPr>
        <w:t>right to free legal assistance by failing to afford the Applicant counsel during the proceedings before domestic courts.</w:t>
      </w:r>
    </w:p>
    <w:p w14:paraId="3E1D0DAD" w14:textId="77777777" w:rsidR="00142C9D" w:rsidRPr="00071529" w:rsidRDefault="00142C9D" w:rsidP="00744733">
      <w:pPr>
        <w:rPr>
          <w:rFonts w:eastAsia="Arial"/>
          <w:bCs/>
          <w:sz w:val="24"/>
          <w:szCs w:val="24"/>
        </w:rPr>
      </w:pPr>
    </w:p>
    <w:p w14:paraId="78EF09F4" w14:textId="74B74597" w:rsidR="00190222" w:rsidRPr="00071529" w:rsidRDefault="00190222" w:rsidP="00744733">
      <w:pPr>
        <w:rPr>
          <w:rFonts w:eastAsia="Arial"/>
          <w:bCs/>
          <w:sz w:val="24"/>
          <w:szCs w:val="24"/>
        </w:rPr>
      </w:pPr>
      <w:r w:rsidRPr="00071529">
        <w:rPr>
          <w:sz w:val="24"/>
        </w:rPr>
        <w:t>The Court notes that the violation found caused the Applicant moral prejudice and</w:t>
      </w:r>
      <w:r w:rsidR="00AB11C4" w:rsidRPr="00071529">
        <w:rPr>
          <w:sz w:val="24"/>
        </w:rPr>
        <w:t>,</w:t>
      </w:r>
      <w:r w:rsidRPr="00071529">
        <w:rPr>
          <w:sz w:val="24"/>
        </w:rPr>
        <w:t xml:space="preserve"> therefore, in the exercise of its judicial discretion, </w:t>
      </w:r>
      <w:r w:rsidR="00310D74" w:rsidRPr="00071529">
        <w:rPr>
          <w:sz w:val="24"/>
        </w:rPr>
        <w:t xml:space="preserve">it </w:t>
      </w:r>
      <w:r w:rsidRPr="00071529">
        <w:rPr>
          <w:sz w:val="24"/>
        </w:rPr>
        <w:t>awards the Applicant the sum of Three Hundred Thousand (300,000) Tanzanian shillings as fair compensation.</w:t>
      </w:r>
      <w:r w:rsidRPr="00071529">
        <w:rPr>
          <w:rStyle w:val="FootnoteReference"/>
          <w:rFonts w:ascii="Arial" w:eastAsia="Arial" w:hAnsi="Arial" w:cs="Arial"/>
          <w:bCs/>
          <w:sz w:val="24"/>
          <w:szCs w:val="24"/>
        </w:rPr>
        <w:footnoteReference w:id="26"/>
      </w:r>
    </w:p>
    <w:p w14:paraId="1EE90A78" w14:textId="0E8D8FA7" w:rsidR="00CD25A2" w:rsidRPr="00071529" w:rsidRDefault="000A5A4C" w:rsidP="00744733">
      <w:pPr>
        <w:rPr>
          <w:rFonts w:eastAsia="Arial"/>
          <w:bCs/>
          <w:sz w:val="24"/>
          <w:szCs w:val="24"/>
        </w:rPr>
      </w:pPr>
      <w:r w:rsidRPr="00071529">
        <w:rPr>
          <w:rFonts w:eastAsia="Arial"/>
          <w:bCs/>
          <w:sz w:val="24"/>
          <w:szCs w:val="24"/>
        </w:rPr>
        <w:t xml:space="preserve"> </w:t>
      </w:r>
    </w:p>
    <w:p w14:paraId="51D6AC62" w14:textId="234A815D" w:rsidR="00142C9D" w:rsidRPr="00071529" w:rsidRDefault="00374E2D" w:rsidP="00744733">
      <w:pPr>
        <w:rPr>
          <w:sz w:val="24"/>
          <w:szCs w:val="24"/>
        </w:rPr>
      </w:pPr>
      <w:bookmarkStart w:id="33" w:name="_Toc143519696"/>
      <w:r w:rsidRPr="00071529">
        <w:rPr>
          <w:sz w:val="24"/>
        </w:rPr>
        <w:t>Non-pecuniary reparations</w:t>
      </w:r>
      <w:bookmarkEnd w:id="33"/>
      <w:r w:rsidRPr="00071529">
        <w:rPr>
          <w:sz w:val="24"/>
        </w:rPr>
        <w:t xml:space="preserve"> </w:t>
      </w:r>
    </w:p>
    <w:p w14:paraId="3BA79F4D" w14:textId="77777777" w:rsidR="00142C9D" w:rsidRPr="00071529" w:rsidRDefault="00142C9D" w:rsidP="00744733"/>
    <w:p w14:paraId="06B00EF3" w14:textId="70C092AB" w:rsidR="00162486" w:rsidRPr="00071529" w:rsidRDefault="00374E2D" w:rsidP="00744733">
      <w:pPr>
        <w:rPr>
          <w:rFonts w:eastAsia="Arial"/>
          <w:bCs/>
          <w:sz w:val="24"/>
          <w:szCs w:val="24"/>
        </w:rPr>
      </w:pPr>
      <w:r w:rsidRPr="00071529">
        <w:rPr>
          <w:sz w:val="24"/>
        </w:rPr>
        <w:t xml:space="preserve">The Application prays that he be set free. </w:t>
      </w:r>
    </w:p>
    <w:p w14:paraId="1875031B" w14:textId="77777777" w:rsidR="00D21D71" w:rsidRPr="00071529" w:rsidRDefault="00D21D71" w:rsidP="00744733">
      <w:pPr>
        <w:rPr>
          <w:rFonts w:eastAsia="Arial"/>
          <w:bCs/>
          <w:sz w:val="24"/>
          <w:szCs w:val="24"/>
        </w:rPr>
      </w:pPr>
    </w:p>
    <w:p w14:paraId="23BE0214" w14:textId="07B0EA75" w:rsidR="00374E2D" w:rsidRPr="00071529" w:rsidRDefault="00162486" w:rsidP="00744733">
      <w:pPr>
        <w:rPr>
          <w:rFonts w:eastAsia="Arial"/>
          <w:bCs/>
          <w:sz w:val="24"/>
          <w:szCs w:val="24"/>
        </w:rPr>
      </w:pPr>
      <w:r w:rsidRPr="00071529">
        <w:rPr>
          <w:sz w:val="24"/>
        </w:rPr>
        <w:t>The Respondent State prays the Court to dismiss all of the Applicant’s requests and to order that the Applicant continue to serve his sentence.</w:t>
      </w:r>
    </w:p>
    <w:p w14:paraId="6B7D9539" w14:textId="77777777" w:rsidR="00791506" w:rsidRPr="00071529" w:rsidRDefault="00791506" w:rsidP="00744733">
      <w:pPr>
        <w:rPr>
          <w:sz w:val="24"/>
        </w:rPr>
      </w:pPr>
    </w:p>
    <w:p w14:paraId="2EA22F46" w14:textId="08BDADBD" w:rsidR="00E72088" w:rsidRPr="00071529" w:rsidRDefault="00E72088" w:rsidP="00744733">
      <w:pPr>
        <w:rPr>
          <w:rFonts w:eastAsia="Arial"/>
          <w:bCs/>
          <w:sz w:val="24"/>
          <w:szCs w:val="24"/>
        </w:rPr>
      </w:pPr>
      <w:r w:rsidRPr="00071529">
        <w:rPr>
          <w:sz w:val="24"/>
        </w:rPr>
        <w:t>***</w:t>
      </w:r>
    </w:p>
    <w:p w14:paraId="7AE579D6" w14:textId="77777777" w:rsidR="00D21D71" w:rsidRPr="00071529" w:rsidRDefault="00D21D71" w:rsidP="00744733">
      <w:pPr>
        <w:rPr>
          <w:rFonts w:eastAsia="Arial"/>
          <w:bCs/>
          <w:sz w:val="24"/>
          <w:szCs w:val="24"/>
        </w:rPr>
      </w:pPr>
    </w:p>
    <w:p w14:paraId="3401B8DA" w14:textId="7AE7C688" w:rsidR="00D21D71" w:rsidRPr="00071529" w:rsidRDefault="00C735B7" w:rsidP="00744733">
      <w:pPr>
        <w:rPr>
          <w:rFonts w:eastAsia="Arial"/>
          <w:bCs/>
          <w:sz w:val="24"/>
          <w:szCs w:val="24"/>
        </w:rPr>
      </w:pPr>
      <w:r w:rsidRPr="00071529">
        <w:rPr>
          <w:sz w:val="24"/>
        </w:rPr>
        <w:t>In the instant case, the Court recalls that it has found that the Respondent State violated the Applicant’s right to a fair trial by failing to afford him free legal assistance. Without understating the gravity of this violation, the Court notes that it has not found that the violation is of any relevance in terms of the Applicant’s guilt or conviction</w:t>
      </w:r>
      <w:r w:rsidR="000A5A4C" w:rsidRPr="00071529">
        <w:rPr>
          <w:sz w:val="24"/>
        </w:rPr>
        <w:t>.</w:t>
      </w:r>
      <w:r w:rsidR="00D21D71" w:rsidRPr="00071529">
        <w:rPr>
          <w:rStyle w:val="FootnoteReference"/>
          <w:rFonts w:ascii="Arial" w:eastAsia="Arial" w:hAnsi="Arial" w:cs="Arial"/>
          <w:bCs/>
          <w:sz w:val="24"/>
          <w:szCs w:val="24"/>
        </w:rPr>
        <w:footnoteReference w:id="27"/>
      </w:r>
      <w:r w:rsidRPr="00071529">
        <w:rPr>
          <w:sz w:val="24"/>
        </w:rPr>
        <w:t xml:space="preserve"> </w:t>
      </w:r>
    </w:p>
    <w:p w14:paraId="1BDDB298" w14:textId="77777777" w:rsidR="00D21D71" w:rsidRPr="00071529" w:rsidRDefault="00D21D71" w:rsidP="00744733">
      <w:pPr>
        <w:rPr>
          <w:rFonts w:eastAsia="Arial"/>
          <w:bCs/>
          <w:sz w:val="24"/>
          <w:szCs w:val="24"/>
        </w:rPr>
      </w:pPr>
    </w:p>
    <w:p w14:paraId="6FBEE32E" w14:textId="2134B874" w:rsidR="00E72088" w:rsidRPr="00071529" w:rsidRDefault="00D21D71" w:rsidP="00744733">
      <w:pPr>
        <w:rPr>
          <w:rFonts w:eastAsia="Arial"/>
          <w:bCs/>
          <w:sz w:val="24"/>
          <w:szCs w:val="24"/>
        </w:rPr>
      </w:pPr>
      <w:r w:rsidRPr="00071529">
        <w:rPr>
          <w:sz w:val="24"/>
        </w:rPr>
        <w:t xml:space="preserve"> </w:t>
      </w:r>
      <w:r w:rsidR="00B73724" w:rsidRPr="00071529">
        <w:rPr>
          <w:sz w:val="24"/>
        </w:rPr>
        <w:t>T</w:t>
      </w:r>
      <w:r w:rsidRPr="00071529">
        <w:rPr>
          <w:sz w:val="24"/>
        </w:rPr>
        <w:t xml:space="preserve">he Court </w:t>
      </w:r>
      <w:r w:rsidR="00B73724" w:rsidRPr="00071529">
        <w:rPr>
          <w:sz w:val="24"/>
        </w:rPr>
        <w:t xml:space="preserve">further </w:t>
      </w:r>
      <w:r w:rsidRPr="00071529">
        <w:rPr>
          <w:sz w:val="24"/>
        </w:rPr>
        <w:t xml:space="preserve">considers that in the instant case, there is nothing in the nature of the </w:t>
      </w:r>
      <w:r w:rsidR="0001294F" w:rsidRPr="00071529">
        <w:rPr>
          <w:sz w:val="24"/>
        </w:rPr>
        <w:t>violation that</w:t>
      </w:r>
      <w:r w:rsidRPr="00071529">
        <w:rPr>
          <w:sz w:val="24"/>
        </w:rPr>
        <w:t xml:space="preserve"> suggests that keeping the Applicant in prison constitutes a miscarriage of justice or an arbitrary decision. The Applicant also failed to adduce further specific and compelling circumstances warranting </w:t>
      </w:r>
      <w:r w:rsidR="00DB60C3" w:rsidRPr="00071529">
        <w:rPr>
          <w:sz w:val="24"/>
        </w:rPr>
        <w:t>his immediate release</w:t>
      </w:r>
      <w:r w:rsidRPr="00071529">
        <w:rPr>
          <w:sz w:val="24"/>
        </w:rPr>
        <w:t>.</w:t>
      </w:r>
      <w:r w:rsidR="00D8115B" w:rsidRPr="00071529">
        <w:rPr>
          <w:rStyle w:val="FootnoteReference"/>
          <w:rFonts w:ascii="Arial" w:eastAsia="Arial" w:hAnsi="Arial" w:cs="Arial"/>
          <w:bCs/>
          <w:sz w:val="24"/>
          <w:szCs w:val="24"/>
        </w:rPr>
        <w:footnoteReference w:id="28"/>
      </w:r>
    </w:p>
    <w:p w14:paraId="05681F95" w14:textId="77777777" w:rsidR="00D21D71" w:rsidRPr="00071529" w:rsidRDefault="00D21D71" w:rsidP="00744733">
      <w:pPr>
        <w:rPr>
          <w:rFonts w:eastAsia="Arial"/>
          <w:bCs/>
          <w:sz w:val="24"/>
          <w:szCs w:val="24"/>
        </w:rPr>
      </w:pPr>
    </w:p>
    <w:p w14:paraId="39E8F5FB" w14:textId="1BF800CD" w:rsidR="00C735B7" w:rsidRPr="00071529" w:rsidRDefault="00C735B7" w:rsidP="00744733">
      <w:pPr>
        <w:rPr>
          <w:rFonts w:eastAsia="Arial"/>
          <w:bCs/>
          <w:sz w:val="24"/>
          <w:szCs w:val="24"/>
        </w:rPr>
      </w:pPr>
      <w:r w:rsidRPr="00071529">
        <w:rPr>
          <w:sz w:val="24"/>
        </w:rPr>
        <w:t>In view of the foregoing, the Court dismisses the Applicant’s request for a measure quashing his conviction and ordering his release.</w:t>
      </w:r>
    </w:p>
    <w:p w14:paraId="5198B767" w14:textId="22EC095E" w:rsidR="00374E2D" w:rsidRPr="00071529" w:rsidRDefault="00374E2D" w:rsidP="00744733">
      <w:pPr>
        <w:rPr>
          <w:rFonts w:eastAsia="Arial"/>
          <w:b/>
          <w:sz w:val="24"/>
          <w:szCs w:val="24"/>
        </w:rPr>
      </w:pPr>
    </w:p>
    <w:p w14:paraId="543023FA" w14:textId="77777777" w:rsidR="004E31D4" w:rsidRPr="00071529" w:rsidRDefault="004E31D4" w:rsidP="00744733">
      <w:pPr>
        <w:rPr>
          <w:rFonts w:eastAsia="Arial"/>
          <w:b/>
          <w:sz w:val="24"/>
          <w:szCs w:val="24"/>
        </w:rPr>
      </w:pPr>
    </w:p>
    <w:p w14:paraId="028EAEA0" w14:textId="7555D765" w:rsidR="00374E2D" w:rsidRPr="00071529" w:rsidRDefault="00374E2D" w:rsidP="00744733">
      <w:pPr>
        <w:rPr>
          <w:sz w:val="24"/>
          <w:szCs w:val="24"/>
        </w:rPr>
      </w:pPr>
      <w:bookmarkStart w:id="34" w:name="_Toc143519697"/>
      <w:r w:rsidRPr="00071529">
        <w:rPr>
          <w:sz w:val="24"/>
        </w:rPr>
        <w:t>COSTS</w:t>
      </w:r>
      <w:bookmarkEnd w:id="34"/>
      <w:r w:rsidRPr="00071529">
        <w:rPr>
          <w:sz w:val="24"/>
        </w:rPr>
        <w:t xml:space="preserve"> </w:t>
      </w:r>
    </w:p>
    <w:p w14:paraId="793543A9" w14:textId="77777777" w:rsidR="00D21D71" w:rsidRPr="00071529" w:rsidRDefault="00D21D71" w:rsidP="00744733"/>
    <w:p w14:paraId="3B42D7C0" w14:textId="37B95B08" w:rsidR="008C5EF5" w:rsidRPr="00071529" w:rsidRDefault="008C5EF5" w:rsidP="00744733">
      <w:pPr>
        <w:rPr>
          <w:rFonts w:eastAsia="Arial"/>
          <w:bCs/>
          <w:sz w:val="24"/>
          <w:szCs w:val="24"/>
        </w:rPr>
      </w:pPr>
      <w:r w:rsidRPr="00071529">
        <w:rPr>
          <w:sz w:val="24"/>
        </w:rPr>
        <w:t xml:space="preserve">The Parties did not </w:t>
      </w:r>
      <w:r w:rsidR="009F198E" w:rsidRPr="00071529">
        <w:rPr>
          <w:sz w:val="24"/>
        </w:rPr>
        <w:t xml:space="preserve">make any </w:t>
      </w:r>
      <w:r w:rsidRPr="00071529">
        <w:rPr>
          <w:sz w:val="24"/>
        </w:rPr>
        <w:t>submi</w:t>
      </w:r>
      <w:r w:rsidR="009F198E" w:rsidRPr="00071529">
        <w:rPr>
          <w:sz w:val="24"/>
        </w:rPr>
        <w:t xml:space="preserve">ssions </w:t>
      </w:r>
      <w:r w:rsidRPr="00071529">
        <w:rPr>
          <w:sz w:val="24"/>
        </w:rPr>
        <w:t>on costs.</w:t>
      </w:r>
    </w:p>
    <w:p w14:paraId="215D1055" w14:textId="77777777" w:rsidR="00D21D71" w:rsidRPr="00071529" w:rsidRDefault="00D21D71" w:rsidP="00744733">
      <w:pPr>
        <w:rPr>
          <w:rFonts w:eastAsia="Arial"/>
          <w:bCs/>
          <w:sz w:val="24"/>
          <w:szCs w:val="24"/>
        </w:rPr>
      </w:pPr>
    </w:p>
    <w:p w14:paraId="31E3AE05" w14:textId="5F7B0241" w:rsidR="008C5EF5" w:rsidRPr="00071529" w:rsidRDefault="008C5EF5" w:rsidP="00744733">
      <w:pPr>
        <w:rPr>
          <w:sz w:val="24"/>
        </w:rPr>
      </w:pPr>
      <w:r w:rsidRPr="00071529">
        <w:rPr>
          <w:sz w:val="24"/>
        </w:rPr>
        <w:t>***</w:t>
      </w:r>
    </w:p>
    <w:p w14:paraId="4BD2A4DE" w14:textId="77777777" w:rsidR="00791506" w:rsidRPr="00071529" w:rsidRDefault="00791506" w:rsidP="00744733">
      <w:pPr>
        <w:rPr>
          <w:rFonts w:eastAsia="Arial"/>
          <w:bCs/>
          <w:sz w:val="24"/>
          <w:szCs w:val="24"/>
        </w:rPr>
      </w:pPr>
    </w:p>
    <w:p w14:paraId="7678D399" w14:textId="01D40C67" w:rsidR="00374E2D" w:rsidRPr="00071529" w:rsidRDefault="00FB45CD" w:rsidP="00744733">
      <w:pPr>
        <w:rPr>
          <w:sz w:val="24"/>
          <w:szCs w:val="24"/>
        </w:rPr>
      </w:pPr>
      <w:r w:rsidRPr="00071529">
        <w:rPr>
          <w:sz w:val="24"/>
          <w:szCs w:val="24"/>
        </w:rPr>
        <w:t>Pursuant to Rule 32</w:t>
      </w:r>
      <w:r w:rsidR="006A38E3" w:rsidRPr="00071529">
        <w:rPr>
          <w:sz w:val="24"/>
          <w:szCs w:val="24"/>
        </w:rPr>
        <w:t>(2)</w:t>
      </w:r>
      <w:r w:rsidRPr="00071529">
        <w:rPr>
          <w:sz w:val="24"/>
          <w:szCs w:val="24"/>
        </w:rPr>
        <w:t xml:space="preserve"> of the Rules of Court</w:t>
      </w:r>
      <w:r w:rsidR="00131B6D" w:rsidRPr="00071529">
        <w:rPr>
          <w:sz w:val="24"/>
          <w:szCs w:val="24"/>
        </w:rPr>
        <w:t>,</w:t>
      </w:r>
      <w:r w:rsidRPr="00071529">
        <w:rPr>
          <w:sz w:val="24"/>
          <w:szCs w:val="24"/>
        </w:rPr>
        <w:t xml:space="preserve"> “unless otherwise decided by the Court, each party shall bear its own costs”</w:t>
      </w:r>
      <w:r w:rsidR="00872ABA" w:rsidRPr="00071529">
        <w:rPr>
          <w:sz w:val="24"/>
          <w:szCs w:val="24"/>
        </w:rPr>
        <w:t>.</w:t>
      </w:r>
      <w:r w:rsidRPr="00071529">
        <w:rPr>
          <w:sz w:val="24"/>
          <w:szCs w:val="24"/>
          <w:vertAlign w:val="superscript"/>
        </w:rPr>
        <w:footnoteReference w:id="29"/>
      </w:r>
    </w:p>
    <w:p w14:paraId="22C5DB63" w14:textId="7B509119" w:rsidR="00FB45CD" w:rsidRPr="00071529" w:rsidRDefault="00FB45CD" w:rsidP="00744733">
      <w:pPr>
        <w:rPr>
          <w:rFonts w:eastAsia="Arial"/>
          <w:bCs/>
          <w:sz w:val="24"/>
          <w:szCs w:val="24"/>
        </w:rPr>
      </w:pPr>
    </w:p>
    <w:p w14:paraId="0000B655" w14:textId="75D1C801" w:rsidR="004E31D4" w:rsidRPr="00071529" w:rsidRDefault="00D21D71" w:rsidP="00744733">
      <w:pPr>
        <w:rPr>
          <w:rFonts w:eastAsia="Arial"/>
          <w:bCs/>
          <w:sz w:val="24"/>
          <w:szCs w:val="24"/>
        </w:rPr>
      </w:pPr>
      <w:r w:rsidRPr="00071529">
        <w:rPr>
          <w:sz w:val="24"/>
        </w:rPr>
        <w:lastRenderedPageBreak/>
        <w:t>The Court finds that there is nothing in the circumstances of the present case to warrant a departure from that principle. Consequently, the Court orders that each party shall bear its own costs.</w:t>
      </w:r>
    </w:p>
    <w:p w14:paraId="1282E8AE" w14:textId="77777777" w:rsidR="00B63468" w:rsidRPr="00071529" w:rsidRDefault="00B63468" w:rsidP="00744733">
      <w:pPr>
        <w:rPr>
          <w:rFonts w:eastAsia="Arial"/>
          <w:bCs/>
          <w:sz w:val="24"/>
          <w:szCs w:val="24"/>
        </w:rPr>
      </w:pPr>
    </w:p>
    <w:p w14:paraId="00000051" w14:textId="77777777" w:rsidR="00257A8B" w:rsidRPr="00071529" w:rsidRDefault="00257A8B" w:rsidP="00744733">
      <w:pPr>
        <w:rPr>
          <w:rFonts w:eastAsia="Arial"/>
          <w:sz w:val="24"/>
          <w:szCs w:val="24"/>
        </w:rPr>
      </w:pPr>
    </w:p>
    <w:p w14:paraId="00000052" w14:textId="1D781D92" w:rsidR="00257A8B" w:rsidRPr="00071529" w:rsidRDefault="00414F7B" w:rsidP="00744733">
      <w:pPr>
        <w:rPr>
          <w:sz w:val="24"/>
          <w:szCs w:val="24"/>
        </w:rPr>
      </w:pPr>
      <w:bookmarkStart w:id="35" w:name="_Toc143519698"/>
      <w:r w:rsidRPr="00071529">
        <w:rPr>
          <w:sz w:val="24"/>
          <w:szCs w:val="24"/>
        </w:rPr>
        <w:t>OPERATIVE PART</w:t>
      </w:r>
      <w:bookmarkEnd w:id="35"/>
    </w:p>
    <w:p w14:paraId="7C567FF7" w14:textId="77777777" w:rsidR="001922F7" w:rsidRPr="00071529" w:rsidRDefault="001922F7" w:rsidP="00744733">
      <w:pPr>
        <w:rPr>
          <w:rFonts w:eastAsia="Arial"/>
          <w:b/>
          <w:sz w:val="24"/>
          <w:szCs w:val="24"/>
        </w:rPr>
      </w:pPr>
    </w:p>
    <w:p w14:paraId="00000053" w14:textId="25D34C5B" w:rsidR="00257A8B" w:rsidRPr="00071529" w:rsidRDefault="00414F7B" w:rsidP="00744733">
      <w:pPr>
        <w:rPr>
          <w:rFonts w:eastAsia="Arial"/>
          <w:sz w:val="24"/>
          <w:szCs w:val="24"/>
        </w:rPr>
      </w:pPr>
      <w:r w:rsidRPr="00071529">
        <w:rPr>
          <w:sz w:val="24"/>
          <w:szCs w:val="24"/>
        </w:rPr>
        <w:t>For</w:t>
      </w:r>
      <w:r w:rsidRPr="00071529">
        <w:rPr>
          <w:sz w:val="24"/>
        </w:rPr>
        <w:t xml:space="preserve"> these reasons,</w:t>
      </w:r>
    </w:p>
    <w:p w14:paraId="6CB2153F" w14:textId="77777777" w:rsidR="001922F7" w:rsidRPr="00071529" w:rsidRDefault="001922F7" w:rsidP="00744733">
      <w:pPr>
        <w:rPr>
          <w:rFonts w:eastAsia="Arial"/>
          <w:sz w:val="24"/>
          <w:szCs w:val="24"/>
        </w:rPr>
      </w:pPr>
    </w:p>
    <w:p w14:paraId="00000054" w14:textId="7B9903E2" w:rsidR="00257A8B" w:rsidRPr="00071529" w:rsidRDefault="007E1C2E" w:rsidP="00744733">
      <w:pPr>
        <w:rPr>
          <w:rFonts w:eastAsia="Arial"/>
          <w:sz w:val="24"/>
          <w:szCs w:val="24"/>
        </w:rPr>
      </w:pPr>
      <w:r w:rsidRPr="00071529">
        <w:rPr>
          <w:sz w:val="24"/>
        </w:rPr>
        <w:t>THE COURT,</w:t>
      </w:r>
    </w:p>
    <w:p w14:paraId="06E615B0" w14:textId="77777777" w:rsidR="001922F7" w:rsidRPr="00071529" w:rsidRDefault="001922F7" w:rsidP="00744733">
      <w:pPr>
        <w:rPr>
          <w:rFonts w:eastAsia="Arial"/>
          <w:i/>
          <w:sz w:val="24"/>
          <w:szCs w:val="24"/>
        </w:rPr>
      </w:pPr>
    </w:p>
    <w:p w14:paraId="5D0F1E73" w14:textId="3409F71A" w:rsidR="006E7534" w:rsidRPr="00071529" w:rsidRDefault="005E3D2A" w:rsidP="00744733">
      <w:pPr>
        <w:rPr>
          <w:rFonts w:eastAsia="Arial"/>
          <w:sz w:val="24"/>
          <w:szCs w:val="24"/>
        </w:rPr>
      </w:pPr>
      <w:r w:rsidRPr="00071529">
        <w:rPr>
          <w:sz w:val="24"/>
        </w:rPr>
        <w:t xml:space="preserve">Unanimously, </w:t>
      </w:r>
    </w:p>
    <w:p w14:paraId="39D4A882" w14:textId="77777777" w:rsidR="00A71C7A" w:rsidRPr="00071529" w:rsidRDefault="00A71C7A" w:rsidP="00744733">
      <w:pPr>
        <w:rPr>
          <w:rFonts w:eastAsia="Arial"/>
          <w:sz w:val="24"/>
          <w:szCs w:val="24"/>
        </w:rPr>
      </w:pPr>
    </w:p>
    <w:p w14:paraId="68B62509" w14:textId="37E2CA93" w:rsidR="005E3D2A" w:rsidRPr="00071529" w:rsidRDefault="00250A91" w:rsidP="00744733">
      <w:pPr>
        <w:rPr>
          <w:rFonts w:eastAsia="Arial"/>
          <w:i/>
          <w:iCs/>
          <w:sz w:val="24"/>
          <w:szCs w:val="24"/>
        </w:rPr>
      </w:pPr>
      <w:r w:rsidRPr="00071529">
        <w:rPr>
          <w:i/>
          <w:sz w:val="24"/>
        </w:rPr>
        <w:t>On j</w:t>
      </w:r>
      <w:r w:rsidR="00374E2D" w:rsidRPr="00071529">
        <w:rPr>
          <w:i/>
          <w:sz w:val="24"/>
        </w:rPr>
        <w:t>urisdiction</w:t>
      </w:r>
    </w:p>
    <w:p w14:paraId="611CEA35" w14:textId="77777777" w:rsidR="00176FB2" w:rsidRPr="00071529" w:rsidRDefault="00176FB2" w:rsidP="00744733">
      <w:pPr>
        <w:rPr>
          <w:rFonts w:eastAsia="Arial"/>
          <w:i/>
          <w:iCs/>
          <w:sz w:val="24"/>
          <w:szCs w:val="24"/>
        </w:rPr>
      </w:pPr>
    </w:p>
    <w:p w14:paraId="2C4FB858" w14:textId="18B26336" w:rsidR="00A71C7A" w:rsidRPr="00071529" w:rsidRDefault="00A71C7A" w:rsidP="00744733">
      <w:pPr>
        <w:rPr>
          <w:rFonts w:eastAsia="Arial"/>
          <w:sz w:val="24"/>
          <w:szCs w:val="24"/>
        </w:rPr>
      </w:pPr>
      <w:r w:rsidRPr="00071529">
        <w:rPr>
          <w:sz w:val="24"/>
        </w:rPr>
        <w:t>Dismisses the Respondent State’s objection to its jurisdiction;</w:t>
      </w:r>
    </w:p>
    <w:p w14:paraId="11B9EA60" w14:textId="22493D73" w:rsidR="00A71C7A" w:rsidRPr="00071529" w:rsidRDefault="00A71C7A" w:rsidP="00744733">
      <w:pPr>
        <w:rPr>
          <w:rFonts w:eastAsia="Arial"/>
          <w:sz w:val="24"/>
          <w:szCs w:val="24"/>
        </w:rPr>
      </w:pPr>
      <w:r w:rsidRPr="00071529">
        <w:rPr>
          <w:i/>
        </w:rPr>
        <w:t>Declares</w:t>
      </w:r>
      <w:r w:rsidRPr="00071529">
        <w:t xml:space="preserve"> that it has </w:t>
      </w:r>
      <w:r w:rsidRPr="00071529">
        <w:rPr>
          <w:sz w:val="24"/>
        </w:rPr>
        <w:t>jurisdiction.</w:t>
      </w:r>
    </w:p>
    <w:p w14:paraId="03FB5F3F" w14:textId="5D81B3E0" w:rsidR="00374E2D" w:rsidRPr="00071529" w:rsidRDefault="00374E2D" w:rsidP="00744733">
      <w:pPr>
        <w:rPr>
          <w:rFonts w:eastAsia="Arial"/>
          <w:sz w:val="24"/>
          <w:szCs w:val="24"/>
        </w:rPr>
      </w:pPr>
    </w:p>
    <w:p w14:paraId="3D2D579E" w14:textId="12822FC3" w:rsidR="00374E2D" w:rsidRPr="00071529" w:rsidRDefault="00250A91" w:rsidP="00744733">
      <w:pPr>
        <w:rPr>
          <w:rFonts w:eastAsia="Arial"/>
          <w:i/>
          <w:iCs/>
          <w:sz w:val="24"/>
          <w:szCs w:val="24"/>
        </w:rPr>
      </w:pPr>
      <w:r w:rsidRPr="00071529">
        <w:rPr>
          <w:i/>
          <w:sz w:val="24"/>
        </w:rPr>
        <w:t>On a</w:t>
      </w:r>
      <w:r w:rsidR="00374E2D" w:rsidRPr="00071529">
        <w:rPr>
          <w:i/>
          <w:sz w:val="24"/>
        </w:rPr>
        <w:t>dmissibility</w:t>
      </w:r>
    </w:p>
    <w:p w14:paraId="7511DF8F" w14:textId="77777777" w:rsidR="00194D0F" w:rsidRPr="00071529" w:rsidRDefault="00194D0F" w:rsidP="00744733">
      <w:pPr>
        <w:rPr>
          <w:rFonts w:eastAsia="Arial"/>
          <w:i/>
          <w:iCs/>
          <w:sz w:val="24"/>
          <w:szCs w:val="24"/>
        </w:rPr>
      </w:pPr>
    </w:p>
    <w:p w14:paraId="4B11942C" w14:textId="6A869E6A" w:rsidR="00374E2D" w:rsidRPr="00071529" w:rsidRDefault="00A71C7A" w:rsidP="00744733">
      <w:pPr>
        <w:rPr>
          <w:rFonts w:eastAsia="Arial"/>
          <w:iCs/>
          <w:sz w:val="24"/>
          <w:szCs w:val="24"/>
        </w:rPr>
      </w:pPr>
      <w:r w:rsidRPr="00071529">
        <w:rPr>
          <w:i/>
          <w:sz w:val="24"/>
          <w:szCs w:val="24"/>
        </w:rPr>
        <w:t>Dismisses</w:t>
      </w:r>
      <w:r w:rsidRPr="00071529">
        <w:rPr>
          <w:sz w:val="24"/>
          <w:szCs w:val="24"/>
        </w:rPr>
        <w:t xml:space="preserve"> the objections to the admissibility of the Application. </w:t>
      </w:r>
    </w:p>
    <w:p w14:paraId="654517CA" w14:textId="35E6189E" w:rsidR="00A71C7A" w:rsidRPr="00071529" w:rsidRDefault="00A71C7A" w:rsidP="00744733">
      <w:pPr>
        <w:rPr>
          <w:rFonts w:eastAsia="Arial"/>
          <w:i/>
          <w:iCs/>
          <w:sz w:val="24"/>
          <w:szCs w:val="24"/>
        </w:rPr>
      </w:pPr>
      <w:r w:rsidRPr="00071529">
        <w:rPr>
          <w:i/>
          <w:sz w:val="24"/>
          <w:szCs w:val="24"/>
        </w:rPr>
        <w:t>Declares</w:t>
      </w:r>
      <w:r w:rsidRPr="00071529">
        <w:rPr>
          <w:sz w:val="24"/>
          <w:szCs w:val="24"/>
        </w:rPr>
        <w:t xml:space="preserve"> the Application admissible</w:t>
      </w:r>
      <w:r w:rsidRPr="00071529">
        <w:rPr>
          <w:i/>
          <w:sz w:val="24"/>
          <w:szCs w:val="24"/>
        </w:rPr>
        <w:t>.</w:t>
      </w:r>
    </w:p>
    <w:p w14:paraId="0542DD40" w14:textId="77777777" w:rsidR="00C94964" w:rsidRPr="00071529" w:rsidRDefault="00C94964" w:rsidP="00744733">
      <w:pPr>
        <w:rPr>
          <w:rFonts w:eastAsia="Arial"/>
          <w:i/>
          <w:iCs/>
          <w:sz w:val="24"/>
          <w:szCs w:val="24"/>
        </w:rPr>
      </w:pPr>
    </w:p>
    <w:p w14:paraId="03B6670A" w14:textId="135E11D3" w:rsidR="00374E2D" w:rsidRPr="00071529" w:rsidRDefault="00250A91" w:rsidP="00744733">
      <w:pPr>
        <w:rPr>
          <w:rFonts w:eastAsia="Arial"/>
          <w:i/>
          <w:iCs/>
          <w:sz w:val="24"/>
          <w:szCs w:val="24"/>
        </w:rPr>
      </w:pPr>
      <w:r w:rsidRPr="00071529">
        <w:rPr>
          <w:i/>
          <w:sz w:val="24"/>
        </w:rPr>
        <w:t>On m</w:t>
      </w:r>
      <w:r w:rsidR="00374E2D" w:rsidRPr="00071529">
        <w:rPr>
          <w:i/>
          <w:sz w:val="24"/>
        </w:rPr>
        <w:t xml:space="preserve">erits </w:t>
      </w:r>
    </w:p>
    <w:p w14:paraId="5025F34F" w14:textId="77777777" w:rsidR="003E71B7" w:rsidRPr="00071529" w:rsidRDefault="003E71B7" w:rsidP="00744733">
      <w:pPr>
        <w:rPr>
          <w:rFonts w:eastAsia="Arial"/>
          <w:i/>
          <w:iCs/>
          <w:sz w:val="24"/>
          <w:szCs w:val="24"/>
        </w:rPr>
      </w:pPr>
    </w:p>
    <w:p w14:paraId="6EDCA4C2" w14:textId="4D6FABFD" w:rsidR="00374E2D" w:rsidRPr="00071529" w:rsidRDefault="00A71C7A" w:rsidP="00744733">
      <w:pPr>
        <w:rPr>
          <w:rFonts w:eastAsia="Arial"/>
          <w:i/>
          <w:iCs/>
          <w:sz w:val="24"/>
          <w:szCs w:val="24"/>
        </w:rPr>
      </w:pPr>
      <w:r w:rsidRPr="00071529">
        <w:rPr>
          <w:i/>
          <w:sz w:val="24"/>
          <w:szCs w:val="24"/>
        </w:rPr>
        <w:t xml:space="preserve">Finds </w:t>
      </w:r>
      <w:r w:rsidRPr="00071529">
        <w:rPr>
          <w:sz w:val="24"/>
          <w:szCs w:val="24"/>
        </w:rPr>
        <w:t>that the Respondent State did not violate the Applicant’s right to equality before the law and equal protection of the law under Article 3(1) and (2) of the Charter;</w:t>
      </w:r>
    </w:p>
    <w:p w14:paraId="54574F14" w14:textId="7EACEF21" w:rsidR="006314B9" w:rsidRPr="00071529" w:rsidRDefault="006314B9" w:rsidP="00744733">
      <w:pPr>
        <w:rPr>
          <w:rFonts w:eastAsia="Arial"/>
          <w:i/>
          <w:iCs/>
          <w:sz w:val="24"/>
          <w:szCs w:val="24"/>
        </w:rPr>
      </w:pPr>
      <w:r w:rsidRPr="00071529">
        <w:rPr>
          <w:i/>
          <w:sz w:val="24"/>
          <w:szCs w:val="24"/>
        </w:rPr>
        <w:t xml:space="preserve">Finds </w:t>
      </w:r>
      <w:r w:rsidRPr="00071529">
        <w:rPr>
          <w:sz w:val="24"/>
          <w:szCs w:val="24"/>
        </w:rPr>
        <w:t xml:space="preserve">that the Respondent State violated the Applicant’s right </w:t>
      </w:r>
      <w:r w:rsidR="00310D74" w:rsidRPr="00071529">
        <w:rPr>
          <w:sz w:val="24"/>
          <w:szCs w:val="24"/>
        </w:rPr>
        <w:t>guaranteed by</w:t>
      </w:r>
      <w:r w:rsidRPr="00071529">
        <w:rPr>
          <w:sz w:val="24"/>
          <w:szCs w:val="24"/>
        </w:rPr>
        <w:t xml:space="preserve"> Article 7(1)(c) of the Charter read together with Article 14(3)(d) of the </w:t>
      </w:r>
      <w:r w:rsidR="009E7D23" w:rsidRPr="00071529">
        <w:rPr>
          <w:sz w:val="24"/>
          <w:szCs w:val="24"/>
        </w:rPr>
        <w:t>ICCPR</w:t>
      </w:r>
      <w:r w:rsidRPr="00071529">
        <w:rPr>
          <w:sz w:val="24"/>
          <w:szCs w:val="24"/>
        </w:rPr>
        <w:t xml:space="preserve">, by failing to afford </w:t>
      </w:r>
      <w:r w:rsidR="009F198E" w:rsidRPr="00071529">
        <w:rPr>
          <w:sz w:val="24"/>
          <w:szCs w:val="24"/>
        </w:rPr>
        <w:t>him</w:t>
      </w:r>
      <w:r w:rsidRPr="00071529">
        <w:rPr>
          <w:sz w:val="24"/>
          <w:szCs w:val="24"/>
        </w:rPr>
        <w:t xml:space="preserve"> free legal assistance.</w:t>
      </w:r>
    </w:p>
    <w:p w14:paraId="7B23174E" w14:textId="77777777" w:rsidR="00250A91" w:rsidRPr="00071529" w:rsidRDefault="00250A91" w:rsidP="00744733">
      <w:pPr>
        <w:rPr>
          <w:rFonts w:eastAsia="Arial"/>
          <w:i/>
          <w:iCs/>
          <w:sz w:val="24"/>
          <w:szCs w:val="24"/>
        </w:rPr>
      </w:pPr>
    </w:p>
    <w:p w14:paraId="4CD596FA" w14:textId="77777777" w:rsidR="00194D0F" w:rsidRPr="00071529" w:rsidRDefault="00374E2D" w:rsidP="00744733">
      <w:pPr>
        <w:rPr>
          <w:rFonts w:eastAsia="Arial"/>
          <w:i/>
          <w:iCs/>
          <w:sz w:val="24"/>
          <w:szCs w:val="24"/>
        </w:rPr>
      </w:pPr>
      <w:r w:rsidRPr="00071529">
        <w:rPr>
          <w:i/>
          <w:sz w:val="24"/>
          <w:szCs w:val="24"/>
        </w:rPr>
        <w:lastRenderedPageBreak/>
        <w:t>Pecuniary reparations</w:t>
      </w:r>
    </w:p>
    <w:p w14:paraId="43F54629" w14:textId="3BA89129" w:rsidR="00374E2D" w:rsidRPr="00071529" w:rsidRDefault="00374E2D" w:rsidP="00744733">
      <w:pPr>
        <w:rPr>
          <w:rFonts w:eastAsia="Arial"/>
          <w:i/>
          <w:iCs/>
          <w:sz w:val="24"/>
          <w:szCs w:val="24"/>
        </w:rPr>
      </w:pPr>
      <w:r w:rsidRPr="00071529">
        <w:rPr>
          <w:i/>
          <w:sz w:val="24"/>
          <w:szCs w:val="24"/>
        </w:rPr>
        <w:t xml:space="preserve"> </w:t>
      </w:r>
    </w:p>
    <w:p w14:paraId="51FBA6E1" w14:textId="5602BEE7" w:rsidR="0087415B" w:rsidRPr="00071529" w:rsidRDefault="0087415B" w:rsidP="00744733">
      <w:pPr>
        <w:rPr>
          <w:rFonts w:eastAsia="Arial"/>
          <w:iCs/>
          <w:sz w:val="24"/>
          <w:szCs w:val="24"/>
        </w:rPr>
      </w:pPr>
      <w:r w:rsidRPr="00071529">
        <w:rPr>
          <w:sz w:val="24"/>
          <w:szCs w:val="24"/>
        </w:rPr>
        <w:t>Awards the Applicant the sum of Three Hundred Thousand (300,000) Tanzanian shillings as reparation for moral prejudice suffered as a result of the violation of his right to free legal assistance.</w:t>
      </w:r>
    </w:p>
    <w:p w14:paraId="53CB5467" w14:textId="606B4410" w:rsidR="00561B9E" w:rsidRPr="00071529" w:rsidRDefault="00561B9E" w:rsidP="00744733">
      <w:pPr>
        <w:rPr>
          <w:rFonts w:eastAsia="Arial"/>
          <w:iCs/>
          <w:sz w:val="24"/>
          <w:szCs w:val="24"/>
        </w:rPr>
      </w:pPr>
      <w:r w:rsidRPr="00071529">
        <w:rPr>
          <w:i/>
          <w:sz w:val="24"/>
          <w:szCs w:val="24"/>
        </w:rPr>
        <w:t xml:space="preserve">Orders </w:t>
      </w:r>
      <w:r w:rsidRPr="00071529">
        <w:rPr>
          <w:sz w:val="24"/>
          <w:szCs w:val="24"/>
        </w:rPr>
        <w:t>the Respondent State to pay the amount awarded under (</w:t>
      </w:r>
      <w:r w:rsidR="00F71742" w:rsidRPr="00071529">
        <w:rPr>
          <w:sz w:val="24"/>
          <w:szCs w:val="24"/>
        </w:rPr>
        <w:t>vii</w:t>
      </w:r>
      <w:r w:rsidRPr="00071529">
        <w:rPr>
          <w:sz w:val="24"/>
          <w:szCs w:val="24"/>
        </w:rPr>
        <w:t>) above, free from tax, as fair compensation within six (6) months from the date of notification of this Judgement, failing which it will be required to pay interest on arrears calculated on the basis of the applicable Central Bank of Tanzania rate throughout the period of delayed payment until the amount is fully paid.</w:t>
      </w:r>
    </w:p>
    <w:p w14:paraId="39D85C00" w14:textId="77777777" w:rsidR="00561B9E" w:rsidRPr="00071529" w:rsidRDefault="00561B9E" w:rsidP="00744733">
      <w:pPr>
        <w:rPr>
          <w:rFonts w:eastAsia="Arial"/>
          <w:i/>
          <w:iCs/>
          <w:sz w:val="24"/>
          <w:szCs w:val="24"/>
        </w:rPr>
      </w:pPr>
    </w:p>
    <w:p w14:paraId="06ED70C3" w14:textId="2DA1C014" w:rsidR="00374E2D" w:rsidRPr="00071529" w:rsidRDefault="00374E2D" w:rsidP="00744733">
      <w:pPr>
        <w:rPr>
          <w:rFonts w:eastAsia="Arial"/>
          <w:i/>
          <w:iCs/>
          <w:sz w:val="24"/>
          <w:szCs w:val="24"/>
        </w:rPr>
      </w:pPr>
      <w:r w:rsidRPr="00071529">
        <w:rPr>
          <w:i/>
          <w:sz w:val="24"/>
        </w:rPr>
        <w:t>Non-pecuniary reparations</w:t>
      </w:r>
    </w:p>
    <w:p w14:paraId="31527E6E" w14:textId="77777777" w:rsidR="00194D0F" w:rsidRPr="00071529" w:rsidRDefault="00194D0F" w:rsidP="00744733">
      <w:pPr>
        <w:rPr>
          <w:rFonts w:eastAsia="Arial"/>
          <w:i/>
          <w:iCs/>
          <w:sz w:val="24"/>
          <w:szCs w:val="24"/>
        </w:rPr>
      </w:pPr>
    </w:p>
    <w:p w14:paraId="11746C56" w14:textId="53179AF0" w:rsidR="00374E2D" w:rsidRPr="00071529" w:rsidRDefault="00561B9E" w:rsidP="00744733">
      <w:pPr>
        <w:rPr>
          <w:rFonts w:eastAsia="Arial"/>
          <w:iCs/>
          <w:sz w:val="24"/>
          <w:szCs w:val="24"/>
        </w:rPr>
      </w:pPr>
      <w:r w:rsidRPr="00071529">
        <w:t>Dismisses the request to quash the Applicant’s conviction and order his release.</w:t>
      </w:r>
    </w:p>
    <w:p w14:paraId="644258DE" w14:textId="77777777" w:rsidR="00D21D71" w:rsidRPr="00071529" w:rsidRDefault="00D21D71" w:rsidP="00744733">
      <w:pPr>
        <w:rPr>
          <w:rFonts w:eastAsia="Arial"/>
          <w:iCs/>
          <w:sz w:val="24"/>
          <w:szCs w:val="24"/>
        </w:rPr>
      </w:pPr>
    </w:p>
    <w:p w14:paraId="570BEB05" w14:textId="6B7E92FB" w:rsidR="00561B9E" w:rsidRPr="00071529" w:rsidRDefault="00250A91" w:rsidP="00744733">
      <w:pPr>
        <w:rPr>
          <w:rFonts w:eastAsia="Arial"/>
          <w:i/>
          <w:iCs/>
          <w:sz w:val="24"/>
          <w:szCs w:val="24"/>
        </w:rPr>
      </w:pPr>
      <w:r w:rsidRPr="00071529">
        <w:rPr>
          <w:i/>
          <w:sz w:val="24"/>
        </w:rPr>
        <w:t>On i</w:t>
      </w:r>
      <w:r w:rsidR="00561B9E" w:rsidRPr="00071529">
        <w:rPr>
          <w:i/>
          <w:sz w:val="24"/>
        </w:rPr>
        <w:t>mplementation and reporting</w:t>
      </w:r>
    </w:p>
    <w:p w14:paraId="295EFD2D" w14:textId="77777777" w:rsidR="00194D0F" w:rsidRPr="00071529" w:rsidRDefault="00194D0F" w:rsidP="00744733">
      <w:pPr>
        <w:rPr>
          <w:rFonts w:eastAsia="Arial"/>
          <w:i/>
          <w:iCs/>
          <w:sz w:val="24"/>
          <w:szCs w:val="24"/>
        </w:rPr>
      </w:pPr>
    </w:p>
    <w:p w14:paraId="33C36514" w14:textId="01434236" w:rsidR="00561B9E" w:rsidRPr="00071529" w:rsidRDefault="00561B9E" w:rsidP="00744733">
      <w:pPr>
        <w:rPr>
          <w:rFonts w:eastAsia="Arial"/>
          <w:iCs/>
          <w:sz w:val="24"/>
          <w:szCs w:val="24"/>
        </w:rPr>
      </w:pPr>
      <w:r w:rsidRPr="00071529">
        <w:rPr>
          <w:i/>
        </w:rPr>
        <w:t>Orders</w:t>
      </w:r>
      <w:r w:rsidRPr="00071529">
        <w:t xml:space="preserve"> the Respondent State to </w:t>
      </w:r>
      <w:r w:rsidRPr="00071529">
        <w:rPr>
          <w:sz w:val="24"/>
        </w:rPr>
        <w:t>submit to the Court, within six (6) months from the date of notification of this Judgement, a report on the status of implementation of the orders set forth herein and thereafter, every six (6) months until the Court considers that there has been full implementation thereof.</w:t>
      </w:r>
    </w:p>
    <w:p w14:paraId="613623DA" w14:textId="77777777" w:rsidR="00D72022" w:rsidRPr="00071529" w:rsidRDefault="00D72022" w:rsidP="00744733">
      <w:pPr>
        <w:rPr>
          <w:rFonts w:eastAsia="Arial"/>
          <w:i/>
          <w:iCs/>
          <w:sz w:val="24"/>
          <w:szCs w:val="24"/>
        </w:rPr>
      </w:pPr>
    </w:p>
    <w:p w14:paraId="7E5AD1CD" w14:textId="71D98717" w:rsidR="00374E2D" w:rsidRPr="00071529" w:rsidRDefault="00250A91" w:rsidP="00744733">
      <w:pPr>
        <w:rPr>
          <w:rFonts w:eastAsia="Arial"/>
          <w:i/>
          <w:iCs/>
          <w:sz w:val="24"/>
          <w:szCs w:val="24"/>
        </w:rPr>
      </w:pPr>
      <w:r w:rsidRPr="00071529">
        <w:rPr>
          <w:i/>
          <w:sz w:val="24"/>
        </w:rPr>
        <w:t>On c</w:t>
      </w:r>
      <w:r w:rsidR="00374E2D" w:rsidRPr="00071529">
        <w:rPr>
          <w:i/>
          <w:sz w:val="24"/>
        </w:rPr>
        <w:t xml:space="preserve">osts </w:t>
      </w:r>
    </w:p>
    <w:p w14:paraId="5096062D" w14:textId="77777777" w:rsidR="00194D0F" w:rsidRPr="00071529" w:rsidRDefault="00194D0F" w:rsidP="00744733">
      <w:pPr>
        <w:rPr>
          <w:rFonts w:eastAsia="Arial"/>
          <w:i/>
          <w:iCs/>
          <w:sz w:val="24"/>
          <w:szCs w:val="24"/>
        </w:rPr>
      </w:pPr>
    </w:p>
    <w:p w14:paraId="6F4B10A7" w14:textId="5F0EB40B" w:rsidR="008F2EA5" w:rsidRPr="00071529" w:rsidRDefault="008F2EA5" w:rsidP="00744733">
      <w:pPr>
        <w:rPr>
          <w:rFonts w:eastAsia="Arial"/>
          <w:iCs/>
          <w:sz w:val="24"/>
          <w:szCs w:val="24"/>
        </w:rPr>
      </w:pPr>
      <w:r w:rsidRPr="00071529">
        <w:rPr>
          <w:i/>
        </w:rPr>
        <w:t>Decides</w:t>
      </w:r>
      <w:r w:rsidRPr="00071529">
        <w:t xml:space="preserve"> that each </w:t>
      </w:r>
      <w:r w:rsidRPr="00071529">
        <w:rPr>
          <w:sz w:val="24"/>
        </w:rPr>
        <w:t>party shall bear its own costs.</w:t>
      </w:r>
    </w:p>
    <w:p w14:paraId="78647966" w14:textId="74C5C01C" w:rsidR="00374E2D" w:rsidRPr="00071529" w:rsidRDefault="00374E2D" w:rsidP="00744733">
      <w:pPr>
        <w:rPr>
          <w:rFonts w:eastAsia="Arial"/>
          <w:sz w:val="24"/>
          <w:szCs w:val="24"/>
        </w:rPr>
      </w:pPr>
    </w:p>
    <w:p w14:paraId="6167E175" w14:textId="77777777" w:rsidR="00964E89" w:rsidRPr="00071529" w:rsidRDefault="00964E89" w:rsidP="00744733">
      <w:pPr>
        <w:rPr>
          <w:rFonts w:eastAsia="Arial"/>
          <w:sz w:val="24"/>
          <w:szCs w:val="24"/>
        </w:rPr>
      </w:pPr>
    </w:p>
    <w:p w14:paraId="00000059" w14:textId="77777777" w:rsidR="00257A8B" w:rsidRPr="00071529" w:rsidRDefault="00414F7B" w:rsidP="00744733">
      <w:pPr>
        <w:rPr>
          <w:rFonts w:eastAsia="Arial"/>
          <w:b/>
          <w:sz w:val="24"/>
          <w:szCs w:val="24"/>
        </w:rPr>
      </w:pPr>
      <w:r w:rsidRPr="00071529">
        <w:rPr>
          <w:b/>
          <w:sz w:val="24"/>
        </w:rPr>
        <w:t>Signed:</w:t>
      </w:r>
    </w:p>
    <w:p w14:paraId="3B33768E" w14:textId="77777777" w:rsidR="001922F7" w:rsidRPr="00071529" w:rsidRDefault="001922F7" w:rsidP="00744733">
      <w:pPr>
        <w:rPr>
          <w:rFonts w:eastAsia="Arial"/>
          <w:sz w:val="24"/>
          <w:szCs w:val="24"/>
        </w:rPr>
      </w:pPr>
    </w:p>
    <w:p w14:paraId="0000005A" w14:textId="0E1F0C3B" w:rsidR="00257A8B" w:rsidRPr="00071529" w:rsidRDefault="00DC4D5B" w:rsidP="00744733">
      <w:pPr>
        <w:rPr>
          <w:rFonts w:eastAsia="Arial"/>
          <w:sz w:val="24"/>
          <w:szCs w:val="24"/>
        </w:rPr>
      </w:pPr>
      <w:r w:rsidRPr="00071529">
        <w:rPr>
          <w:rFonts w:eastAsia="Arial"/>
          <w:bCs/>
          <w:sz w:val="24"/>
          <w:szCs w:val="24"/>
        </w:rPr>
        <w:t>Modibo SACKO</w:t>
      </w:r>
      <w:r w:rsidR="00FD11F4" w:rsidRPr="00071529">
        <w:rPr>
          <w:sz w:val="24"/>
        </w:rPr>
        <w:t>, Vice-President;</w:t>
      </w:r>
    </w:p>
    <w:p w14:paraId="09759E43" w14:textId="77777777" w:rsidR="003E71B7" w:rsidRPr="00071529" w:rsidRDefault="003E71B7" w:rsidP="00744733">
      <w:pPr>
        <w:rPr>
          <w:sz w:val="24"/>
        </w:rPr>
      </w:pPr>
    </w:p>
    <w:p w14:paraId="405801AC" w14:textId="37D1DF70" w:rsidR="001922F7" w:rsidRPr="00071529" w:rsidRDefault="00374E2D" w:rsidP="00744733">
      <w:pPr>
        <w:rPr>
          <w:rFonts w:eastAsia="Arial"/>
          <w:sz w:val="24"/>
          <w:szCs w:val="24"/>
        </w:rPr>
      </w:pPr>
      <w:r w:rsidRPr="00071529">
        <w:rPr>
          <w:sz w:val="24"/>
        </w:rPr>
        <w:t xml:space="preserve">Ben KIOKO, Judge; </w:t>
      </w:r>
    </w:p>
    <w:p w14:paraId="46F999FA" w14:textId="77777777" w:rsidR="00F9495C" w:rsidRPr="00071529" w:rsidRDefault="00F9495C" w:rsidP="00744733">
      <w:pPr>
        <w:rPr>
          <w:rFonts w:eastAsia="Arial"/>
          <w:sz w:val="24"/>
          <w:szCs w:val="24"/>
        </w:rPr>
      </w:pPr>
    </w:p>
    <w:p w14:paraId="322A5918" w14:textId="7094F910" w:rsidR="00374E2D" w:rsidRPr="00071529" w:rsidRDefault="00374E2D" w:rsidP="00744733">
      <w:pPr>
        <w:rPr>
          <w:rFonts w:eastAsia="Arial"/>
          <w:sz w:val="24"/>
          <w:szCs w:val="24"/>
        </w:rPr>
      </w:pPr>
      <w:r w:rsidRPr="00071529">
        <w:rPr>
          <w:sz w:val="24"/>
        </w:rPr>
        <w:t xml:space="preserve">Rafaâ BEN ACHOUR, Judge; </w:t>
      </w:r>
    </w:p>
    <w:p w14:paraId="1E23D493" w14:textId="77777777" w:rsidR="00F9495C" w:rsidRPr="00071529" w:rsidRDefault="00F9495C" w:rsidP="00744733">
      <w:pPr>
        <w:rPr>
          <w:rFonts w:eastAsia="Arial"/>
          <w:sz w:val="24"/>
          <w:szCs w:val="24"/>
        </w:rPr>
      </w:pPr>
    </w:p>
    <w:p w14:paraId="408ED5DA" w14:textId="5F9EC552" w:rsidR="00374E2D" w:rsidRPr="00071529" w:rsidRDefault="00374E2D" w:rsidP="00744733">
      <w:pPr>
        <w:rPr>
          <w:rFonts w:eastAsia="Arial"/>
          <w:sz w:val="24"/>
          <w:szCs w:val="24"/>
        </w:rPr>
      </w:pPr>
      <w:r w:rsidRPr="00071529">
        <w:rPr>
          <w:sz w:val="24"/>
        </w:rPr>
        <w:t xml:space="preserve">Suzanne MENGUE, Judge; </w:t>
      </w:r>
    </w:p>
    <w:p w14:paraId="6904C449" w14:textId="77777777" w:rsidR="00F9495C" w:rsidRPr="00071529" w:rsidRDefault="00F9495C" w:rsidP="00744733">
      <w:pPr>
        <w:rPr>
          <w:rFonts w:eastAsia="Arial"/>
          <w:sz w:val="24"/>
          <w:szCs w:val="24"/>
        </w:rPr>
      </w:pPr>
    </w:p>
    <w:p w14:paraId="74708B1F" w14:textId="76EB1B21" w:rsidR="00374E2D" w:rsidRPr="00071529" w:rsidRDefault="00374E2D" w:rsidP="00744733">
      <w:pPr>
        <w:rPr>
          <w:rFonts w:eastAsia="Arial"/>
          <w:sz w:val="24"/>
          <w:szCs w:val="24"/>
        </w:rPr>
      </w:pPr>
      <w:r w:rsidRPr="00071529">
        <w:rPr>
          <w:sz w:val="24"/>
        </w:rPr>
        <w:t xml:space="preserve">Tujilane R. CHIZUMILA, Judge; </w:t>
      </w:r>
    </w:p>
    <w:p w14:paraId="347CAF6F" w14:textId="77777777" w:rsidR="00F9495C" w:rsidRPr="00071529" w:rsidRDefault="00F9495C" w:rsidP="00744733">
      <w:pPr>
        <w:rPr>
          <w:rFonts w:eastAsia="Arial"/>
          <w:sz w:val="24"/>
          <w:szCs w:val="24"/>
        </w:rPr>
      </w:pPr>
    </w:p>
    <w:p w14:paraId="2B3E2831" w14:textId="2E630546" w:rsidR="00374E2D" w:rsidRPr="00071529" w:rsidRDefault="00374E2D" w:rsidP="00744733">
      <w:pPr>
        <w:rPr>
          <w:sz w:val="24"/>
        </w:rPr>
      </w:pPr>
      <w:r w:rsidRPr="00071529">
        <w:rPr>
          <w:sz w:val="24"/>
        </w:rPr>
        <w:t xml:space="preserve">Chafika BENSAOULA, Judge; </w:t>
      </w:r>
    </w:p>
    <w:p w14:paraId="236AE024" w14:textId="77777777" w:rsidR="00DC4D5B" w:rsidRPr="00071529" w:rsidRDefault="00DC4D5B" w:rsidP="00744733">
      <w:pPr>
        <w:rPr>
          <w:sz w:val="24"/>
        </w:rPr>
      </w:pPr>
    </w:p>
    <w:p w14:paraId="635A3DBC" w14:textId="5370AD1A" w:rsidR="00DC4D5B" w:rsidRPr="00071529" w:rsidRDefault="00DC4D5B" w:rsidP="00744733">
      <w:pPr>
        <w:rPr>
          <w:rFonts w:eastAsia="Arial"/>
          <w:sz w:val="24"/>
          <w:szCs w:val="24"/>
        </w:rPr>
      </w:pPr>
      <w:r w:rsidRPr="00071529">
        <w:rPr>
          <w:sz w:val="24"/>
          <w:szCs w:val="24"/>
        </w:rPr>
        <w:t>Blaise TCHIKAYA, Judge </w:t>
      </w:r>
    </w:p>
    <w:p w14:paraId="27CE2101" w14:textId="77777777" w:rsidR="00F9495C" w:rsidRPr="00071529" w:rsidRDefault="00F9495C" w:rsidP="00744733">
      <w:pPr>
        <w:rPr>
          <w:rFonts w:eastAsia="Arial"/>
          <w:sz w:val="24"/>
          <w:szCs w:val="24"/>
        </w:rPr>
      </w:pPr>
    </w:p>
    <w:p w14:paraId="49883588" w14:textId="29D4DD49" w:rsidR="00374E2D" w:rsidRPr="00071529" w:rsidRDefault="00374E2D" w:rsidP="00744733">
      <w:pPr>
        <w:rPr>
          <w:rFonts w:eastAsia="Arial"/>
          <w:sz w:val="24"/>
          <w:szCs w:val="24"/>
        </w:rPr>
      </w:pPr>
      <w:r w:rsidRPr="00071529">
        <w:rPr>
          <w:sz w:val="24"/>
        </w:rPr>
        <w:t xml:space="preserve">Stella I. ANUKAM Judge; </w:t>
      </w:r>
    </w:p>
    <w:p w14:paraId="6639FCA7" w14:textId="77777777" w:rsidR="00F9495C" w:rsidRPr="00071529" w:rsidRDefault="00F9495C" w:rsidP="00744733">
      <w:pPr>
        <w:rPr>
          <w:rFonts w:eastAsia="Arial"/>
          <w:sz w:val="24"/>
          <w:szCs w:val="24"/>
        </w:rPr>
      </w:pPr>
    </w:p>
    <w:p w14:paraId="0928959E" w14:textId="599E8947" w:rsidR="00374E2D" w:rsidRPr="00071529" w:rsidRDefault="00374E2D" w:rsidP="00744733">
      <w:pPr>
        <w:rPr>
          <w:rFonts w:eastAsia="Arial"/>
          <w:sz w:val="24"/>
          <w:szCs w:val="24"/>
        </w:rPr>
      </w:pPr>
      <w:r w:rsidRPr="00071529">
        <w:rPr>
          <w:sz w:val="24"/>
        </w:rPr>
        <w:t xml:space="preserve">Dumisa B. NTSEBEZA, Judge; </w:t>
      </w:r>
    </w:p>
    <w:p w14:paraId="3205573D" w14:textId="77777777" w:rsidR="00F9495C" w:rsidRPr="00071529" w:rsidRDefault="00F9495C" w:rsidP="00744733">
      <w:pPr>
        <w:rPr>
          <w:rFonts w:eastAsia="Arial"/>
          <w:sz w:val="24"/>
          <w:szCs w:val="24"/>
        </w:rPr>
      </w:pPr>
    </w:p>
    <w:p w14:paraId="767F1A46" w14:textId="5824F4EB" w:rsidR="00374E2D" w:rsidRPr="00071529" w:rsidRDefault="00DC4D5B" w:rsidP="00744733">
      <w:pPr>
        <w:rPr>
          <w:rFonts w:eastAsia="Arial"/>
          <w:sz w:val="24"/>
          <w:szCs w:val="24"/>
        </w:rPr>
      </w:pPr>
      <w:r w:rsidRPr="00071529">
        <w:rPr>
          <w:rFonts w:eastAsia="Arial"/>
          <w:sz w:val="24"/>
          <w:szCs w:val="24"/>
        </w:rPr>
        <w:t>Dennis D. ADJEI</w:t>
      </w:r>
      <w:r w:rsidR="00374E2D" w:rsidRPr="00071529">
        <w:rPr>
          <w:sz w:val="24"/>
        </w:rPr>
        <w:t xml:space="preserve">, Judge; </w:t>
      </w:r>
    </w:p>
    <w:p w14:paraId="54A93800" w14:textId="77777777" w:rsidR="00F9495C" w:rsidRPr="00071529" w:rsidRDefault="00F9495C" w:rsidP="00744733">
      <w:pPr>
        <w:rPr>
          <w:rFonts w:eastAsia="Arial"/>
          <w:sz w:val="24"/>
          <w:szCs w:val="24"/>
        </w:rPr>
      </w:pPr>
    </w:p>
    <w:p w14:paraId="180A5EF3" w14:textId="1FBCFDD3" w:rsidR="00374E2D" w:rsidRPr="00071529" w:rsidRDefault="00374E2D" w:rsidP="00744733">
      <w:pPr>
        <w:rPr>
          <w:rFonts w:eastAsia="Arial"/>
          <w:sz w:val="24"/>
          <w:szCs w:val="24"/>
        </w:rPr>
      </w:pPr>
      <w:r w:rsidRPr="00071529">
        <w:rPr>
          <w:sz w:val="24"/>
        </w:rPr>
        <w:t xml:space="preserve">Dennis D. ADJEI, </w:t>
      </w:r>
      <w:r w:rsidR="00A06EC2" w:rsidRPr="00071529">
        <w:rPr>
          <w:sz w:val="24"/>
        </w:rPr>
        <w:t>Judge;</w:t>
      </w:r>
      <w:r w:rsidRPr="00071529">
        <w:rPr>
          <w:sz w:val="24"/>
        </w:rPr>
        <w:t xml:space="preserve"> and </w:t>
      </w:r>
    </w:p>
    <w:p w14:paraId="7B5355C1" w14:textId="77777777" w:rsidR="00374E2D" w:rsidRPr="00071529" w:rsidRDefault="00374E2D" w:rsidP="00744733">
      <w:pPr>
        <w:rPr>
          <w:rFonts w:eastAsia="Arial"/>
          <w:sz w:val="24"/>
          <w:szCs w:val="24"/>
        </w:rPr>
      </w:pPr>
    </w:p>
    <w:p w14:paraId="0000005B" w14:textId="4A929D32" w:rsidR="00257A8B" w:rsidRPr="00071529" w:rsidRDefault="005E3D2A" w:rsidP="00744733">
      <w:pPr>
        <w:rPr>
          <w:rFonts w:eastAsia="Arial"/>
          <w:sz w:val="24"/>
          <w:szCs w:val="24"/>
        </w:rPr>
      </w:pPr>
      <w:r w:rsidRPr="00071529">
        <w:rPr>
          <w:sz w:val="24"/>
        </w:rPr>
        <w:t>Robert ENO, Registrar.</w:t>
      </w:r>
    </w:p>
    <w:p w14:paraId="0B450665" w14:textId="7FE3BC16" w:rsidR="001922F7" w:rsidRPr="00071529" w:rsidRDefault="001922F7" w:rsidP="00744733">
      <w:pPr>
        <w:rPr>
          <w:rFonts w:eastAsia="Arial"/>
          <w:sz w:val="24"/>
          <w:szCs w:val="24"/>
        </w:rPr>
      </w:pPr>
    </w:p>
    <w:p w14:paraId="5EB3A6CE" w14:textId="77777777" w:rsidR="00964E89" w:rsidRPr="00071529" w:rsidRDefault="00964E89" w:rsidP="00744733">
      <w:pPr>
        <w:rPr>
          <w:rFonts w:eastAsia="Arial"/>
          <w:sz w:val="24"/>
          <w:szCs w:val="24"/>
        </w:rPr>
      </w:pPr>
    </w:p>
    <w:p w14:paraId="0000005D" w14:textId="214041AA" w:rsidR="00257A8B" w:rsidRPr="00245620" w:rsidRDefault="00414F7B" w:rsidP="00744733">
      <w:pPr>
        <w:rPr>
          <w:rFonts w:eastAsia="Arial"/>
          <w:sz w:val="24"/>
          <w:szCs w:val="24"/>
        </w:rPr>
      </w:pPr>
      <w:r w:rsidRPr="00071529">
        <w:rPr>
          <w:sz w:val="24"/>
        </w:rPr>
        <w:t>Done in Arusha, this Fifth Day of the month of September in the year Two Thousand and Twenty-three, in English and French, the English text being authoritative.</w:t>
      </w:r>
    </w:p>
    <w:sectPr w:rsidR="00257A8B" w:rsidRPr="00245620" w:rsidSect="00AC5696">
      <w:pgSz w:w="11907" w:h="16840"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1F20" w14:textId="77777777" w:rsidR="0026709A" w:rsidRDefault="0026709A">
      <w:pPr>
        <w:spacing w:after="0" w:line="240" w:lineRule="auto"/>
      </w:pPr>
      <w:r>
        <w:separator/>
      </w:r>
    </w:p>
  </w:endnote>
  <w:endnote w:type="continuationSeparator" w:id="0">
    <w:p w14:paraId="322F6725" w14:textId="77777777" w:rsidR="0026709A" w:rsidRDefault="0026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547695"/>
      <w:docPartObj>
        <w:docPartGallery w:val="Page Numbers (Bottom of Page)"/>
        <w:docPartUnique/>
      </w:docPartObj>
    </w:sdtPr>
    <w:sdtEndPr>
      <w:rPr>
        <w:noProof/>
      </w:rPr>
    </w:sdtEndPr>
    <w:sdtContent>
      <w:p w14:paraId="5F45BFD9" w14:textId="77777777" w:rsidR="00DC47C3" w:rsidRDefault="00DC47C3">
        <w:pPr>
          <w:pStyle w:val="Footer"/>
          <w:jc w:val="center"/>
        </w:pPr>
        <w:r>
          <w:fldChar w:fldCharType="begin"/>
        </w:r>
        <w:r>
          <w:instrText xml:space="preserve"> PAGE   \* MERGEFORMAT </w:instrText>
        </w:r>
        <w:r>
          <w:fldChar w:fldCharType="separate"/>
        </w:r>
        <w:r>
          <w:rPr>
            <w:noProof/>
          </w:rPr>
          <w:t>2</w:t>
        </w:r>
        <w:r>
          <w:fldChar w:fldCharType="end"/>
        </w:r>
      </w:p>
    </w:sdtContent>
  </w:sdt>
  <w:p w14:paraId="11DDD0A9" w14:textId="77777777" w:rsidR="00DC47C3" w:rsidRDefault="00DC4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719051945"/>
      <w:docPartObj>
        <w:docPartGallery w:val="Page Numbers (Bottom of Page)"/>
        <w:docPartUnique/>
      </w:docPartObj>
    </w:sdtPr>
    <w:sdtContent>
      <w:p w14:paraId="4ACC2894" w14:textId="182F5311" w:rsidR="00DC47C3" w:rsidRPr="007D2855" w:rsidRDefault="00DC47C3">
        <w:pPr>
          <w:pStyle w:val="Footer"/>
          <w:jc w:val="center"/>
          <w:rPr>
            <w:rFonts w:ascii="Arial" w:hAnsi="Arial" w:cs="Arial"/>
            <w:sz w:val="24"/>
            <w:szCs w:val="24"/>
          </w:rPr>
        </w:pPr>
        <w:r w:rsidRPr="007D2855">
          <w:rPr>
            <w:rFonts w:ascii="Arial" w:hAnsi="Arial" w:cs="Arial"/>
            <w:sz w:val="24"/>
          </w:rPr>
          <w:fldChar w:fldCharType="begin"/>
        </w:r>
        <w:r w:rsidRPr="007D2855">
          <w:rPr>
            <w:rFonts w:ascii="Arial" w:hAnsi="Arial" w:cs="Arial"/>
            <w:sz w:val="24"/>
          </w:rPr>
          <w:instrText>PAGE   \* MERGEFORMAT</w:instrText>
        </w:r>
        <w:r w:rsidRPr="007D2855">
          <w:rPr>
            <w:rFonts w:ascii="Arial" w:hAnsi="Arial" w:cs="Arial"/>
            <w:sz w:val="24"/>
          </w:rPr>
          <w:fldChar w:fldCharType="separate"/>
        </w:r>
        <w:r w:rsidR="0034130C">
          <w:rPr>
            <w:rFonts w:ascii="Arial" w:hAnsi="Arial" w:cs="Arial"/>
            <w:noProof/>
            <w:sz w:val="24"/>
          </w:rPr>
          <w:t>24</w:t>
        </w:r>
        <w:r w:rsidRPr="007D2855">
          <w:rPr>
            <w:rFonts w:ascii="Arial" w:hAnsi="Arial" w:cs="Arial"/>
            <w:sz w:val="24"/>
          </w:rPr>
          <w:fldChar w:fldCharType="end"/>
        </w:r>
      </w:p>
    </w:sdtContent>
  </w:sdt>
  <w:p w14:paraId="2DCCC854" w14:textId="77777777" w:rsidR="00DC47C3" w:rsidRPr="007D2855" w:rsidRDefault="00DC47C3">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7838" w14:textId="77777777" w:rsidR="0026709A" w:rsidRDefault="0026709A">
      <w:pPr>
        <w:spacing w:after="0" w:line="240" w:lineRule="auto"/>
      </w:pPr>
      <w:r>
        <w:separator/>
      </w:r>
    </w:p>
  </w:footnote>
  <w:footnote w:type="continuationSeparator" w:id="0">
    <w:p w14:paraId="3468EE8D" w14:textId="77777777" w:rsidR="0026709A" w:rsidRDefault="0026709A">
      <w:pPr>
        <w:spacing w:after="0" w:line="240" w:lineRule="auto"/>
      </w:pPr>
      <w:r>
        <w:continuationSeparator/>
      </w:r>
    </w:p>
  </w:footnote>
  <w:footnote w:id="1">
    <w:p w14:paraId="40971390" w14:textId="2647BF23" w:rsidR="00DC47C3" w:rsidRPr="000E72A3" w:rsidRDefault="00DC47C3" w:rsidP="00776276">
      <w:pPr>
        <w:pBdr>
          <w:top w:val="nil"/>
          <w:left w:val="nil"/>
          <w:bottom w:val="nil"/>
          <w:right w:val="nil"/>
          <w:between w:val="nil"/>
        </w:pBdr>
        <w:spacing w:after="0" w:line="240" w:lineRule="auto"/>
        <w:jc w:val="both"/>
        <w:rPr>
          <w:rFonts w:ascii="Arial" w:hAnsi="Arial" w:cs="Arial"/>
          <w:color w:val="000000"/>
          <w:sz w:val="20"/>
          <w:szCs w:val="20"/>
        </w:rPr>
      </w:pPr>
      <w:r w:rsidRPr="000E72A3">
        <w:rPr>
          <w:rStyle w:val="FootnoteReference"/>
          <w:rFonts w:ascii="Arial" w:hAnsi="Arial" w:cs="Arial"/>
          <w:sz w:val="20"/>
          <w:szCs w:val="20"/>
        </w:rPr>
        <w:footnoteRef/>
      </w:r>
      <w:r w:rsidRPr="000E72A3">
        <w:rPr>
          <w:rFonts w:ascii="Arial" w:hAnsi="Arial" w:cs="Arial"/>
          <w:sz w:val="20"/>
          <w:szCs w:val="20"/>
        </w:rPr>
        <w:t xml:space="preserve"> Formerly Rule 8(2) of the Rules of Court of 2 June 2010.</w:t>
      </w:r>
    </w:p>
  </w:footnote>
  <w:footnote w:id="2">
    <w:p w14:paraId="41377554" w14:textId="29252F12" w:rsidR="00DC47C3" w:rsidRPr="000E72A3" w:rsidRDefault="00DC47C3">
      <w:pPr>
        <w:pStyle w:val="FootnoteText"/>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Andrew Ambrose Cheusi v. United Republic of Tanzania</w:t>
      </w:r>
      <w:r w:rsidRPr="000E72A3">
        <w:rPr>
          <w:rFonts w:ascii="Arial" w:hAnsi="Arial" w:cs="Arial"/>
        </w:rPr>
        <w:t xml:space="preserve"> (judgment) (26 June 2020) 4 </w:t>
      </w:r>
      <w:bookmarkStart w:id="4" w:name="_Hlk135045436"/>
      <w:r w:rsidRPr="000E72A3">
        <w:rPr>
          <w:rFonts w:ascii="Arial" w:hAnsi="Arial" w:cs="Arial"/>
        </w:rPr>
        <w:t xml:space="preserve">AfCLR </w:t>
      </w:r>
      <w:bookmarkEnd w:id="4"/>
      <w:r w:rsidRPr="000E72A3">
        <w:rPr>
          <w:rFonts w:ascii="Arial" w:hAnsi="Arial" w:cs="Arial"/>
        </w:rPr>
        <w:t xml:space="preserve">219, §§ 35-39; </w:t>
      </w:r>
      <w:r w:rsidRPr="000E72A3">
        <w:rPr>
          <w:rFonts w:ascii="Arial" w:hAnsi="Arial" w:cs="Arial"/>
          <w:i/>
          <w:iCs/>
        </w:rPr>
        <w:t>Ingabire Victoire Umuhoza v. Republic of Rwanda</w:t>
      </w:r>
      <w:r w:rsidRPr="000E72A3">
        <w:rPr>
          <w:rFonts w:ascii="Arial" w:hAnsi="Arial" w:cs="Arial"/>
        </w:rPr>
        <w:t xml:space="preserve"> (jurisdiction) (3 June 2016) 1 AfCLR 540, § 67.</w:t>
      </w:r>
    </w:p>
  </w:footnote>
  <w:footnote w:id="3">
    <w:p w14:paraId="0B48B966" w14:textId="339771DF" w:rsidR="00DC47C3" w:rsidRPr="000E72A3" w:rsidRDefault="00DC47C3" w:rsidP="009B1329">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Rule 26 of the Rules of 2 June 2010.</w:t>
      </w:r>
    </w:p>
  </w:footnote>
  <w:footnote w:id="4">
    <w:p w14:paraId="4518DB3E" w14:textId="03406C70" w:rsidR="00DC47C3" w:rsidRPr="000E72A3" w:rsidRDefault="00DC47C3" w:rsidP="005B2C7A">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Diocles William v. United Republic of Tanzania</w:t>
      </w:r>
      <w:r w:rsidRPr="000E72A3">
        <w:rPr>
          <w:rFonts w:ascii="Arial" w:hAnsi="Arial" w:cs="Arial"/>
        </w:rPr>
        <w:t xml:space="preserve"> (merits and reparations) (21 September 2018) 2 AfCLR, 426, § 28; </w:t>
      </w:r>
      <w:r w:rsidRPr="000E72A3">
        <w:rPr>
          <w:rFonts w:ascii="Arial" w:hAnsi="Arial" w:cs="Arial"/>
          <w:i/>
          <w:iCs/>
        </w:rPr>
        <w:t>Armand Guéhi v United Republic of Tanzania</w:t>
      </w:r>
      <w:r w:rsidRPr="000E72A3">
        <w:rPr>
          <w:rFonts w:ascii="Arial" w:hAnsi="Arial" w:cs="Arial"/>
        </w:rPr>
        <w:t xml:space="preserve"> (merits and reparations) (7 December 2018) 2 AfCLR 477, § 33; </w:t>
      </w:r>
      <w:r w:rsidRPr="000E72A3">
        <w:rPr>
          <w:rFonts w:ascii="Arial" w:hAnsi="Arial" w:cs="Arial"/>
          <w:i/>
          <w:iCs/>
        </w:rPr>
        <w:t>Kalebi Elisamehe v. United Republic of Tanzania</w:t>
      </w:r>
      <w:r w:rsidRPr="000E72A3">
        <w:rPr>
          <w:rFonts w:ascii="Arial" w:hAnsi="Arial" w:cs="Arial"/>
        </w:rPr>
        <w:t xml:space="preserve"> (merits and reparations) (26 June 2020) 4 AfCLR 265, § 18.</w:t>
      </w:r>
    </w:p>
  </w:footnote>
  <w:footnote w:id="5">
    <w:p w14:paraId="1904D3AB" w14:textId="554BF68E"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rPr>
        <w:t xml:space="preserve">Ernest Francis Mtingwi v. Republic of Malawi </w:t>
      </w:r>
      <w:r w:rsidRPr="000E72A3">
        <w:rPr>
          <w:rFonts w:ascii="Arial" w:hAnsi="Arial" w:cs="Arial"/>
        </w:rPr>
        <w:t xml:space="preserve">(jurisdiction) (15 March 2013) 1 </w:t>
      </w:r>
      <w:bookmarkStart w:id="14" w:name="_Hlk135032508"/>
      <w:r w:rsidRPr="000E72A3">
        <w:rPr>
          <w:rFonts w:ascii="Arial" w:hAnsi="Arial" w:cs="Arial"/>
        </w:rPr>
        <w:t xml:space="preserve">AfCLR </w:t>
      </w:r>
      <w:bookmarkEnd w:id="14"/>
      <w:r w:rsidRPr="000E72A3">
        <w:rPr>
          <w:rFonts w:ascii="Arial" w:hAnsi="Arial" w:cs="Arial"/>
        </w:rPr>
        <w:t>190, § 14.</w:t>
      </w:r>
    </w:p>
  </w:footnote>
  <w:footnote w:id="6">
    <w:p w14:paraId="05C9CFDF" w14:textId="479F7DBF"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Kennedy Ivan v. United Republic of Tanzania</w:t>
      </w:r>
      <w:r w:rsidRPr="000E72A3">
        <w:rPr>
          <w:rFonts w:ascii="Arial" w:hAnsi="Arial" w:cs="Arial"/>
        </w:rPr>
        <w:t xml:space="preserve"> (merits and reparations) (28 March 2019) 3 AfCLR 48, § 26; </w:t>
      </w:r>
      <w:r w:rsidRPr="000E72A3">
        <w:rPr>
          <w:rFonts w:ascii="Arial" w:hAnsi="Arial" w:cs="Arial"/>
          <w:i/>
          <w:iCs/>
        </w:rPr>
        <w:t>Guéhi v. Tanzania</w:t>
      </w:r>
      <w:r w:rsidRPr="000E72A3">
        <w:rPr>
          <w:rFonts w:ascii="Arial" w:hAnsi="Arial" w:cs="Arial"/>
        </w:rPr>
        <w:t xml:space="preserve">, </w:t>
      </w:r>
      <w:r w:rsidRPr="000E72A3">
        <w:rPr>
          <w:rFonts w:ascii="Arial" w:hAnsi="Arial" w:cs="Arial"/>
          <w:i/>
        </w:rPr>
        <w:t>supra</w:t>
      </w:r>
      <w:r w:rsidRPr="000E72A3">
        <w:rPr>
          <w:rFonts w:ascii="Arial" w:hAnsi="Arial" w:cs="Arial"/>
        </w:rPr>
        <w:t>, §§ 33.</w:t>
      </w:r>
    </w:p>
  </w:footnote>
  <w:footnote w:id="7">
    <w:p w14:paraId="2D468CF3" w14:textId="1D8BD734"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Formerly Rule 39(1) of the Rules of Court, 2 June 2010.</w:t>
      </w:r>
    </w:p>
  </w:footnote>
  <w:footnote w:id="8">
    <w:p w14:paraId="687AA366" w14:textId="46D6A62A"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Cheusi v. Tanzania</w:t>
      </w:r>
      <w:r w:rsidRPr="000E72A3">
        <w:rPr>
          <w:rFonts w:ascii="Arial" w:hAnsi="Arial" w:cs="Arial"/>
        </w:rPr>
        <w:t xml:space="preserve">, </w:t>
      </w:r>
      <w:r w:rsidRPr="000E72A3">
        <w:rPr>
          <w:rFonts w:ascii="Arial" w:hAnsi="Arial" w:cs="Arial"/>
          <w:i/>
        </w:rPr>
        <w:t>supra</w:t>
      </w:r>
      <w:r w:rsidRPr="000E72A3">
        <w:rPr>
          <w:rFonts w:ascii="Arial" w:hAnsi="Arial" w:cs="Arial"/>
        </w:rPr>
        <w:t xml:space="preserve">, §§ 33-39; see also </w:t>
      </w:r>
      <w:r w:rsidRPr="000E72A3">
        <w:rPr>
          <w:rFonts w:ascii="Arial" w:hAnsi="Arial" w:cs="Arial"/>
          <w:i/>
          <w:iCs/>
        </w:rPr>
        <w:t>Umuhoza v. Rwanda</w:t>
      </w:r>
      <w:r w:rsidRPr="000E72A3">
        <w:rPr>
          <w:rFonts w:ascii="Arial" w:hAnsi="Arial" w:cs="Arial"/>
        </w:rPr>
        <w:t xml:space="preserve">, </w:t>
      </w:r>
      <w:r w:rsidRPr="000E72A3">
        <w:rPr>
          <w:rFonts w:ascii="Arial" w:hAnsi="Arial" w:cs="Arial"/>
          <w:i/>
        </w:rPr>
        <w:t>supra</w:t>
      </w:r>
      <w:r w:rsidRPr="000E72A3">
        <w:rPr>
          <w:rFonts w:ascii="Arial" w:hAnsi="Arial" w:cs="Arial"/>
        </w:rPr>
        <w:t>, § 67.</w:t>
      </w:r>
    </w:p>
  </w:footnote>
  <w:footnote w:id="9">
    <w:p w14:paraId="3CBA7C9D" w14:textId="7F106050"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rPr>
        <w:t>Norbert Zongo and Others v. Burkina Faso</w:t>
      </w:r>
      <w:r w:rsidRPr="000E72A3">
        <w:rPr>
          <w:rFonts w:ascii="Arial" w:hAnsi="Arial" w:cs="Arial"/>
        </w:rPr>
        <w:t xml:space="preserve"> (preliminary objections) (21 June 2013) 1 AfCLR 197, § 77.</w:t>
      </w:r>
    </w:p>
  </w:footnote>
  <w:footnote w:id="10">
    <w:p w14:paraId="0CD27681" w14:textId="2B4B43E7"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Laurent Munyandilikirwa v. Republic of Rwanda</w:t>
      </w:r>
      <w:r w:rsidRPr="000E72A3">
        <w:rPr>
          <w:rFonts w:ascii="Arial" w:hAnsi="Arial" w:cs="Arial"/>
        </w:rPr>
        <w:t xml:space="preserve">, ACtHPR, Application No. 023/2015, Judgment of 2 December 2021, § 74; </w:t>
      </w:r>
      <w:r w:rsidRPr="000E72A3">
        <w:rPr>
          <w:rFonts w:ascii="Arial" w:hAnsi="Arial" w:cs="Arial"/>
          <w:i/>
          <w:iCs/>
        </w:rPr>
        <w:t>Alex Thomas v. United Republic of Tanzania</w:t>
      </w:r>
      <w:r w:rsidRPr="000E72A3">
        <w:rPr>
          <w:rFonts w:ascii="Arial" w:hAnsi="Arial" w:cs="Arial"/>
        </w:rPr>
        <w:t xml:space="preserve"> (merits) (20 November 2015) 1 AfCLR 465, § 64.</w:t>
      </w:r>
    </w:p>
  </w:footnote>
  <w:footnote w:id="11">
    <w:p w14:paraId="6166F81A" w14:textId="288D3FE4"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i/>
          <w:iCs/>
        </w:rPr>
        <w:t>Gozbert Henrico v. United Republic of Tanzania</w:t>
      </w:r>
      <w:r w:rsidRPr="000E72A3">
        <w:rPr>
          <w:rFonts w:ascii="Arial" w:hAnsi="Arial" w:cs="Arial"/>
        </w:rPr>
        <w:t xml:space="preserve">, ACtHPR, Application No. 056/2016, Judgment of 10 January 2022, § 61; </w:t>
      </w:r>
      <w:r w:rsidRPr="000E72A3">
        <w:rPr>
          <w:rFonts w:ascii="Arial" w:hAnsi="Arial" w:cs="Arial"/>
          <w:i/>
          <w:iCs/>
        </w:rPr>
        <w:t>Mgosi Mwita Makungu v United Republic of Tanzania</w:t>
      </w:r>
      <w:r w:rsidRPr="000E72A3">
        <w:rPr>
          <w:rFonts w:ascii="Arial" w:hAnsi="Arial" w:cs="Arial"/>
        </w:rPr>
        <w:t xml:space="preserve"> (merits) (7 December 2018) 2 </w:t>
      </w:r>
      <w:bookmarkStart w:id="19" w:name="_Hlk135035546"/>
      <w:r w:rsidRPr="000E72A3">
        <w:rPr>
          <w:rFonts w:ascii="Arial" w:hAnsi="Arial" w:cs="Arial"/>
        </w:rPr>
        <w:t xml:space="preserve">AfCLR </w:t>
      </w:r>
      <w:bookmarkEnd w:id="19"/>
      <w:r w:rsidRPr="000E72A3">
        <w:rPr>
          <w:rFonts w:ascii="Arial" w:hAnsi="Arial" w:cs="Arial"/>
        </w:rPr>
        <w:t xml:space="preserve">550, § 46, </w:t>
      </w:r>
      <w:r w:rsidRPr="000E72A3">
        <w:rPr>
          <w:rFonts w:ascii="Arial" w:hAnsi="Arial" w:cs="Arial"/>
          <w:i/>
          <w:iCs/>
        </w:rPr>
        <w:t>Mohamed Abubakari v United Republic of Tanzania</w:t>
      </w:r>
      <w:r w:rsidRPr="000E72A3">
        <w:rPr>
          <w:rFonts w:ascii="Arial" w:hAnsi="Arial" w:cs="Arial"/>
        </w:rPr>
        <w:t xml:space="preserve"> (merits) (3 June 2016) 1 AfCLR 599, §§ 66-70; </w:t>
      </w:r>
      <w:r w:rsidRPr="000E72A3">
        <w:rPr>
          <w:rFonts w:ascii="Arial" w:hAnsi="Arial" w:cs="Arial"/>
          <w:i/>
          <w:iCs/>
        </w:rPr>
        <w:t>Thomas v. Tanzania</w:t>
      </w:r>
      <w:r w:rsidRPr="000E72A3">
        <w:rPr>
          <w:rFonts w:ascii="Arial" w:hAnsi="Arial" w:cs="Arial"/>
        </w:rPr>
        <w:t xml:space="preserve">, </w:t>
      </w:r>
      <w:r w:rsidRPr="000E72A3">
        <w:rPr>
          <w:rFonts w:ascii="Arial" w:hAnsi="Arial" w:cs="Arial"/>
          <w:i/>
        </w:rPr>
        <w:t>supra</w:t>
      </w:r>
      <w:r w:rsidRPr="000E72A3">
        <w:rPr>
          <w:rFonts w:ascii="Arial" w:hAnsi="Arial" w:cs="Arial"/>
        </w:rPr>
        <w:t>, §§ 63-65.</w:t>
      </w:r>
    </w:p>
  </w:footnote>
  <w:footnote w:id="12">
    <w:p w14:paraId="43607126" w14:textId="128B8442"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i/>
        </w:rPr>
        <w:t xml:space="preserve"> Hamis Shaban aka Hamis Ustadh v. United Republic of Tanzania, </w:t>
      </w:r>
      <w:r w:rsidRPr="000E72A3">
        <w:rPr>
          <w:rFonts w:ascii="Arial" w:hAnsi="Arial" w:cs="Arial"/>
        </w:rPr>
        <w:t>ACtHPR, Application No. 026/2015, Judgment of 2 December 2021, § 51</w:t>
      </w:r>
      <w:r w:rsidRPr="000E72A3">
        <w:rPr>
          <w:rFonts w:ascii="Arial" w:hAnsi="Arial" w:cs="Arial"/>
          <w:i/>
        </w:rPr>
        <w:t xml:space="preserve">; Abubakari v. Tanzania </w:t>
      </w:r>
      <w:r w:rsidRPr="000E72A3">
        <w:rPr>
          <w:rFonts w:ascii="Arial" w:hAnsi="Arial" w:cs="Arial"/>
        </w:rPr>
        <w:t xml:space="preserve">(merits), </w:t>
      </w:r>
      <w:r w:rsidRPr="000E72A3">
        <w:rPr>
          <w:rFonts w:ascii="Arial" w:hAnsi="Arial" w:cs="Arial"/>
          <w:i/>
        </w:rPr>
        <w:t xml:space="preserve">supra, </w:t>
      </w:r>
      <w:r w:rsidRPr="000E72A3">
        <w:rPr>
          <w:rFonts w:ascii="Arial" w:hAnsi="Arial" w:cs="Arial"/>
        </w:rPr>
        <w:t>§</w:t>
      </w:r>
      <w:r w:rsidRPr="000E72A3">
        <w:rPr>
          <w:rFonts w:ascii="Arial" w:hAnsi="Arial" w:cs="Arial"/>
          <w:i/>
        </w:rPr>
        <w:t xml:space="preserve"> </w:t>
      </w:r>
      <w:r w:rsidRPr="000E72A3">
        <w:rPr>
          <w:rFonts w:ascii="Arial" w:hAnsi="Arial" w:cs="Arial"/>
        </w:rPr>
        <w:t>76</w:t>
      </w:r>
      <w:r w:rsidRPr="000E72A3">
        <w:rPr>
          <w:rFonts w:ascii="Arial" w:hAnsi="Arial" w:cs="Arial"/>
          <w:i/>
        </w:rPr>
        <w:t>.</w:t>
      </w:r>
    </w:p>
  </w:footnote>
  <w:footnote w:id="13">
    <w:p w14:paraId="052517F9" w14:textId="2D25624A"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shd w:val="clear" w:color="auto" w:fill="FFFFFF"/>
        </w:rPr>
        <w:t>Norbert Zongo and Others v. </w:t>
      </w:r>
      <w:r w:rsidRPr="000E72A3">
        <w:rPr>
          <w:rFonts w:ascii="Arial" w:hAnsi="Arial" w:cs="Arial"/>
          <w:i/>
          <w:iCs/>
        </w:rPr>
        <w:t xml:space="preserve"> Burkina Faso</w:t>
      </w:r>
      <w:r w:rsidRPr="000E72A3">
        <w:rPr>
          <w:rFonts w:ascii="Arial" w:hAnsi="Arial" w:cs="Arial"/>
        </w:rPr>
        <w:t xml:space="preserve"> (merits) (24 June 2014) 1 AfCLR 219, § 92. See </w:t>
      </w:r>
      <w:r w:rsidRPr="000E72A3">
        <w:rPr>
          <w:rFonts w:ascii="Arial" w:hAnsi="Arial" w:cs="Arial"/>
          <w:i/>
          <w:iCs/>
        </w:rPr>
        <w:t>Thomas v. Tanzania</w:t>
      </w:r>
      <w:r w:rsidRPr="000E72A3">
        <w:rPr>
          <w:rFonts w:ascii="Arial" w:hAnsi="Arial" w:cs="Arial"/>
        </w:rPr>
        <w:t xml:space="preserve"> (merits), </w:t>
      </w:r>
      <w:r w:rsidRPr="000E72A3">
        <w:rPr>
          <w:rFonts w:ascii="Arial" w:hAnsi="Arial" w:cs="Arial"/>
          <w:i/>
        </w:rPr>
        <w:t>supra</w:t>
      </w:r>
      <w:r w:rsidRPr="000E72A3">
        <w:rPr>
          <w:rFonts w:ascii="Arial" w:hAnsi="Arial" w:cs="Arial"/>
        </w:rPr>
        <w:t>, § 73.</w:t>
      </w:r>
    </w:p>
  </w:footnote>
  <w:footnote w:id="14">
    <w:p w14:paraId="38B44CB3" w14:textId="342C711F" w:rsidR="00DC47C3" w:rsidRPr="000E72A3" w:rsidRDefault="00DC47C3">
      <w:pPr>
        <w:pStyle w:val="FootnoteText"/>
        <w:jc w:val="both"/>
        <w:rPr>
          <w:rFonts w:ascii="Arial" w:hAnsi="Arial" w:cs="Arial"/>
        </w:rPr>
      </w:pPr>
      <w:r w:rsidRPr="000E72A3">
        <w:rPr>
          <w:rStyle w:val="FootnoteReference"/>
          <w:rFonts w:ascii="Arial" w:hAnsi="Arial" w:cs="Arial"/>
          <w:lang w:val="fr"/>
        </w:rPr>
        <w:footnoteRef/>
      </w:r>
      <w:r w:rsidRPr="000E72A3">
        <w:rPr>
          <w:rFonts w:ascii="Arial" w:hAnsi="Arial" w:cs="Arial"/>
          <w:i/>
          <w:iCs/>
        </w:rPr>
        <w:t xml:space="preserve"> Harold Mbalanda Munthali v. Republic of Malawi</w:t>
      </w:r>
      <w:r w:rsidRPr="000E72A3">
        <w:rPr>
          <w:rFonts w:ascii="Arial" w:hAnsi="Arial" w:cs="Arial"/>
        </w:rPr>
        <w:t xml:space="preserve">, ACtHPR, Application No. 022/2017, Judgment of 23 June 2022 (merits and reparations), § 81; </w:t>
      </w:r>
      <w:r w:rsidRPr="000E72A3">
        <w:rPr>
          <w:rFonts w:ascii="Arial" w:hAnsi="Arial" w:cs="Arial"/>
          <w:i/>
          <w:iCs/>
        </w:rPr>
        <w:t>Action pour la Protection des Droits de l'Homme v. Republic of Côte d'Ivoire</w:t>
      </w:r>
      <w:r w:rsidRPr="000E72A3">
        <w:rPr>
          <w:rFonts w:ascii="Arial" w:hAnsi="Arial" w:cs="Arial"/>
        </w:rPr>
        <w:t xml:space="preserve"> (merits) (18 November 2016) 1 AfCLR 668, § 146.  </w:t>
      </w:r>
    </w:p>
  </w:footnote>
  <w:footnote w:id="15">
    <w:p w14:paraId="0A5AAF2A" w14:textId="1C4DAC1D" w:rsidR="00DC47C3" w:rsidRPr="000E72A3" w:rsidRDefault="00DC47C3" w:rsidP="00F72900">
      <w:pPr>
        <w:pStyle w:val="FootnoteText"/>
        <w:jc w:val="both"/>
        <w:rPr>
          <w:rFonts w:ascii="Arial" w:hAnsi="Arial" w:cs="Arial"/>
          <w:lang w:val="en-US"/>
        </w:rPr>
      </w:pPr>
      <w:r w:rsidRPr="000E72A3">
        <w:rPr>
          <w:rStyle w:val="FootnoteReference"/>
          <w:rFonts w:ascii="Arial" w:hAnsi="Arial" w:cs="Arial"/>
        </w:rPr>
        <w:footnoteRef/>
      </w:r>
      <w:r w:rsidRPr="000E72A3">
        <w:rPr>
          <w:rFonts w:ascii="Arial" w:hAnsi="Arial" w:cs="Arial"/>
          <w:lang w:val="en-US"/>
        </w:rPr>
        <w:t xml:space="preserve"> </w:t>
      </w:r>
      <w:r w:rsidRPr="000E72A3">
        <w:rPr>
          <w:rFonts w:ascii="Arial" w:hAnsi="Arial" w:cs="Arial"/>
          <w:i/>
          <w:lang w:val="en-US"/>
        </w:rPr>
        <w:t>Oscar Josiah v. United Republic of Tanzania</w:t>
      </w:r>
      <w:r w:rsidRPr="000E72A3">
        <w:rPr>
          <w:rFonts w:ascii="Arial" w:hAnsi="Arial" w:cs="Arial"/>
          <w:lang w:val="en-US"/>
        </w:rPr>
        <w:t xml:space="preserve"> (merits) (28 mars 2019) 3 AfCLR 83, § 73; </w:t>
      </w:r>
      <w:r w:rsidRPr="000E72A3">
        <w:rPr>
          <w:rFonts w:ascii="Arial" w:hAnsi="Arial" w:cs="Arial"/>
          <w:i/>
          <w:lang w:val="en-US"/>
        </w:rPr>
        <w:t>Makungu V. Tanzania</w:t>
      </w:r>
      <w:r w:rsidRPr="000E72A3">
        <w:rPr>
          <w:rFonts w:ascii="Arial" w:hAnsi="Arial" w:cs="Arial"/>
          <w:lang w:val="en-US"/>
        </w:rPr>
        <w:t xml:space="preserve">, </w:t>
      </w:r>
      <w:r w:rsidRPr="000E72A3">
        <w:rPr>
          <w:rFonts w:ascii="Arial" w:hAnsi="Arial" w:cs="Arial"/>
          <w:i/>
          <w:iCs/>
          <w:lang w:val="en-US"/>
        </w:rPr>
        <w:t>supra</w:t>
      </w:r>
      <w:r w:rsidRPr="000E72A3">
        <w:rPr>
          <w:rFonts w:ascii="Arial" w:hAnsi="Arial" w:cs="Arial"/>
          <w:lang w:val="en-US"/>
        </w:rPr>
        <w:t>, § 70.</w:t>
      </w:r>
    </w:p>
  </w:footnote>
  <w:footnote w:id="16">
    <w:p w14:paraId="31AE7F9D" w14:textId="036CAE89" w:rsidR="00DC47C3" w:rsidRPr="000E72A3" w:rsidRDefault="00DC47C3">
      <w:pPr>
        <w:pStyle w:val="FootnoteText"/>
        <w:jc w:val="both"/>
        <w:rPr>
          <w:rFonts w:ascii="Arial" w:hAnsi="Arial" w:cs="Arial"/>
          <w:lang w:val="en-US"/>
        </w:rPr>
      </w:pPr>
      <w:r w:rsidRPr="000E72A3">
        <w:rPr>
          <w:rStyle w:val="FootnoteReference"/>
          <w:rFonts w:ascii="Arial" w:hAnsi="Arial" w:cs="Arial"/>
          <w:lang w:val="fr"/>
        </w:rPr>
        <w:footnoteRef/>
      </w:r>
      <w:r w:rsidRPr="000E72A3">
        <w:rPr>
          <w:rFonts w:ascii="Arial" w:hAnsi="Arial" w:cs="Arial"/>
          <w:lang w:val="en-US"/>
        </w:rPr>
        <w:t xml:space="preserve"> </w:t>
      </w:r>
      <w:r w:rsidRPr="000E72A3">
        <w:rPr>
          <w:rFonts w:ascii="Arial" w:hAnsi="Arial" w:cs="Arial"/>
          <w:i/>
          <w:lang w:val="en-US"/>
        </w:rPr>
        <w:t>J</w:t>
      </w:r>
      <w:r w:rsidRPr="000E72A3">
        <w:rPr>
          <w:rFonts w:ascii="Arial" w:hAnsi="Arial" w:cs="Arial"/>
          <w:i/>
          <w:iCs/>
          <w:lang w:val="en-US"/>
        </w:rPr>
        <w:t>osiah v. Tanzania, supra</w:t>
      </w:r>
      <w:r w:rsidRPr="000E72A3">
        <w:rPr>
          <w:rFonts w:ascii="Arial" w:hAnsi="Arial" w:cs="Arial"/>
          <w:lang w:val="en-US"/>
        </w:rPr>
        <w:t>, § 73.</w:t>
      </w:r>
    </w:p>
  </w:footnote>
  <w:footnote w:id="17">
    <w:p w14:paraId="669D1407" w14:textId="25355CB5" w:rsidR="00DC47C3" w:rsidRPr="000E72A3" w:rsidRDefault="00DC47C3">
      <w:pPr>
        <w:pStyle w:val="FootnoteText"/>
        <w:jc w:val="both"/>
        <w:rPr>
          <w:rFonts w:ascii="Arial" w:hAnsi="Arial" w:cs="Arial"/>
          <w:lang w:val="en-US"/>
        </w:rPr>
      </w:pPr>
      <w:r w:rsidRPr="000E72A3">
        <w:rPr>
          <w:rStyle w:val="FootnoteReference"/>
          <w:rFonts w:ascii="Arial" w:hAnsi="Arial" w:cs="Arial"/>
        </w:rPr>
        <w:footnoteRef/>
      </w:r>
      <w:r w:rsidRPr="000E72A3">
        <w:rPr>
          <w:rFonts w:ascii="Arial" w:hAnsi="Arial" w:cs="Arial"/>
          <w:lang w:val="en-US"/>
        </w:rPr>
        <w:t xml:space="preserve"> </w:t>
      </w:r>
      <w:r w:rsidRPr="000E72A3">
        <w:rPr>
          <w:rFonts w:ascii="Arial" w:hAnsi="Arial" w:cs="Arial"/>
        </w:rPr>
        <w:t>The Respondent State became a State Party to the ICCPR on 11 June 1976.</w:t>
      </w:r>
    </w:p>
  </w:footnote>
  <w:footnote w:id="18">
    <w:p w14:paraId="06D4DBA6" w14:textId="65C6A24C"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rPr>
        <w:t xml:space="preserve">Alex </w:t>
      </w:r>
      <w:r w:rsidRPr="000E72A3">
        <w:rPr>
          <w:rFonts w:ascii="Arial" w:hAnsi="Arial" w:cs="Arial"/>
          <w:i/>
          <w:iCs/>
        </w:rPr>
        <w:t>Thomas v. United-Republic of Tanzania</w:t>
      </w:r>
      <w:r w:rsidRPr="000E72A3">
        <w:rPr>
          <w:rFonts w:ascii="Arial" w:hAnsi="Arial" w:cs="Arial"/>
        </w:rPr>
        <w:t xml:space="preserve"> (merits), § 114; </w:t>
      </w:r>
      <w:r w:rsidRPr="000E72A3">
        <w:rPr>
          <w:rFonts w:ascii="Arial" w:hAnsi="Arial" w:cs="Arial"/>
          <w:i/>
          <w:iCs/>
        </w:rPr>
        <w:t>Kijiji Isiaga v United Republic of Tanzania</w:t>
      </w:r>
      <w:r w:rsidRPr="000E72A3">
        <w:rPr>
          <w:rFonts w:ascii="Arial" w:hAnsi="Arial" w:cs="Arial"/>
        </w:rPr>
        <w:t xml:space="preserve"> (merits) (21 March 2018) 2 AfCLR 226, § 78; </w:t>
      </w:r>
      <w:r w:rsidRPr="000E72A3">
        <w:rPr>
          <w:rFonts w:ascii="Arial" w:hAnsi="Arial" w:cs="Arial"/>
          <w:i/>
          <w:iCs/>
        </w:rPr>
        <w:t>Kennedy Owino Onyachi and Another v. United Republic of Tanzania</w:t>
      </w:r>
      <w:r w:rsidRPr="000E72A3">
        <w:rPr>
          <w:rFonts w:ascii="Arial" w:hAnsi="Arial" w:cs="Arial"/>
        </w:rPr>
        <w:t xml:space="preserve"> (merits) (28 September 2017) 2 AfCLR 65, § 104.</w:t>
      </w:r>
    </w:p>
  </w:footnote>
  <w:footnote w:id="19">
    <w:p w14:paraId="47F995DC" w14:textId="31D6D81C"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i/>
          <w:iCs/>
        </w:rPr>
        <w:t xml:space="preserve"> Thomas v. Tanzania</w:t>
      </w:r>
      <w:r w:rsidRPr="000E72A3">
        <w:rPr>
          <w:rFonts w:ascii="Arial" w:hAnsi="Arial" w:cs="Arial"/>
        </w:rPr>
        <w:t xml:space="preserve">, </w:t>
      </w:r>
      <w:r w:rsidRPr="000E72A3">
        <w:rPr>
          <w:rFonts w:ascii="Arial" w:hAnsi="Arial" w:cs="Arial"/>
          <w:i/>
          <w:iCs/>
        </w:rPr>
        <w:t>supra</w:t>
      </w:r>
      <w:r w:rsidRPr="000E72A3">
        <w:rPr>
          <w:rFonts w:ascii="Arial" w:hAnsi="Arial" w:cs="Arial"/>
        </w:rPr>
        <w:t xml:space="preserve">, § 123; </w:t>
      </w:r>
      <w:r w:rsidRPr="000E72A3">
        <w:rPr>
          <w:rFonts w:ascii="Arial" w:hAnsi="Arial" w:cs="Arial"/>
          <w:i/>
          <w:iCs/>
        </w:rPr>
        <w:t>Isiaga v. Tanzania</w:t>
      </w:r>
      <w:r w:rsidRPr="000E72A3">
        <w:rPr>
          <w:rFonts w:ascii="Arial" w:hAnsi="Arial" w:cs="Arial"/>
        </w:rPr>
        <w:t xml:space="preserve">, </w:t>
      </w:r>
      <w:r w:rsidRPr="000E72A3">
        <w:rPr>
          <w:rFonts w:ascii="Arial" w:hAnsi="Arial" w:cs="Arial"/>
          <w:i/>
          <w:iCs/>
        </w:rPr>
        <w:t>supra</w:t>
      </w:r>
      <w:r w:rsidRPr="000E72A3">
        <w:rPr>
          <w:rFonts w:ascii="Arial" w:hAnsi="Arial" w:cs="Arial"/>
        </w:rPr>
        <w:t xml:space="preserve">, § 78; </w:t>
      </w:r>
      <w:r w:rsidRPr="000E72A3">
        <w:rPr>
          <w:rFonts w:ascii="Arial" w:hAnsi="Arial" w:cs="Arial"/>
          <w:i/>
          <w:iCs/>
        </w:rPr>
        <w:t>Onyachi and Another v. Tanzania, supra,</w:t>
      </w:r>
      <w:r w:rsidRPr="000E72A3">
        <w:rPr>
          <w:rFonts w:ascii="Arial" w:hAnsi="Arial" w:cs="Arial"/>
        </w:rPr>
        <w:t xml:space="preserve"> §§ 104 and 106.</w:t>
      </w:r>
    </w:p>
  </w:footnote>
  <w:footnote w:id="20">
    <w:p w14:paraId="003DD447" w14:textId="08F58682" w:rsidR="00DC47C3" w:rsidRPr="000E72A3" w:rsidRDefault="00DC47C3" w:rsidP="00A33000">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Stephen John Rutakikirwa v. United Republic of Tanzania</w:t>
      </w:r>
      <w:r w:rsidRPr="000E72A3">
        <w:rPr>
          <w:rFonts w:ascii="Arial" w:hAnsi="Arial" w:cs="Arial"/>
        </w:rPr>
        <w:t xml:space="preserve">, ACtHPR, Application No. 013/2016, Judgment of 24 March 2022 (merits and remedies), § 70; </w:t>
      </w:r>
      <w:r w:rsidRPr="000E72A3">
        <w:rPr>
          <w:rFonts w:ascii="Arial" w:hAnsi="Arial" w:cs="Arial"/>
          <w:i/>
          <w:iCs/>
        </w:rPr>
        <w:t>Thomas v. Tanzania</w:t>
      </w:r>
      <w:r w:rsidRPr="000E72A3">
        <w:rPr>
          <w:rFonts w:ascii="Arial" w:hAnsi="Arial" w:cs="Arial"/>
        </w:rPr>
        <w:t xml:space="preserve">, </w:t>
      </w:r>
      <w:r w:rsidRPr="000E72A3">
        <w:rPr>
          <w:rFonts w:ascii="Arial" w:hAnsi="Arial" w:cs="Arial"/>
          <w:i/>
          <w:iCs/>
        </w:rPr>
        <w:t>supra</w:t>
      </w:r>
      <w:r w:rsidRPr="000E72A3">
        <w:rPr>
          <w:rFonts w:ascii="Arial" w:hAnsi="Arial" w:cs="Arial"/>
        </w:rPr>
        <w:t xml:space="preserve">, § 123; </w:t>
      </w:r>
      <w:r w:rsidRPr="000E72A3">
        <w:rPr>
          <w:rFonts w:ascii="Arial" w:hAnsi="Arial" w:cs="Arial"/>
          <w:i/>
          <w:iCs/>
        </w:rPr>
        <w:t>Isiaga v. Tanzania</w:t>
      </w:r>
      <w:r w:rsidRPr="000E72A3">
        <w:rPr>
          <w:rFonts w:ascii="Arial" w:hAnsi="Arial" w:cs="Arial"/>
        </w:rPr>
        <w:t xml:space="preserve">, </w:t>
      </w:r>
      <w:r w:rsidRPr="000E72A3">
        <w:rPr>
          <w:rFonts w:ascii="Arial" w:hAnsi="Arial" w:cs="Arial"/>
          <w:i/>
          <w:iCs/>
        </w:rPr>
        <w:t>supra</w:t>
      </w:r>
      <w:r w:rsidRPr="000E72A3">
        <w:rPr>
          <w:rFonts w:ascii="Arial" w:hAnsi="Arial" w:cs="Arial"/>
        </w:rPr>
        <w:t xml:space="preserve">, § 78; </w:t>
      </w:r>
      <w:r w:rsidRPr="000E72A3">
        <w:rPr>
          <w:rFonts w:ascii="Arial" w:hAnsi="Arial" w:cs="Arial"/>
          <w:i/>
          <w:iCs/>
        </w:rPr>
        <w:t>Onyachi and Another v. Tanzania, supra</w:t>
      </w:r>
      <w:r w:rsidRPr="000E72A3">
        <w:rPr>
          <w:rFonts w:ascii="Arial" w:hAnsi="Arial" w:cs="Arial"/>
        </w:rPr>
        <w:t xml:space="preserve">, § 111. </w:t>
      </w:r>
    </w:p>
    <w:p w14:paraId="44BE2520" w14:textId="6802BA21" w:rsidR="00DC47C3" w:rsidRPr="000E72A3" w:rsidRDefault="00DC47C3">
      <w:pPr>
        <w:pStyle w:val="FootnoteText"/>
        <w:jc w:val="both"/>
        <w:rPr>
          <w:rFonts w:ascii="Arial" w:hAnsi="Arial" w:cs="Arial"/>
        </w:rPr>
      </w:pPr>
    </w:p>
  </w:footnote>
  <w:footnote w:id="21">
    <w:p w14:paraId="41C6282D" w14:textId="2BDF5071" w:rsidR="00DC47C3" w:rsidRPr="000E72A3" w:rsidRDefault="00DC47C3" w:rsidP="00AF20C4">
      <w:pPr>
        <w:pStyle w:val="FootnoteText"/>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Marthine Christian Msuguri v. United Republic of Tanzania</w:t>
      </w:r>
      <w:r w:rsidRPr="000E72A3">
        <w:rPr>
          <w:rFonts w:ascii="Arial" w:hAnsi="Arial" w:cs="Arial"/>
        </w:rPr>
        <w:t>, ACtHPR, Application No. 052/2016, Judgment of 1 December 2022 (merits and reparations), § 120</w:t>
      </w:r>
    </w:p>
  </w:footnote>
  <w:footnote w:id="22">
    <w:p w14:paraId="27645D13" w14:textId="5EC6BD6A" w:rsidR="00DC47C3" w:rsidRPr="000E72A3" w:rsidRDefault="00DC47C3" w:rsidP="00C52420">
      <w:pPr>
        <w:pStyle w:val="FootnoteText"/>
        <w:rPr>
          <w:rFonts w:ascii="Arial" w:hAnsi="Arial" w:cs="Arial"/>
        </w:rPr>
      </w:pPr>
      <w:r w:rsidRPr="000E72A3">
        <w:rPr>
          <w:rStyle w:val="FootnoteReference"/>
          <w:rFonts w:ascii="Arial" w:hAnsi="Arial" w:cs="Arial"/>
        </w:rPr>
        <w:footnoteRef/>
      </w:r>
      <w:r w:rsidRPr="000E72A3">
        <w:rPr>
          <w:rFonts w:ascii="Arial" w:hAnsi="Arial" w:cs="Arial"/>
        </w:rPr>
        <w:t>.</w:t>
      </w:r>
      <w:r w:rsidRPr="000E72A3">
        <w:rPr>
          <w:rFonts w:ascii="Arial" w:hAnsi="Arial" w:cs="Arial"/>
          <w:i/>
        </w:rPr>
        <w:t xml:space="preserve"> Kennedy Gihana and Others v. Rwanda </w:t>
      </w:r>
      <w:r w:rsidRPr="000E72A3">
        <w:rPr>
          <w:rFonts w:ascii="Arial" w:hAnsi="Arial" w:cs="Arial"/>
          <w:iCs/>
        </w:rPr>
        <w:t>(merits and reparations) (28 November 2019) 3 AfCLR 655, § 139</w:t>
      </w:r>
      <w:r w:rsidRPr="000E72A3">
        <w:rPr>
          <w:rFonts w:ascii="Arial" w:hAnsi="Arial" w:cs="Arial"/>
          <w:i/>
        </w:rPr>
        <w:t xml:space="preserve">; see also Reverend Christopher R. Mtikila v. United Republic of Tanzania </w:t>
      </w:r>
      <w:r w:rsidRPr="000E72A3">
        <w:rPr>
          <w:rFonts w:ascii="Arial" w:hAnsi="Arial" w:cs="Arial"/>
          <w:iCs/>
        </w:rPr>
        <w:t>(reparations) (13 June 2014) 1 AfCLR 72, § 40</w:t>
      </w:r>
      <w:r w:rsidRPr="000E72A3">
        <w:rPr>
          <w:rFonts w:ascii="Arial" w:hAnsi="Arial" w:cs="Arial"/>
          <w:i/>
        </w:rPr>
        <w:t xml:space="preserve">; Lohé Issa Konaté v. Burkina Faso </w:t>
      </w:r>
      <w:r w:rsidRPr="000E72A3">
        <w:rPr>
          <w:rFonts w:ascii="Arial" w:hAnsi="Arial" w:cs="Arial"/>
          <w:iCs/>
        </w:rPr>
        <w:t>(reparations) (3 June 2016) 1 AfCLR 346, § 15(d)</w:t>
      </w:r>
      <w:r w:rsidRPr="000E72A3">
        <w:rPr>
          <w:rFonts w:ascii="Arial" w:hAnsi="Arial" w:cs="Arial"/>
          <w:i/>
        </w:rPr>
        <w:t xml:space="preserve"> </w:t>
      </w:r>
      <w:r w:rsidRPr="000E72A3">
        <w:rPr>
          <w:rFonts w:ascii="Arial" w:hAnsi="Arial" w:cs="Arial"/>
          <w:iCs/>
        </w:rPr>
        <w:t>and</w:t>
      </w:r>
      <w:r w:rsidRPr="000E72A3">
        <w:rPr>
          <w:rFonts w:ascii="Arial" w:hAnsi="Arial" w:cs="Arial"/>
          <w:i/>
        </w:rPr>
        <w:t xml:space="preserve"> Elisamehe v. Tanzania</w:t>
      </w:r>
      <w:r w:rsidRPr="000E72A3">
        <w:rPr>
          <w:rFonts w:ascii="Arial" w:hAnsi="Arial" w:cs="Arial"/>
        </w:rPr>
        <w:t>,</w:t>
      </w:r>
      <w:r w:rsidRPr="000E72A3">
        <w:rPr>
          <w:rFonts w:ascii="Arial" w:hAnsi="Arial" w:cs="Arial"/>
          <w:i/>
        </w:rPr>
        <w:t xml:space="preserve"> supra, § 97.</w:t>
      </w:r>
    </w:p>
  </w:footnote>
  <w:footnote w:id="23">
    <w:p w14:paraId="39F01B11" w14:textId="6658FE7C" w:rsidR="00DC47C3" w:rsidRPr="000E72A3" w:rsidRDefault="00DC47C3" w:rsidP="00C52420">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Norbert Zongo and Others v. Burkina Faso</w:t>
      </w:r>
      <w:r w:rsidRPr="000E72A3">
        <w:rPr>
          <w:rFonts w:ascii="Arial" w:hAnsi="Arial" w:cs="Arial"/>
        </w:rPr>
        <w:t xml:space="preserve"> (reparations) (5 June 2015) 1 AfCLR 258, § 55; see also </w:t>
      </w:r>
      <w:r w:rsidRPr="000E72A3">
        <w:rPr>
          <w:rFonts w:ascii="Arial" w:hAnsi="Arial" w:cs="Arial"/>
          <w:i/>
          <w:iCs/>
        </w:rPr>
        <w:t>Elisamehe v. Tanzania, supra</w:t>
      </w:r>
      <w:r w:rsidRPr="000E72A3">
        <w:rPr>
          <w:rFonts w:ascii="Arial" w:hAnsi="Arial" w:cs="Arial"/>
        </w:rPr>
        <w:t>, § 97.</w:t>
      </w:r>
    </w:p>
  </w:footnote>
  <w:footnote w:id="24">
    <w:p w14:paraId="28B8E8DA" w14:textId="6A4F10B2" w:rsidR="00DC47C3" w:rsidRPr="000E72A3" w:rsidRDefault="00DC47C3" w:rsidP="00C52420">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Ally Rajabu and Others v. United Republic of Tanzania</w:t>
      </w:r>
      <w:r w:rsidRPr="000E72A3">
        <w:rPr>
          <w:rFonts w:ascii="Arial" w:hAnsi="Arial" w:cs="Arial"/>
        </w:rPr>
        <w:t xml:space="preserve"> (merits and reparations) (28 November 2019) 3 AfCLR 539, § 136; </w:t>
      </w:r>
      <w:r w:rsidRPr="000E72A3">
        <w:rPr>
          <w:rFonts w:ascii="Arial" w:hAnsi="Arial" w:cs="Arial"/>
          <w:i/>
          <w:iCs/>
        </w:rPr>
        <w:t>Armand Guehi v. United Republic of Tanzania supra</w:t>
      </w:r>
      <w:r w:rsidRPr="000E72A3">
        <w:rPr>
          <w:rFonts w:ascii="Arial" w:hAnsi="Arial" w:cs="Arial"/>
        </w:rPr>
        <w:t xml:space="preserve">, § 55; </w:t>
      </w:r>
      <w:r w:rsidRPr="000E72A3">
        <w:rPr>
          <w:rFonts w:ascii="Arial" w:hAnsi="Arial" w:cs="Arial"/>
          <w:i/>
          <w:iCs/>
        </w:rPr>
        <w:t>Lucien Ikili Rashidi v. Tanzania supra</w:t>
      </w:r>
      <w:r w:rsidRPr="000E72A3">
        <w:rPr>
          <w:rFonts w:ascii="Arial" w:hAnsi="Arial" w:cs="Arial"/>
        </w:rPr>
        <w:t xml:space="preserve">, § 119; </w:t>
      </w:r>
      <w:r w:rsidRPr="000E72A3">
        <w:rPr>
          <w:rFonts w:ascii="Arial" w:hAnsi="Arial" w:cs="Arial"/>
          <w:i/>
          <w:iCs/>
        </w:rPr>
        <w:t>Zongo and Others v. Burkina Faso</w:t>
      </w:r>
      <w:r w:rsidRPr="000E72A3">
        <w:rPr>
          <w:rFonts w:ascii="Arial" w:hAnsi="Arial" w:cs="Arial"/>
        </w:rPr>
        <w:t xml:space="preserve"> (reparations) </w:t>
      </w:r>
      <w:r w:rsidRPr="000E72A3">
        <w:rPr>
          <w:rFonts w:ascii="Arial" w:hAnsi="Arial" w:cs="Arial"/>
          <w:i/>
          <w:iCs/>
        </w:rPr>
        <w:t>supra</w:t>
      </w:r>
      <w:r w:rsidRPr="000E72A3">
        <w:rPr>
          <w:rFonts w:ascii="Arial" w:hAnsi="Arial" w:cs="Arial"/>
        </w:rPr>
        <w:t xml:space="preserve">, § 55 and </w:t>
      </w:r>
      <w:r w:rsidRPr="000E72A3">
        <w:rPr>
          <w:rFonts w:ascii="Arial" w:hAnsi="Arial" w:cs="Arial"/>
          <w:i/>
          <w:iCs/>
        </w:rPr>
        <w:t>Elisamehe v. Tanzania</w:t>
      </w:r>
      <w:r w:rsidRPr="000E72A3">
        <w:rPr>
          <w:rFonts w:ascii="Arial" w:hAnsi="Arial" w:cs="Arial"/>
          <w:iCs/>
        </w:rPr>
        <w:t>,</w:t>
      </w:r>
      <w:r w:rsidRPr="000E72A3">
        <w:rPr>
          <w:rFonts w:ascii="Arial" w:hAnsi="Arial" w:cs="Arial"/>
          <w:i/>
          <w:iCs/>
        </w:rPr>
        <w:t xml:space="preserve"> supra</w:t>
      </w:r>
      <w:r w:rsidRPr="000E72A3">
        <w:rPr>
          <w:rFonts w:ascii="Arial" w:hAnsi="Arial" w:cs="Arial"/>
        </w:rPr>
        <w:t>, § 97.</w:t>
      </w:r>
    </w:p>
  </w:footnote>
  <w:footnote w:id="25">
    <w:p w14:paraId="038EBD4A" w14:textId="2876FD6E" w:rsidR="00DC47C3" w:rsidRPr="000E72A3" w:rsidRDefault="00DC47C3" w:rsidP="00A33000">
      <w:pPr>
        <w:pStyle w:val="FootnoteText"/>
        <w:jc w:val="both"/>
        <w:rPr>
          <w:rFonts w:ascii="Arial" w:hAnsi="Arial" w:cs="Arial"/>
          <w:b/>
          <w:bCs/>
        </w:rPr>
      </w:pPr>
      <w:r w:rsidRPr="000E72A3">
        <w:rPr>
          <w:rStyle w:val="FootnoteReference"/>
          <w:rFonts w:ascii="Arial" w:hAnsi="Arial" w:cs="Arial"/>
        </w:rPr>
        <w:footnoteRef/>
      </w:r>
      <w:r w:rsidRPr="000E72A3">
        <w:rPr>
          <w:rFonts w:ascii="Arial" w:hAnsi="Arial" w:cs="Arial"/>
          <w:i/>
        </w:rPr>
        <w:t xml:space="preserve"> Ingabire Victoire Umuhoza v. Republic of Rwanda </w:t>
      </w:r>
      <w:r w:rsidRPr="000E72A3">
        <w:rPr>
          <w:rFonts w:ascii="Arial" w:hAnsi="Arial" w:cs="Arial"/>
          <w:iCs/>
        </w:rPr>
        <w:t xml:space="preserve">(reparations) (7 December 2018) 2 </w:t>
      </w:r>
      <w:r w:rsidRPr="000E72A3">
        <w:rPr>
          <w:rFonts w:ascii="Arial" w:hAnsi="Arial" w:cs="Arial"/>
        </w:rPr>
        <w:t xml:space="preserve">AfCLR </w:t>
      </w:r>
      <w:r w:rsidRPr="000E72A3">
        <w:rPr>
          <w:rFonts w:ascii="Arial" w:hAnsi="Arial" w:cs="Arial"/>
          <w:iCs/>
        </w:rPr>
        <w:t>202, § 20;</w:t>
      </w:r>
      <w:r w:rsidRPr="000E72A3">
        <w:rPr>
          <w:rFonts w:ascii="Arial" w:hAnsi="Arial" w:cs="Arial"/>
          <w:i/>
        </w:rPr>
        <w:t xml:space="preserve"> Elisamehe v. Tanzania, supra, § 96.</w:t>
      </w:r>
    </w:p>
    <w:p w14:paraId="464FB825" w14:textId="070FEA2F" w:rsidR="00DC47C3" w:rsidRPr="000E72A3" w:rsidRDefault="00DC47C3">
      <w:pPr>
        <w:pStyle w:val="FootnoteText"/>
        <w:jc w:val="both"/>
        <w:rPr>
          <w:rFonts w:ascii="Arial" w:hAnsi="Arial" w:cs="Arial"/>
        </w:rPr>
      </w:pPr>
    </w:p>
  </w:footnote>
  <w:footnote w:id="26">
    <w:p w14:paraId="428D6CEA" w14:textId="350BB284" w:rsidR="00DC47C3" w:rsidRPr="000E72A3" w:rsidRDefault="00DC47C3" w:rsidP="00024A5E">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w:t>
      </w:r>
      <w:r w:rsidRPr="000E72A3">
        <w:rPr>
          <w:rFonts w:ascii="Arial" w:hAnsi="Arial" w:cs="Arial"/>
          <w:i/>
          <w:iCs/>
        </w:rPr>
        <w:t>Stephen John Rutakikirwa v. United Republic of Tanzania</w:t>
      </w:r>
      <w:r w:rsidRPr="000E72A3">
        <w:rPr>
          <w:rFonts w:ascii="Arial" w:hAnsi="Arial" w:cs="Arial"/>
        </w:rPr>
        <w:t xml:space="preserve">, ACtHPR, Application No. 013/2016, Judgment of 24 March 2022 (merits and reparations), § 85; </w:t>
      </w:r>
      <w:r w:rsidRPr="000E72A3">
        <w:rPr>
          <w:rFonts w:ascii="Arial" w:hAnsi="Arial" w:cs="Arial"/>
          <w:i/>
          <w:iCs/>
        </w:rPr>
        <w:t>Anaclet Paulo v. United Republic of Tanzania</w:t>
      </w:r>
      <w:r w:rsidRPr="000E72A3">
        <w:rPr>
          <w:rFonts w:ascii="Arial" w:hAnsi="Arial" w:cs="Arial"/>
        </w:rPr>
        <w:t xml:space="preserve"> (merits) (21 September 2018) 2 AfCLR 446, § 107; </w:t>
      </w:r>
      <w:r w:rsidRPr="000E72A3">
        <w:rPr>
          <w:rFonts w:ascii="Arial" w:hAnsi="Arial" w:cs="Arial"/>
          <w:i/>
          <w:iCs/>
        </w:rPr>
        <w:t>Minani Evarist v. Tanzania</w:t>
      </w:r>
      <w:r w:rsidRPr="000E72A3">
        <w:rPr>
          <w:rFonts w:ascii="Arial" w:hAnsi="Arial" w:cs="Arial"/>
        </w:rPr>
        <w:t xml:space="preserve"> (merits and reparations) (28 November 2018) 2 AfCLR 402, § 85.</w:t>
      </w:r>
    </w:p>
    <w:p w14:paraId="654802D8" w14:textId="0897C3B3" w:rsidR="00DC47C3" w:rsidRPr="000E72A3" w:rsidRDefault="00DC47C3">
      <w:pPr>
        <w:pStyle w:val="FootnoteText"/>
        <w:jc w:val="both"/>
        <w:rPr>
          <w:rFonts w:ascii="Arial" w:hAnsi="Arial" w:cs="Arial"/>
        </w:rPr>
      </w:pPr>
    </w:p>
  </w:footnote>
  <w:footnote w:id="27">
    <w:p w14:paraId="37961F51" w14:textId="3681BE2F"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i/>
          <w:iCs/>
        </w:rPr>
        <w:t>Thomas v. Tanzania, supra</w:t>
      </w:r>
      <w:r w:rsidRPr="000E72A3">
        <w:rPr>
          <w:rFonts w:ascii="Arial" w:hAnsi="Arial" w:cs="Arial"/>
        </w:rPr>
        <w:t xml:space="preserve">, § 157; </w:t>
      </w:r>
      <w:r w:rsidRPr="000E72A3">
        <w:rPr>
          <w:rFonts w:ascii="Arial" w:hAnsi="Arial" w:cs="Arial"/>
          <w:i/>
          <w:iCs/>
        </w:rPr>
        <w:t>Makungu v. Tanzania, supra</w:t>
      </w:r>
      <w:r w:rsidRPr="000E72A3">
        <w:rPr>
          <w:rFonts w:ascii="Arial" w:hAnsi="Arial" w:cs="Arial"/>
        </w:rPr>
        <w:t xml:space="preserve">, § 84; </w:t>
      </w:r>
      <w:r w:rsidRPr="000E72A3">
        <w:rPr>
          <w:rFonts w:ascii="Arial" w:hAnsi="Arial" w:cs="Arial"/>
          <w:i/>
          <w:iCs/>
        </w:rPr>
        <w:t>Isiaga v. Tanzania, supra</w:t>
      </w:r>
      <w:r w:rsidRPr="000E72A3">
        <w:rPr>
          <w:rFonts w:ascii="Arial" w:hAnsi="Arial" w:cs="Arial"/>
        </w:rPr>
        <w:t xml:space="preserve">, § 96, </w:t>
      </w:r>
      <w:r w:rsidRPr="000E72A3">
        <w:rPr>
          <w:rFonts w:ascii="Arial" w:hAnsi="Arial" w:cs="Arial"/>
          <w:i/>
          <w:iCs/>
        </w:rPr>
        <w:t>Guéhi v. Tanzania, supra</w:t>
      </w:r>
      <w:r w:rsidRPr="000E72A3">
        <w:rPr>
          <w:rFonts w:ascii="Arial" w:hAnsi="Arial" w:cs="Arial"/>
        </w:rPr>
        <w:t>, § 164.</w:t>
      </w:r>
    </w:p>
  </w:footnote>
  <w:footnote w:id="28">
    <w:p w14:paraId="68BF5D22" w14:textId="405B34D6" w:rsidR="00DC47C3" w:rsidRPr="000E72A3" w:rsidRDefault="00DC47C3">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i/>
          <w:iCs/>
        </w:rPr>
        <w:t>Jibu Amir a.k.a. Mussa and Said Ally a.k.a. Mangaya v. United Republic of Tanzania</w:t>
      </w:r>
      <w:r w:rsidRPr="000E72A3">
        <w:rPr>
          <w:rFonts w:ascii="Arial" w:hAnsi="Arial" w:cs="Arial"/>
        </w:rPr>
        <w:t xml:space="preserve"> (merits and reparations) (28 November 2019) 3 AfCLR 629, § 97; </w:t>
      </w:r>
      <w:r w:rsidRPr="000E72A3">
        <w:rPr>
          <w:rFonts w:ascii="Arial" w:hAnsi="Arial" w:cs="Arial"/>
          <w:i/>
          <w:iCs/>
        </w:rPr>
        <w:t>Elisamehe v. Tanzania, supra</w:t>
      </w:r>
      <w:r w:rsidRPr="000E72A3">
        <w:rPr>
          <w:rFonts w:ascii="Arial" w:hAnsi="Arial" w:cs="Arial"/>
        </w:rPr>
        <w:t xml:space="preserve">, § 112; and </w:t>
      </w:r>
      <w:r w:rsidRPr="000E72A3">
        <w:rPr>
          <w:rFonts w:ascii="Arial" w:hAnsi="Arial" w:cs="Arial"/>
          <w:i/>
          <w:iCs/>
        </w:rPr>
        <w:t>Evarist v. Tanzania, supra</w:t>
      </w:r>
      <w:r w:rsidRPr="000E72A3">
        <w:rPr>
          <w:rFonts w:ascii="Arial" w:hAnsi="Arial" w:cs="Arial"/>
        </w:rPr>
        <w:t>, § 82.</w:t>
      </w:r>
    </w:p>
  </w:footnote>
  <w:footnote w:id="29">
    <w:p w14:paraId="1F1B7CCE" w14:textId="1232B14B" w:rsidR="00DC47C3" w:rsidRPr="000E72A3" w:rsidRDefault="00DC47C3" w:rsidP="00A33000">
      <w:pPr>
        <w:pStyle w:val="FootnoteText"/>
        <w:jc w:val="both"/>
        <w:rPr>
          <w:rFonts w:ascii="Arial" w:hAnsi="Arial" w:cs="Arial"/>
        </w:rPr>
      </w:pPr>
      <w:r w:rsidRPr="000E72A3">
        <w:rPr>
          <w:rStyle w:val="FootnoteReference"/>
          <w:rFonts w:ascii="Arial" w:hAnsi="Arial" w:cs="Arial"/>
        </w:rPr>
        <w:footnoteRef/>
      </w:r>
      <w:r w:rsidRPr="000E72A3">
        <w:rPr>
          <w:rFonts w:ascii="Arial" w:hAnsi="Arial" w:cs="Arial"/>
        </w:rPr>
        <w:t xml:space="preserve"> Rule 30 of the Rules of 2 June 2010.</w:t>
      </w:r>
    </w:p>
    <w:p w14:paraId="5DA7A00F" w14:textId="76639C7E" w:rsidR="00DC47C3" w:rsidRPr="000E72A3" w:rsidRDefault="00DC47C3">
      <w:pPr>
        <w:pStyle w:val="FootnoteText"/>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8B7"/>
    <w:multiLevelType w:val="hybridMultilevel"/>
    <w:tmpl w:val="B44424BE"/>
    <w:lvl w:ilvl="0" w:tplc="E7426FDA">
      <w:start w:val="1"/>
      <w:numFmt w:val="lowerRoman"/>
      <w:lvlText w:val="%1."/>
      <w:lvlJc w:val="left"/>
      <w:pPr>
        <w:ind w:left="1627" w:hanging="360"/>
      </w:pPr>
      <w:rPr>
        <w:rFonts w:hint="default"/>
        <w:b w:val="0"/>
        <w:bCs/>
      </w:r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1" w15:restartNumberingAfterBreak="0">
    <w:nsid w:val="030E5364"/>
    <w:multiLevelType w:val="hybridMultilevel"/>
    <w:tmpl w:val="25082996"/>
    <w:lvl w:ilvl="0" w:tplc="21FADAE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1E1270"/>
    <w:multiLevelType w:val="hybridMultilevel"/>
    <w:tmpl w:val="9C34FDC0"/>
    <w:lvl w:ilvl="0" w:tplc="8A901F12">
      <w:start w:val="1"/>
      <w:numFmt w:val="upperLetter"/>
      <w:lvlText w:val="%1."/>
      <w:lvlJc w:val="left"/>
      <w:pPr>
        <w:ind w:left="16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3" w15:restartNumberingAfterBreak="0">
    <w:nsid w:val="06D4203A"/>
    <w:multiLevelType w:val="hybridMultilevel"/>
    <w:tmpl w:val="014E6308"/>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6E650E1"/>
    <w:multiLevelType w:val="hybridMultilevel"/>
    <w:tmpl w:val="E87A1CA8"/>
    <w:lvl w:ilvl="0" w:tplc="FFFFFFFF">
      <w:start w:val="1"/>
      <w:numFmt w:val="lowerRoman"/>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07712BFB"/>
    <w:multiLevelType w:val="hybridMultilevel"/>
    <w:tmpl w:val="1B001FC6"/>
    <w:lvl w:ilvl="0" w:tplc="3B187448">
      <w:start w:val="1"/>
      <w:numFmt w:val="lowerRoman"/>
      <w:lvlText w:val="%1."/>
      <w:lvlJc w:val="left"/>
      <w:pPr>
        <w:ind w:left="1987" w:hanging="360"/>
      </w:pPr>
      <w:rPr>
        <w:rFonts w:hint="default"/>
      </w:rPr>
    </w:lvl>
    <w:lvl w:ilvl="1" w:tplc="08090019" w:tentative="1">
      <w:start w:val="1"/>
      <w:numFmt w:val="lowerLetter"/>
      <w:lvlText w:val="%2."/>
      <w:lvlJc w:val="left"/>
      <w:pPr>
        <w:ind w:left="2707" w:hanging="360"/>
      </w:p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6" w15:restartNumberingAfterBreak="0">
    <w:nsid w:val="08666437"/>
    <w:multiLevelType w:val="hybridMultilevel"/>
    <w:tmpl w:val="A52E5EA8"/>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44399E"/>
    <w:multiLevelType w:val="hybridMultilevel"/>
    <w:tmpl w:val="9828DDC0"/>
    <w:lvl w:ilvl="0" w:tplc="FFFFFFFF">
      <w:start w:val="1"/>
      <w:numFmt w:val="upperLetter"/>
      <w:lvlText w:val="%1."/>
      <w:lvlJc w:val="left"/>
      <w:pPr>
        <w:ind w:left="16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 w15:restartNumberingAfterBreak="0">
    <w:nsid w:val="138165B2"/>
    <w:multiLevelType w:val="hybridMultilevel"/>
    <w:tmpl w:val="E87A1CA8"/>
    <w:lvl w:ilvl="0" w:tplc="FFFFFFFF">
      <w:start w:val="1"/>
      <w:numFmt w:val="lowerRoman"/>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4C0475F"/>
    <w:multiLevelType w:val="hybridMultilevel"/>
    <w:tmpl w:val="7E3A14F6"/>
    <w:lvl w:ilvl="0" w:tplc="156AD512">
      <w:start w:val="1"/>
      <w:numFmt w:val="upperRoman"/>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67B2B"/>
    <w:multiLevelType w:val="hybridMultilevel"/>
    <w:tmpl w:val="6FE86F74"/>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D60CCC"/>
    <w:multiLevelType w:val="hybridMultilevel"/>
    <w:tmpl w:val="45A2EA12"/>
    <w:lvl w:ilvl="0" w:tplc="21FADAEE">
      <w:start w:val="1"/>
      <w:numFmt w:val="lowerRoman"/>
      <w:lvlText w:val="%1."/>
      <w:lvlJc w:val="left"/>
      <w:pPr>
        <w:ind w:left="1627" w:hanging="360"/>
      </w:pPr>
      <w:rPr>
        <w:rFonts w:hint="default"/>
      </w:r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12" w15:restartNumberingAfterBreak="0">
    <w:nsid w:val="1C8F5C1E"/>
    <w:multiLevelType w:val="hybridMultilevel"/>
    <w:tmpl w:val="7F34722E"/>
    <w:lvl w:ilvl="0" w:tplc="21FADAEE">
      <w:start w:val="1"/>
      <w:numFmt w:val="lowerRoman"/>
      <w:lvlText w:val="%1."/>
      <w:lvlJc w:val="left"/>
      <w:pPr>
        <w:ind w:left="720" w:hanging="360"/>
      </w:pPr>
      <w:rPr>
        <w:rFont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0B2C54"/>
    <w:multiLevelType w:val="hybridMultilevel"/>
    <w:tmpl w:val="A0405652"/>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FD37A6"/>
    <w:multiLevelType w:val="hybridMultilevel"/>
    <w:tmpl w:val="55CAA444"/>
    <w:lvl w:ilvl="0" w:tplc="0409000F">
      <w:start w:val="1"/>
      <w:numFmt w:val="decimal"/>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5" w15:restartNumberingAfterBreak="0">
    <w:nsid w:val="2B7846D5"/>
    <w:multiLevelType w:val="hybridMultilevel"/>
    <w:tmpl w:val="08B45A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70694"/>
    <w:multiLevelType w:val="hybridMultilevel"/>
    <w:tmpl w:val="FABC97A0"/>
    <w:lvl w:ilvl="0" w:tplc="21FADAE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CD6DC4"/>
    <w:multiLevelType w:val="hybridMultilevel"/>
    <w:tmpl w:val="EDC6874C"/>
    <w:lvl w:ilvl="0" w:tplc="FFFFFFFF">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02AD3"/>
    <w:multiLevelType w:val="hybridMultilevel"/>
    <w:tmpl w:val="DFD6BA54"/>
    <w:lvl w:ilvl="0" w:tplc="DA1E2AA4">
      <w:start w:val="1"/>
      <w:numFmt w:val="lowerRoman"/>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4D3ED0"/>
    <w:multiLevelType w:val="hybridMultilevel"/>
    <w:tmpl w:val="7D0E221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A62323"/>
    <w:multiLevelType w:val="hybridMultilevel"/>
    <w:tmpl w:val="61EC0958"/>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5B367C"/>
    <w:multiLevelType w:val="hybridMultilevel"/>
    <w:tmpl w:val="264CAA9C"/>
    <w:lvl w:ilvl="0" w:tplc="9F2E1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D6B40"/>
    <w:multiLevelType w:val="hybridMultilevel"/>
    <w:tmpl w:val="6F4ADA0A"/>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017236"/>
    <w:multiLevelType w:val="hybridMultilevel"/>
    <w:tmpl w:val="989AF20E"/>
    <w:lvl w:ilvl="0" w:tplc="30604A2A">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397A31B0"/>
    <w:multiLevelType w:val="hybridMultilevel"/>
    <w:tmpl w:val="CD942CCE"/>
    <w:lvl w:ilvl="0" w:tplc="2592A606">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26168"/>
    <w:multiLevelType w:val="hybridMultilevel"/>
    <w:tmpl w:val="F606C89E"/>
    <w:lvl w:ilvl="0" w:tplc="5A3E8C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2613AF"/>
    <w:multiLevelType w:val="hybridMultilevel"/>
    <w:tmpl w:val="CBD6498C"/>
    <w:lvl w:ilvl="0" w:tplc="E87EA8D4">
      <w:start w:val="1"/>
      <w:numFmt w:val="lowerLetter"/>
      <w:lvlText w:val="%1."/>
      <w:lvlJc w:val="right"/>
      <w:pPr>
        <w:ind w:left="2347" w:hanging="360"/>
      </w:pPr>
      <w:rPr>
        <w:rFonts w:hint="default"/>
      </w:rPr>
    </w:lvl>
    <w:lvl w:ilvl="1" w:tplc="040C0019" w:tentative="1">
      <w:start w:val="1"/>
      <w:numFmt w:val="lowerLetter"/>
      <w:lvlText w:val="%2."/>
      <w:lvlJc w:val="left"/>
      <w:pPr>
        <w:ind w:left="3067" w:hanging="360"/>
      </w:pPr>
    </w:lvl>
    <w:lvl w:ilvl="2" w:tplc="040C001B" w:tentative="1">
      <w:start w:val="1"/>
      <w:numFmt w:val="lowerRoman"/>
      <w:lvlText w:val="%3."/>
      <w:lvlJc w:val="right"/>
      <w:pPr>
        <w:ind w:left="3787" w:hanging="180"/>
      </w:pPr>
    </w:lvl>
    <w:lvl w:ilvl="3" w:tplc="040C000F" w:tentative="1">
      <w:start w:val="1"/>
      <w:numFmt w:val="decimal"/>
      <w:lvlText w:val="%4."/>
      <w:lvlJc w:val="left"/>
      <w:pPr>
        <w:ind w:left="4507" w:hanging="360"/>
      </w:pPr>
    </w:lvl>
    <w:lvl w:ilvl="4" w:tplc="040C0019" w:tentative="1">
      <w:start w:val="1"/>
      <w:numFmt w:val="lowerLetter"/>
      <w:lvlText w:val="%5."/>
      <w:lvlJc w:val="left"/>
      <w:pPr>
        <w:ind w:left="5227" w:hanging="360"/>
      </w:pPr>
    </w:lvl>
    <w:lvl w:ilvl="5" w:tplc="040C001B" w:tentative="1">
      <w:start w:val="1"/>
      <w:numFmt w:val="lowerRoman"/>
      <w:lvlText w:val="%6."/>
      <w:lvlJc w:val="right"/>
      <w:pPr>
        <w:ind w:left="5947" w:hanging="180"/>
      </w:pPr>
    </w:lvl>
    <w:lvl w:ilvl="6" w:tplc="040C000F" w:tentative="1">
      <w:start w:val="1"/>
      <w:numFmt w:val="decimal"/>
      <w:lvlText w:val="%7."/>
      <w:lvlJc w:val="left"/>
      <w:pPr>
        <w:ind w:left="6667" w:hanging="360"/>
      </w:pPr>
    </w:lvl>
    <w:lvl w:ilvl="7" w:tplc="040C0019" w:tentative="1">
      <w:start w:val="1"/>
      <w:numFmt w:val="lowerLetter"/>
      <w:lvlText w:val="%8."/>
      <w:lvlJc w:val="left"/>
      <w:pPr>
        <w:ind w:left="7387" w:hanging="360"/>
      </w:pPr>
    </w:lvl>
    <w:lvl w:ilvl="8" w:tplc="040C001B" w:tentative="1">
      <w:start w:val="1"/>
      <w:numFmt w:val="lowerRoman"/>
      <w:lvlText w:val="%9."/>
      <w:lvlJc w:val="right"/>
      <w:pPr>
        <w:ind w:left="8107" w:hanging="180"/>
      </w:pPr>
    </w:lvl>
  </w:abstractNum>
  <w:abstractNum w:abstractNumId="27" w15:restartNumberingAfterBreak="0">
    <w:nsid w:val="46C07C02"/>
    <w:multiLevelType w:val="hybridMultilevel"/>
    <w:tmpl w:val="CEE018B4"/>
    <w:lvl w:ilvl="0" w:tplc="21FADAEE">
      <w:start w:val="1"/>
      <w:numFmt w:val="lowerRoman"/>
      <w:lvlText w:val="%1."/>
      <w:lvlJc w:val="left"/>
      <w:pPr>
        <w:ind w:left="1627" w:hanging="360"/>
      </w:pPr>
      <w:rPr>
        <w:rFont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28" w15:restartNumberingAfterBreak="0">
    <w:nsid w:val="47CC182E"/>
    <w:multiLevelType w:val="hybridMultilevel"/>
    <w:tmpl w:val="63D42C8E"/>
    <w:lvl w:ilvl="0" w:tplc="FFFFFFFF">
      <w:start w:val="1"/>
      <w:numFmt w:val="lowerRoman"/>
      <w:lvlText w:val="%1."/>
      <w:lvlJc w:val="left"/>
      <w:pPr>
        <w:ind w:left="1627" w:hanging="360"/>
      </w:pPr>
      <w:rPr>
        <w:rFonts w:hint="default"/>
      </w:r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9" w15:restartNumberingAfterBreak="0">
    <w:nsid w:val="4AF25A39"/>
    <w:multiLevelType w:val="hybridMultilevel"/>
    <w:tmpl w:val="ADB23C86"/>
    <w:lvl w:ilvl="0" w:tplc="8A901F12">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FE76F5"/>
    <w:multiLevelType w:val="hybridMultilevel"/>
    <w:tmpl w:val="B754C1AC"/>
    <w:lvl w:ilvl="0" w:tplc="21FADAEE">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3094522"/>
    <w:multiLevelType w:val="hybridMultilevel"/>
    <w:tmpl w:val="E87A1CA8"/>
    <w:lvl w:ilvl="0" w:tplc="9F2E1D94">
      <w:start w:val="1"/>
      <w:numFmt w:val="lowerRoman"/>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 w15:restartNumberingAfterBreak="0">
    <w:nsid w:val="5BCC5AD5"/>
    <w:multiLevelType w:val="hybridMultilevel"/>
    <w:tmpl w:val="B93E36D4"/>
    <w:lvl w:ilvl="0" w:tplc="040C0017">
      <w:start w:val="1"/>
      <w:numFmt w:val="lowerLetter"/>
      <w:lvlText w:val="%1)"/>
      <w:lvlJc w:val="left"/>
      <w:pPr>
        <w:ind w:left="1660" w:hanging="360"/>
      </w:pPr>
    </w:lvl>
    <w:lvl w:ilvl="1" w:tplc="040C0019" w:tentative="1">
      <w:start w:val="1"/>
      <w:numFmt w:val="lowerLetter"/>
      <w:lvlText w:val="%2."/>
      <w:lvlJc w:val="left"/>
      <w:pPr>
        <w:ind w:left="2380" w:hanging="360"/>
      </w:pPr>
    </w:lvl>
    <w:lvl w:ilvl="2" w:tplc="040C001B" w:tentative="1">
      <w:start w:val="1"/>
      <w:numFmt w:val="lowerRoman"/>
      <w:lvlText w:val="%3."/>
      <w:lvlJc w:val="right"/>
      <w:pPr>
        <w:ind w:left="3100" w:hanging="180"/>
      </w:pPr>
    </w:lvl>
    <w:lvl w:ilvl="3" w:tplc="040C000F" w:tentative="1">
      <w:start w:val="1"/>
      <w:numFmt w:val="decimal"/>
      <w:lvlText w:val="%4."/>
      <w:lvlJc w:val="left"/>
      <w:pPr>
        <w:ind w:left="3820" w:hanging="360"/>
      </w:pPr>
    </w:lvl>
    <w:lvl w:ilvl="4" w:tplc="040C0019" w:tentative="1">
      <w:start w:val="1"/>
      <w:numFmt w:val="lowerLetter"/>
      <w:lvlText w:val="%5."/>
      <w:lvlJc w:val="left"/>
      <w:pPr>
        <w:ind w:left="4540" w:hanging="360"/>
      </w:pPr>
    </w:lvl>
    <w:lvl w:ilvl="5" w:tplc="040C001B" w:tentative="1">
      <w:start w:val="1"/>
      <w:numFmt w:val="lowerRoman"/>
      <w:lvlText w:val="%6."/>
      <w:lvlJc w:val="right"/>
      <w:pPr>
        <w:ind w:left="5260" w:hanging="180"/>
      </w:pPr>
    </w:lvl>
    <w:lvl w:ilvl="6" w:tplc="040C000F" w:tentative="1">
      <w:start w:val="1"/>
      <w:numFmt w:val="decimal"/>
      <w:lvlText w:val="%7."/>
      <w:lvlJc w:val="left"/>
      <w:pPr>
        <w:ind w:left="5980" w:hanging="360"/>
      </w:pPr>
    </w:lvl>
    <w:lvl w:ilvl="7" w:tplc="040C0019" w:tentative="1">
      <w:start w:val="1"/>
      <w:numFmt w:val="lowerLetter"/>
      <w:lvlText w:val="%8."/>
      <w:lvlJc w:val="left"/>
      <w:pPr>
        <w:ind w:left="6700" w:hanging="360"/>
      </w:pPr>
    </w:lvl>
    <w:lvl w:ilvl="8" w:tplc="040C001B" w:tentative="1">
      <w:start w:val="1"/>
      <w:numFmt w:val="lowerRoman"/>
      <w:lvlText w:val="%9."/>
      <w:lvlJc w:val="right"/>
      <w:pPr>
        <w:ind w:left="7420" w:hanging="180"/>
      </w:pPr>
    </w:lvl>
  </w:abstractNum>
  <w:abstractNum w:abstractNumId="33" w15:restartNumberingAfterBreak="0">
    <w:nsid w:val="6A09311B"/>
    <w:multiLevelType w:val="hybridMultilevel"/>
    <w:tmpl w:val="FD5C6994"/>
    <w:lvl w:ilvl="0" w:tplc="8A901F12">
      <w:start w:val="1"/>
      <w:numFmt w:val="upperLetter"/>
      <w:lvlText w:val="%1."/>
      <w:lvlJc w:val="left"/>
      <w:pPr>
        <w:ind w:left="144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21313C1"/>
    <w:multiLevelType w:val="hybridMultilevel"/>
    <w:tmpl w:val="EE225356"/>
    <w:lvl w:ilvl="0" w:tplc="FFFFFFFF">
      <w:start w:val="1"/>
      <w:numFmt w:val="upperLetter"/>
      <w:lvlText w:val="%1."/>
      <w:lvlJc w:val="left"/>
      <w:pPr>
        <w:ind w:left="16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5" w15:restartNumberingAfterBreak="0">
    <w:nsid w:val="72B13BF3"/>
    <w:multiLevelType w:val="hybridMultilevel"/>
    <w:tmpl w:val="F87C5178"/>
    <w:lvl w:ilvl="0" w:tplc="21FADAEE">
      <w:start w:val="1"/>
      <w:numFmt w:val="lowerRoman"/>
      <w:lvlText w:val="%1."/>
      <w:lvlJc w:val="left"/>
      <w:pPr>
        <w:ind w:left="1627" w:hanging="360"/>
      </w:pPr>
      <w:rPr>
        <w:rFonts w:hint="default"/>
      </w:r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36" w15:restartNumberingAfterBreak="0">
    <w:nsid w:val="74401984"/>
    <w:multiLevelType w:val="hybridMultilevel"/>
    <w:tmpl w:val="F73C4978"/>
    <w:lvl w:ilvl="0" w:tplc="7B54E77A">
      <w:start w:val="1"/>
      <w:numFmt w:val="decimal"/>
      <w:lvlText w:val="%1."/>
      <w:lvlJc w:val="left"/>
      <w:pPr>
        <w:ind w:left="644" w:hanging="360"/>
      </w:pPr>
      <w:rPr>
        <w:rFonts w:ascii="Arial" w:hAnsi="Arial" w:cs="Arial" w:hint="default"/>
        <w:b w:val="0"/>
        <w:i w:val="0"/>
        <w:color w:val="auto"/>
        <w:sz w:val="24"/>
        <w:szCs w:val="24"/>
      </w:rPr>
    </w:lvl>
    <w:lvl w:ilvl="1" w:tplc="040C0019">
      <w:start w:val="1"/>
      <w:numFmt w:val="lowerLetter"/>
      <w:lvlText w:val="%2."/>
      <w:lvlJc w:val="left"/>
      <w:pPr>
        <w:ind w:left="1658" w:hanging="360"/>
      </w:pPr>
    </w:lvl>
    <w:lvl w:ilvl="2" w:tplc="04E88C4C">
      <w:start w:val="1"/>
      <w:numFmt w:val="lowerLetter"/>
      <w:lvlText w:val="(%3)"/>
      <w:lvlJc w:val="left"/>
      <w:pPr>
        <w:ind w:left="2618" w:hanging="420"/>
      </w:pPr>
      <w:rPr>
        <w:rFonts w:hint="default"/>
      </w:rPr>
    </w:lvl>
    <w:lvl w:ilvl="3" w:tplc="040C000F">
      <w:start w:val="1"/>
      <w:numFmt w:val="decimal"/>
      <w:lvlText w:val="%4."/>
      <w:lvlJc w:val="left"/>
      <w:pPr>
        <w:ind w:left="3098" w:hanging="360"/>
      </w:pPr>
    </w:lvl>
    <w:lvl w:ilvl="4" w:tplc="040C0019" w:tentative="1">
      <w:start w:val="1"/>
      <w:numFmt w:val="lowerLetter"/>
      <w:lvlText w:val="%5."/>
      <w:lvlJc w:val="left"/>
      <w:pPr>
        <w:ind w:left="3818" w:hanging="360"/>
      </w:pPr>
    </w:lvl>
    <w:lvl w:ilvl="5" w:tplc="040C001B" w:tentative="1">
      <w:start w:val="1"/>
      <w:numFmt w:val="lowerRoman"/>
      <w:lvlText w:val="%6."/>
      <w:lvlJc w:val="right"/>
      <w:pPr>
        <w:ind w:left="4538" w:hanging="180"/>
      </w:pPr>
    </w:lvl>
    <w:lvl w:ilvl="6" w:tplc="040C000F" w:tentative="1">
      <w:start w:val="1"/>
      <w:numFmt w:val="decimal"/>
      <w:lvlText w:val="%7."/>
      <w:lvlJc w:val="left"/>
      <w:pPr>
        <w:ind w:left="5258" w:hanging="360"/>
      </w:pPr>
    </w:lvl>
    <w:lvl w:ilvl="7" w:tplc="040C0019" w:tentative="1">
      <w:start w:val="1"/>
      <w:numFmt w:val="lowerLetter"/>
      <w:lvlText w:val="%8."/>
      <w:lvlJc w:val="left"/>
      <w:pPr>
        <w:ind w:left="5978" w:hanging="360"/>
      </w:pPr>
    </w:lvl>
    <w:lvl w:ilvl="8" w:tplc="040C001B" w:tentative="1">
      <w:start w:val="1"/>
      <w:numFmt w:val="lowerRoman"/>
      <w:lvlText w:val="%9."/>
      <w:lvlJc w:val="right"/>
      <w:pPr>
        <w:ind w:left="6698" w:hanging="180"/>
      </w:pPr>
    </w:lvl>
  </w:abstractNum>
  <w:abstractNum w:abstractNumId="37" w15:restartNumberingAfterBreak="0">
    <w:nsid w:val="7BCC07CB"/>
    <w:multiLevelType w:val="hybridMultilevel"/>
    <w:tmpl w:val="E87A1CA8"/>
    <w:lvl w:ilvl="0" w:tplc="FFFFFFFF">
      <w:start w:val="1"/>
      <w:numFmt w:val="lowerRoman"/>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8" w15:restartNumberingAfterBreak="0">
    <w:nsid w:val="7DA33362"/>
    <w:multiLevelType w:val="hybridMultilevel"/>
    <w:tmpl w:val="9C34FDC0"/>
    <w:lvl w:ilvl="0" w:tplc="FFFFFFFF">
      <w:start w:val="1"/>
      <w:numFmt w:val="upperLetter"/>
      <w:lvlText w:val="%1."/>
      <w:lvlJc w:val="left"/>
      <w:pPr>
        <w:ind w:left="16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9" w15:restartNumberingAfterBreak="0">
    <w:nsid w:val="7EAA04EA"/>
    <w:multiLevelType w:val="hybridMultilevel"/>
    <w:tmpl w:val="7668FA0A"/>
    <w:lvl w:ilvl="0" w:tplc="FFFFFFFF">
      <w:start w:val="1"/>
      <w:numFmt w:val="upperLetter"/>
      <w:lvlText w:val="%1."/>
      <w:lvlJc w:val="left"/>
      <w:pPr>
        <w:ind w:left="16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num w:numId="1" w16cid:durableId="758448579">
    <w:abstractNumId w:val="24"/>
  </w:num>
  <w:num w:numId="2" w16cid:durableId="1541161357">
    <w:abstractNumId w:val="21"/>
  </w:num>
  <w:num w:numId="3" w16cid:durableId="1442530802">
    <w:abstractNumId w:val="25"/>
  </w:num>
  <w:num w:numId="4" w16cid:durableId="961183147">
    <w:abstractNumId w:val="27"/>
  </w:num>
  <w:num w:numId="5" w16cid:durableId="29645019">
    <w:abstractNumId w:val="16"/>
  </w:num>
  <w:num w:numId="6" w16cid:durableId="133957803">
    <w:abstractNumId w:val="2"/>
  </w:num>
  <w:num w:numId="7" w16cid:durableId="1825973163">
    <w:abstractNumId w:val="0"/>
  </w:num>
  <w:num w:numId="8" w16cid:durableId="1217203550">
    <w:abstractNumId w:val="35"/>
  </w:num>
  <w:num w:numId="9" w16cid:durableId="1076367729">
    <w:abstractNumId w:val="3"/>
  </w:num>
  <w:num w:numId="10" w16cid:durableId="1744176902">
    <w:abstractNumId w:val="7"/>
  </w:num>
  <w:num w:numId="11" w16cid:durableId="2015186591">
    <w:abstractNumId w:val="33"/>
  </w:num>
  <w:num w:numId="12" w16cid:durableId="1588929305">
    <w:abstractNumId w:val="39"/>
  </w:num>
  <w:num w:numId="13" w16cid:durableId="1349258339">
    <w:abstractNumId w:val="34"/>
  </w:num>
  <w:num w:numId="14" w16cid:durableId="28575088">
    <w:abstractNumId w:val="38"/>
  </w:num>
  <w:num w:numId="15" w16cid:durableId="2023510032">
    <w:abstractNumId w:val="28"/>
  </w:num>
  <w:num w:numId="16" w16cid:durableId="1605965218">
    <w:abstractNumId w:val="9"/>
  </w:num>
  <w:num w:numId="17" w16cid:durableId="1883711226">
    <w:abstractNumId w:val="10"/>
  </w:num>
  <w:num w:numId="18" w16cid:durableId="1478451116">
    <w:abstractNumId w:val="6"/>
  </w:num>
  <w:num w:numId="19" w16cid:durableId="2104034705">
    <w:abstractNumId w:val="20"/>
  </w:num>
  <w:num w:numId="20" w16cid:durableId="535120827">
    <w:abstractNumId w:val="22"/>
  </w:num>
  <w:num w:numId="21" w16cid:durableId="1983146754">
    <w:abstractNumId w:val="29"/>
  </w:num>
  <w:num w:numId="22" w16cid:durableId="1035428215">
    <w:abstractNumId w:val="1"/>
  </w:num>
  <w:num w:numId="23" w16cid:durableId="1189488811">
    <w:abstractNumId w:val="11"/>
  </w:num>
  <w:num w:numId="24" w16cid:durableId="2102527563">
    <w:abstractNumId w:val="26"/>
  </w:num>
  <w:num w:numId="25" w16cid:durableId="1164583812">
    <w:abstractNumId w:val="32"/>
  </w:num>
  <w:num w:numId="26" w16cid:durableId="1889106856">
    <w:abstractNumId w:val="18"/>
  </w:num>
  <w:num w:numId="27" w16cid:durableId="1396468286">
    <w:abstractNumId w:val="19"/>
  </w:num>
  <w:num w:numId="28" w16cid:durableId="1789085154">
    <w:abstractNumId w:val="30"/>
  </w:num>
  <w:num w:numId="29" w16cid:durableId="783311647">
    <w:abstractNumId w:val="12"/>
  </w:num>
  <w:num w:numId="30" w16cid:durableId="1765761303">
    <w:abstractNumId w:val="13"/>
  </w:num>
  <w:num w:numId="31" w16cid:durableId="717511349">
    <w:abstractNumId w:val="31"/>
  </w:num>
  <w:num w:numId="32" w16cid:durableId="485629897">
    <w:abstractNumId w:val="14"/>
  </w:num>
  <w:num w:numId="33" w16cid:durableId="1612936497">
    <w:abstractNumId w:val="23"/>
  </w:num>
  <w:num w:numId="34" w16cid:durableId="1445806135">
    <w:abstractNumId w:val="15"/>
  </w:num>
  <w:num w:numId="35" w16cid:durableId="563027185">
    <w:abstractNumId w:val="5"/>
  </w:num>
  <w:num w:numId="36" w16cid:durableId="1201437050">
    <w:abstractNumId w:val="4"/>
  </w:num>
  <w:num w:numId="37" w16cid:durableId="1349258537">
    <w:abstractNumId w:val="8"/>
  </w:num>
  <w:num w:numId="38" w16cid:durableId="827552803">
    <w:abstractNumId w:val="37"/>
  </w:num>
  <w:num w:numId="39" w16cid:durableId="1755467841">
    <w:abstractNumId w:val="36"/>
  </w:num>
  <w:num w:numId="40" w16cid:durableId="2030064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8B"/>
    <w:rsid w:val="00002FE7"/>
    <w:rsid w:val="0001008E"/>
    <w:rsid w:val="00010ADA"/>
    <w:rsid w:val="00011355"/>
    <w:rsid w:val="0001294F"/>
    <w:rsid w:val="00014F3A"/>
    <w:rsid w:val="00015E11"/>
    <w:rsid w:val="00017BB8"/>
    <w:rsid w:val="00020B29"/>
    <w:rsid w:val="00020D5F"/>
    <w:rsid w:val="000217C3"/>
    <w:rsid w:val="00024A5E"/>
    <w:rsid w:val="00024EDA"/>
    <w:rsid w:val="00024F3C"/>
    <w:rsid w:val="00030082"/>
    <w:rsid w:val="00030259"/>
    <w:rsid w:val="00030A0E"/>
    <w:rsid w:val="00031DF6"/>
    <w:rsid w:val="00033697"/>
    <w:rsid w:val="000342C1"/>
    <w:rsid w:val="00040650"/>
    <w:rsid w:val="00041A9D"/>
    <w:rsid w:val="00041C99"/>
    <w:rsid w:val="00046CDA"/>
    <w:rsid w:val="00047272"/>
    <w:rsid w:val="00047924"/>
    <w:rsid w:val="0005079A"/>
    <w:rsid w:val="00052644"/>
    <w:rsid w:val="00052FBD"/>
    <w:rsid w:val="00053AAC"/>
    <w:rsid w:val="00054E21"/>
    <w:rsid w:val="00055E0F"/>
    <w:rsid w:val="000640D1"/>
    <w:rsid w:val="000653D9"/>
    <w:rsid w:val="00071349"/>
    <w:rsid w:val="00071529"/>
    <w:rsid w:val="0007218F"/>
    <w:rsid w:val="000725CB"/>
    <w:rsid w:val="000731BF"/>
    <w:rsid w:val="000738A1"/>
    <w:rsid w:val="00073C0B"/>
    <w:rsid w:val="0007401E"/>
    <w:rsid w:val="00074441"/>
    <w:rsid w:val="000818FE"/>
    <w:rsid w:val="00081F0F"/>
    <w:rsid w:val="0008254C"/>
    <w:rsid w:val="000827B4"/>
    <w:rsid w:val="0008393D"/>
    <w:rsid w:val="00090113"/>
    <w:rsid w:val="00091F7B"/>
    <w:rsid w:val="000A2DF7"/>
    <w:rsid w:val="000A59E1"/>
    <w:rsid w:val="000A5A4C"/>
    <w:rsid w:val="000A768D"/>
    <w:rsid w:val="000B0D2E"/>
    <w:rsid w:val="000B2BCB"/>
    <w:rsid w:val="000C0700"/>
    <w:rsid w:val="000C2EB0"/>
    <w:rsid w:val="000C36A1"/>
    <w:rsid w:val="000C41E5"/>
    <w:rsid w:val="000D1093"/>
    <w:rsid w:val="000D193F"/>
    <w:rsid w:val="000D3312"/>
    <w:rsid w:val="000E0749"/>
    <w:rsid w:val="000E1994"/>
    <w:rsid w:val="000E6F02"/>
    <w:rsid w:val="000E72A3"/>
    <w:rsid w:val="000E7FBE"/>
    <w:rsid w:val="000F479D"/>
    <w:rsid w:val="000F69E2"/>
    <w:rsid w:val="000F72BF"/>
    <w:rsid w:val="000F75B5"/>
    <w:rsid w:val="00100136"/>
    <w:rsid w:val="0010143F"/>
    <w:rsid w:val="00110073"/>
    <w:rsid w:val="001139EE"/>
    <w:rsid w:val="001144CA"/>
    <w:rsid w:val="00115BE4"/>
    <w:rsid w:val="0011687A"/>
    <w:rsid w:val="00125791"/>
    <w:rsid w:val="001271CA"/>
    <w:rsid w:val="00131B6D"/>
    <w:rsid w:val="001377BF"/>
    <w:rsid w:val="00140B20"/>
    <w:rsid w:val="00142C9D"/>
    <w:rsid w:val="00143F09"/>
    <w:rsid w:val="001461C7"/>
    <w:rsid w:val="001469C2"/>
    <w:rsid w:val="00147314"/>
    <w:rsid w:val="00150AD5"/>
    <w:rsid w:val="001521D4"/>
    <w:rsid w:val="00153F19"/>
    <w:rsid w:val="00160608"/>
    <w:rsid w:val="0016130A"/>
    <w:rsid w:val="001617C3"/>
    <w:rsid w:val="00161DE4"/>
    <w:rsid w:val="00162486"/>
    <w:rsid w:val="0016528C"/>
    <w:rsid w:val="00165D0C"/>
    <w:rsid w:val="00166602"/>
    <w:rsid w:val="0017156B"/>
    <w:rsid w:val="00174B4C"/>
    <w:rsid w:val="0017656D"/>
    <w:rsid w:val="00176FB2"/>
    <w:rsid w:val="00180B93"/>
    <w:rsid w:val="00184515"/>
    <w:rsid w:val="001863D4"/>
    <w:rsid w:val="00186764"/>
    <w:rsid w:val="00190222"/>
    <w:rsid w:val="00190D8C"/>
    <w:rsid w:val="001920AF"/>
    <w:rsid w:val="001922F7"/>
    <w:rsid w:val="00192B0B"/>
    <w:rsid w:val="00194D0F"/>
    <w:rsid w:val="00194EDF"/>
    <w:rsid w:val="00196364"/>
    <w:rsid w:val="001A13A2"/>
    <w:rsid w:val="001A146D"/>
    <w:rsid w:val="001A28F4"/>
    <w:rsid w:val="001A61D3"/>
    <w:rsid w:val="001B3DC5"/>
    <w:rsid w:val="001C1E60"/>
    <w:rsid w:val="001C40F0"/>
    <w:rsid w:val="001C4411"/>
    <w:rsid w:val="001D45D8"/>
    <w:rsid w:val="001D5A9B"/>
    <w:rsid w:val="001D5BBA"/>
    <w:rsid w:val="001E04D9"/>
    <w:rsid w:val="001E1857"/>
    <w:rsid w:val="001E6C06"/>
    <w:rsid w:val="001E6D20"/>
    <w:rsid w:val="001F1AAF"/>
    <w:rsid w:val="001F1CF6"/>
    <w:rsid w:val="001F56C2"/>
    <w:rsid w:val="001F6EF7"/>
    <w:rsid w:val="001F7114"/>
    <w:rsid w:val="00202816"/>
    <w:rsid w:val="00202C77"/>
    <w:rsid w:val="00206160"/>
    <w:rsid w:val="0020648D"/>
    <w:rsid w:val="00211692"/>
    <w:rsid w:val="00211A3A"/>
    <w:rsid w:val="002132D2"/>
    <w:rsid w:val="002246D3"/>
    <w:rsid w:val="00224AAC"/>
    <w:rsid w:val="00226209"/>
    <w:rsid w:val="00230032"/>
    <w:rsid w:val="00233442"/>
    <w:rsid w:val="0023402F"/>
    <w:rsid w:val="002427DC"/>
    <w:rsid w:val="00242802"/>
    <w:rsid w:val="002449BA"/>
    <w:rsid w:val="00245620"/>
    <w:rsid w:val="00250A91"/>
    <w:rsid w:val="00256CF9"/>
    <w:rsid w:val="00257A8B"/>
    <w:rsid w:val="002619D5"/>
    <w:rsid w:val="002647A3"/>
    <w:rsid w:val="00264888"/>
    <w:rsid w:val="0026587D"/>
    <w:rsid w:val="00265A26"/>
    <w:rsid w:val="0026709A"/>
    <w:rsid w:val="00267820"/>
    <w:rsid w:val="002703FF"/>
    <w:rsid w:val="00272BB0"/>
    <w:rsid w:val="00274B9D"/>
    <w:rsid w:val="0027711B"/>
    <w:rsid w:val="00282D42"/>
    <w:rsid w:val="0028715B"/>
    <w:rsid w:val="00294B0C"/>
    <w:rsid w:val="00296014"/>
    <w:rsid w:val="00297598"/>
    <w:rsid w:val="002A5349"/>
    <w:rsid w:val="002A5757"/>
    <w:rsid w:val="002B5986"/>
    <w:rsid w:val="002C01B4"/>
    <w:rsid w:val="002C188E"/>
    <w:rsid w:val="002C254A"/>
    <w:rsid w:val="002C53D0"/>
    <w:rsid w:val="002C66B0"/>
    <w:rsid w:val="002D07EC"/>
    <w:rsid w:val="002D1596"/>
    <w:rsid w:val="002D3019"/>
    <w:rsid w:val="002D5082"/>
    <w:rsid w:val="002E094C"/>
    <w:rsid w:val="002E75E7"/>
    <w:rsid w:val="002E7E81"/>
    <w:rsid w:val="002F0A6B"/>
    <w:rsid w:val="002F2DF0"/>
    <w:rsid w:val="002F5983"/>
    <w:rsid w:val="002F640A"/>
    <w:rsid w:val="002F6574"/>
    <w:rsid w:val="00300B12"/>
    <w:rsid w:val="00302074"/>
    <w:rsid w:val="0031057A"/>
    <w:rsid w:val="00310D74"/>
    <w:rsid w:val="00311709"/>
    <w:rsid w:val="00312DA1"/>
    <w:rsid w:val="003134CC"/>
    <w:rsid w:val="00321653"/>
    <w:rsid w:val="00322E3F"/>
    <w:rsid w:val="00323F81"/>
    <w:rsid w:val="00325407"/>
    <w:rsid w:val="0032601C"/>
    <w:rsid w:val="00332074"/>
    <w:rsid w:val="0033506C"/>
    <w:rsid w:val="0034130C"/>
    <w:rsid w:val="00342276"/>
    <w:rsid w:val="00344513"/>
    <w:rsid w:val="00347A4B"/>
    <w:rsid w:val="003504D7"/>
    <w:rsid w:val="00350C3F"/>
    <w:rsid w:val="00351AF6"/>
    <w:rsid w:val="00355AE9"/>
    <w:rsid w:val="003630A0"/>
    <w:rsid w:val="003636E0"/>
    <w:rsid w:val="00363959"/>
    <w:rsid w:val="00364751"/>
    <w:rsid w:val="00367094"/>
    <w:rsid w:val="00373AA4"/>
    <w:rsid w:val="003741C2"/>
    <w:rsid w:val="00374E2D"/>
    <w:rsid w:val="003821C8"/>
    <w:rsid w:val="003832BA"/>
    <w:rsid w:val="003910A2"/>
    <w:rsid w:val="0039295E"/>
    <w:rsid w:val="00393C45"/>
    <w:rsid w:val="00394849"/>
    <w:rsid w:val="00395A37"/>
    <w:rsid w:val="00395D85"/>
    <w:rsid w:val="00397741"/>
    <w:rsid w:val="003A0ECA"/>
    <w:rsid w:val="003A4CC7"/>
    <w:rsid w:val="003A61B1"/>
    <w:rsid w:val="003A724D"/>
    <w:rsid w:val="003B15B3"/>
    <w:rsid w:val="003C0533"/>
    <w:rsid w:val="003C32DE"/>
    <w:rsid w:val="003C410A"/>
    <w:rsid w:val="003C62BE"/>
    <w:rsid w:val="003C69A5"/>
    <w:rsid w:val="003D22C4"/>
    <w:rsid w:val="003D32B4"/>
    <w:rsid w:val="003E657B"/>
    <w:rsid w:val="003E71B7"/>
    <w:rsid w:val="003F1ECA"/>
    <w:rsid w:val="003F2B60"/>
    <w:rsid w:val="003F2CE5"/>
    <w:rsid w:val="003F5E93"/>
    <w:rsid w:val="003F6AB1"/>
    <w:rsid w:val="00400D63"/>
    <w:rsid w:val="0040177E"/>
    <w:rsid w:val="004052E4"/>
    <w:rsid w:val="00405B6B"/>
    <w:rsid w:val="00407055"/>
    <w:rsid w:val="00411744"/>
    <w:rsid w:val="0041208F"/>
    <w:rsid w:val="00412167"/>
    <w:rsid w:val="00413FA6"/>
    <w:rsid w:val="004145E3"/>
    <w:rsid w:val="00414F7B"/>
    <w:rsid w:val="00415289"/>
    <w:rsid w:val="00416552"/>
    <w:rsid w:val="00416731"/>
    <w:rsid w:val="00420866"/>
    <w:rsid w:val="00423F70"/>
    <w:rsid w:val="00425EB4"/>
    <w:rsid w:val="00426A48"/>
    <w:rsid w:val="0042744A"/>
    <w:rsid w:val="0043071A"/>
    <w:rsid w:val="00430A0A"/>
    <w:rsid w:val="004329F3"/>
    <w:rsid w:val="004376C0"/>
    <w:rsid w:val="004402C5"/>
    <w:rsid w:val="00443B24"/>
    <w:rsid w:val="004446B7"/>
    <w:rsid w:val="004449BA"/>
    <w:rsid w:val="00447881"/>
    <w:rsid w:val="0045356C"/>
    <w:rsid w:val="004601B9"/>
    <w:rsid w:val="0046173C"/>
    <w:rsid w:val="004648CD"/>
    <w:rsid w:val="00467E70"/>
    <w:rsid w:val="00470055"/>
    <w:rsid w:val="00470954"/>
    <w:rsid w:val="004726A6"/>
    <w:rsid w:val="00474998"/>
    <w:rsid w:val="00474E7F"/>
    <w:rsid w:val="0047604F"/>
    <w:rsid w:val="004832B6"/>
    <w:rsid w:val="00484B56"/>
    <w:rsid w:val="004917B8"/>
    <w:rsid w:val="004924F1"/>
    <w:rsid w:val="0049255A"/>
    <w:rsid w:val="00492617"/>
    <w:rsid w:val="00494C50"/>
    <w:rsid w:val="004A0045"/>
    <w:rsid w:val="004A0B9D"/>
    <w:rsid w:val="004A172E"/>
    <w:rsid w:val="004A1D3D"/>
    <w:rsid w:val="004A25B3"/>
    <w:rsid w:val="004A2878"/>
    <w:rsid w:val="004A3959"/>
    <w:rsid w:val="004A51A4"/>
    <w:rsid w:val="004B0DFF"/>
    <w:rsid w:val="004B182A"/>
    <w:rsid w:val="004B2F42"/>
    <w:rsid w:val="004B3D82"/>
    <w:rsid w:val="004C1E30"/>
    <w:rsid w:val="004C7C22"/>
    <w:rsid w:val="004D2FA9"/>
    <w:rsid w:val="004E0C1A"/>
    <w:rsid w:val="004E293E"/>
    <w:rsid w:val="004E31D4"/>
    <w:rsid w:val="004F0F72"/>
    <w:rsid w:val="004F3F60"/>
    <w:rsid w:val="004F3F6F"/>
    <w:rsid w:val="00500763"/>
    <w:rsid w:val="0050320F"/>
    <w:rsid w:val="0050335D"/>
    <w:rsid w:val="00503467"/>
    <w:rsid w:val="00510B9A"/>
    <w:rsid w:val="0051294F"/>
    <w:rsid w:val="00517BF5"/>
    <w:rsid w:val="00520292"/>
    <w:rsid w:val="005233B8"/>
    <w:rsid w:val="00523A26"/>
    <w:rsid w:val="00524F24"/>
    <w:rsid w:val="0052712F"/>
    <w:rsid w:val="0052750F"/>
    <w:rsid w:val="00531A4F"/>
    <w:rsid w:val="0053561E"/>
    <w:rsid w:val="005409D0"/>
    <w:rsid w:val="00543189"/>
    <w:rsid w:val="005465DD"/>
    <w:rsid w:val="005554A9"/>
    <w:rsid w:val="00560419"/>
    <w:rsid w:val="005617CB"/>
    <w:rsid w:val="00561B9E"/>
    <w:rsid w:val="00563B80"/>
    <w:rsid w:val="00564A07"/>
    <w:rsid w:val="00566FF0"/>
    <w:rsid w:val="00570698"/>
    <w:rsid w:val="00572041"/>
    <w:rsid w:val="0057255A"/>
    <w:rsid w:val="00572E50"/>
    <w:rsid w:val="00573C47"/>
    <w:rsid w:val="005756C9"/>
    <w:rsid w:val="00576DA1"/>
    <w:rsid w:val="005770A1"/>
    <w:rsid w:val="00580422"/>
    <w:rsid w:val="00583275"/>
    <w:rsid w:val="005848F0"/>
    <w:rsid w:val="00586B74"/>
    <w:rsid w:val="00587607"/>
    <w:rsid w:val="00587AB5"/>
    <w:rsid w:val="00592377"/>
    <w:rsid w:val="00594A7C"/>
    <w:rsid w:val="00594C24"/>
    <w:rsid w:val="00594F4B"/>
    <w:rsid w:val="005A7DFE"/>
    <w:rsid w:val="005B01FB"/>
    <w:rsid w:val="005B07B5"/>
    <w:rsid w:val="005B2C7A"/>
    <w:rsid w:val="005B2EA4"/>
    <w:rsid w:val="005B643B"/>
    <w:rsid w:val="005B6EE9"/>
    <w:rsid w:val="005C3B96"/>
    <w:rsid w:val="005C45D0"/>
    <w:rsid w:val="005C76B8"/>
    <w:rsid w:val="005D2463"/>
    <w:rsid w:val="005D3554"/>
    <w:rsid w:val="005D4BB4"/>
    <w:rsid w:val="005D5517"/>
    <w:rsid w:val="005E2E44"/>
    <w:rsid w:val="005E3D2A"/>
    <w:rsid w:val="005E5926"/>
    <w:rsid w:val="005F1082"/>
    <w:rsid w:val="005F20BD"/>
    <w:rsid w:val="005F4C39"/>
    <w:rsid w:val="005F6A93"/>
    <w:rsid w:val="005F6D82"/>
    <w:rsid w:val="00601CBC"/>
    <w:rsid w:val="00602C1F"/>
    <w:rsid w:val="006040A5"/>
    <w:rsid w:val="006042D0"/>
    <w:rsid w:val="00606AE7"/>
    <w:rsid w:val="006146C4"/>
    <w:rsid w:val="006179EA"/>
    <w:rsid w:val="00617BB1"/>
    <w:rsid w:val="006211A7"/>
    <w:rsid w:val="00626AF4"/>
    <w:rsid w:val="00626C55"/>
    <w:rsid w:val="006314B9"/>
    <w:rsid w:val="0063216C"/>
    <w:rsid w:val="0063535F"/>
    <w:rsid w:val="00635E36"/>
    <w:rsid w:val="006367B7"/>
    <w:rsid w:val="00637151"/>
    <w:rsid w:val="00637DE7"/>
    <w:rsid w:val="006444A8"/>
    <w:rsid w:val="006453CB"/>
    <w:rsid w:val="00646258"/>
    <w:rsid w:val="00647090"/>
    <w:rsid w:val="00651965"/>
    <w:rsid w:val="00651ADB"/>
    <w:rsid w:val="00657370"/>
    <w:rsid w:val="00657E31"/>
    <w:rsid w:val="0066497D"/>
    <w:rsid w:val="00665E1F"/>
    <w:rsid w:val="00667FBF"/>
    <w:rsid w:val="00670A08"/>
    <w:rsid w:val="006757FF"/>
    <w:rsid w:val="00683205"/>
    <w:rsid w:val="0068604C"/>
    <w:rsid w:val="006947B4"/>
    <w:rsid w:val="0069617F"/>
    <w:rsid w:val="006A31C5"/>
    <w:rsid w:val="006A38E3"/>
    <w:rsid w:val="006A4009"/>
    <w:rsid w:val="006A445A"/>
    <w:rsid w:val="006B1C5F"/>
    <w:rsid w:val="006B3F70"/>
    <w:rsid w:val="006B4314"/>
    <w:rsid w:val="006B5942"/>
    <w:rsid w:val="006B64E3"/>
    <w:rsid w:val="006C4FBE"/>
    <w:rsid w:val="006C6086"/>
    <w:rsid w:val="006C7746"/>
    <w:rsid w:val="006D0E2D"/>
    <w:rsid w:val="006D0F78"/>
    <w:rsid w:val="006D192F"/>
    <w:rsid w:val="006D379F"/>
    <w:rsid w:val="006D38A7"/>
    <w:rsid w:val="006D5C6F"/>
    <w:rsid w:val="006D6328"/>
    <w:rsid w:val="006D6EA2"/>
    <w:rsid w:val="006E02D4"/>
    <w:rsid w:val="006E13DA"/>
    <w:rsid w:val="006E241C"/>
    <w:rsid w:val="006E2B8D"/>
    <w:rsid w:val="006E5B92"/>
    <w:rsid w:val="006E7534"/>
    <w:rsid w:val="006F29BE"/>
    <w:rsid w:val="006F3B50"/>
    <w:rsid w:val="006F5F2D"/>
    <w:rsid w:val="006F6CFC"/>
    <w:rsid w:val="00700741"/>
    <w:rsid w:val="0070252E"/>
    <w:rsid w:val="00702D48"/>
    <w:rsid w:val="00703069"/>
    <w:rsid w:val="00703479"/>
    <w:rsid w:val="00705BEF"/>
    <w:rsid w:val="00707CB8"/>
    <w:rsid w:val="00710923"/>
    <w:rsid w:val="007140DD"/>
    <w:rsid w:val="0071557B"/>
    <w:rsid w:val="00725167"/>
    <w:rsid w:val="00725838"/>
    <w:rsid w:val="00733E75"/>
    <w:rsid w:val="0073445A"/>
    <w:rsid w:val="00735876"/>
    <w:rsid w:val="00744733"/>
    <w:rsid w:val="00744E2F"/>
    <w:rsid w:val="007452CC"/>
    <w:rsid w:val="007529F0"/>
    <w:rsid w:val="007556B8"/>
    <w:rsid w:val="00755B8A"/>
    <w:rsid w:val="0076023A"/>
    <w:rsid w:val="00761B6A"/>
    <w:rsid w:val="007641A1"/>
    <w:rsid w:val="00766359"/>
    <w:rsid w:val="00770EDB"/>
    <w:rsid w:val="00776276"/>
    <w:rsid w:val="0077783D"/>
    <w:rsid w:val="00781B45"/>
    <w:rsid w:val="0078644D"/>
    <w:rsid w:val="007909A3"/>
    <w:rsid w:val="00791506"/>
    <w:rsid w:val="00792A0D"/>
    <w:rsid w:val="007A03B4"/>
    <w:rsid w:val="007A1E5C"/>
    <w:rsid w:val="007A2FCC"/>
    <w:rsid w:val="007A3045"/>
    <w:rsid w:val="007A4A3B"/>
    <w:rsid w:val="007A5984"/>
    <w:rsid w:val="007A665C"/>
    <w:rsid w:val="007A7A24"/>
    <w:rsid w:val="007B021D"/>
    <w:rsid w:val="007B1CFC"/>
    <w:rsid w:val="007B4BB8"/>
    <w:rsid w:val="007C06D6"/>
    <w:rsid w:val="007C4A2A"/>
    <w:rsid w:val="007C590C"/>
    <w:rsid w:val="007C5A4D"/>
    <w:rsid w:val="007C7742"/>
    <w:rsid w:val="007D27A3"/>
    <w:rsid w:val="007D2855"/>
    <w:rsid w:val="007D6295"/>
    <w:rsid w:val="007D6D56"/>
    <w:rsid w:val="007E0AFE"/>
    <w:rsid w:val="007E1C2E"/>
    <w:rsid w:val="007E4119"/>
    <w:rsid w:val="007E547B"/>
    <w:rsid w:val="007F0358"/>
    <w:rsid w:val="007F0830"/>
    <w:rsid w:val="007F0889"/>
    <w:rsid w:val="007F3D41"/>
    <w:rsid w:val="007F7077"/>
    <w:rsid w:val="007F738C"/>
    <w:rsid w:val="008035B8"/>
    <w:rsid w:val="00810214"/>
    <w:rsid w:val="0081367B"/>
    <w:rsid w:val="008211C4"/>
    <w:rsid w:val="00821541"/>
    <w:rsid w:val="008254E9"/>
    <w:rsid w:val="00836F04"/>
    <w:rsid w:val="008458BE"/>
    <w:rsid w:val="0085197E"/>
    <w:rsid w:val="00851A39"/>
    <w:rsid w:val="00857F82"/>
    <w:rsid w:val="0086008A"/>
    <w:rsid w:val="008600D2"/>
    <w:rsid w:val="00860C47"/>
    <w:rsid w:val="00863846"/>
    <w:rsid w:val="00866BB2"/>
    <w:rsid w:val="00866BC9"/>
    <w:rsid w:val="00872ABA"/>
    <w:rsid w:val="0087415B"/>
    <w:rsid w:val="00874579"/>
    <w:rsid w:val="0087603B"/>
    <w:rsid w:val="0087642B"/>
    <w:rsid w:val="00877467"/>
    <w:rsid w:val="00880906"/>
    <w:rsid w:val="00884C60"/>
    <w:rsid w:val="008872BB"/>
    <w:rsid w:val="0088761C"/>
    <w:rsid w:val="00892AAC"/>
    <w:rsid w:val="008934A8"/>
    <w:rsid w:val="00895E57"/>
    <w:rsid w:val="008968C7"/>
    <w:rsid w:val="00896BF6"/>
    <w:rsid w:val="00897791"/>
    <w:rsid w:val="00897FCD"/>
    <w:rsid w:val="008A2A0D"/>
    <w:rsid w:val="008A656D"/>
    <w:rsid w:val="008A6A82"/>
    <w:rsid w:val="008B0021"/>
    <w:rsid w:val="008B2054"/>
    <w:rsid w:val="008B363B"/>
    <w:rsid w:val="008B4F6A"/>
    <w:rsid w:val="008B5FF7"/>
    <w:rsid w:val="008B677B"/>
    <w:rsid w:val="008B6F7A"/>
    <w:rsid w:val="008C0474"/>
    <w:rsid w:val="008C0616"/>
    <w:rsid w:val="008C0E11"/>
    <w:rsid w:val="008C2C82"/>
    <w:rsid w:val="008C4873"/>
    <w:rsid w:val="008C59C4"/>
    <w:rsid w:val="008C5EF5"/>
    <w:rsid w:val="008D06B8"/>
    <w:rsid w:val="008D06EE"/>
    <w:rsid w:val="008D1C1E"/>
    <w:rsid w:val="008D758B"/>
    <w:rsid w:val="008D7970"/>
    <w:rsid w:val="008E1CDF"/>
    <w:rsid w:val="008E31AD"/>
    <w:rsid w:val="008E54A4"/>
    <w:rsid w:val="008E7804"/>
    <w:rsid w:val="008F2EA5"/>
    <w:rsid w:val="008F3B53"/>
    <w:rsid w:val="008F45F9"/>
    <w:rsid w:val="00905040"/>
    <w:rsid w:val="00905BAB"/>
    <w:rsid w:val="00910D72"/>
    <w:rsid w:val="00911729"/>
    <w:rsid w:val="00912A8D"/>
    <w:rsid w:val="00915966"/>
    <w:rsid w:val="00922AE3"/>
    <w:rsid w:val="009342D1"/>
    <w:rsid w:val="00937BFB"/>
    <w:rsid w:val="00940897"/>
    <w:rsid w:val="00942F42"/>
    <w:rsid w:val="009433D7"/>
    <w:rsid w:val="009516D1"/>
    <w:rsid w:val="00952882"/>
    <w:rsid w:val="00952D7C"/>
    <w:rsid w:val="009534F6"/>
    <w:rsid w:val="0095684F"/>
    <w:rsid w:val="00956EA9"/>
    <w:rsid w:val="00957FF8"/>
    <w:rsid w:val="00961F1E"/>
    <w:rsid w:val="00963651"/>
    <w:rsid w:val="00964143"/>
    <w:rsid w:val="0096457B"/>
    <w:rsid w:val="00964E89"/>
    <w:rsid w:val="00971518"/>
    <w:rsid w:val="0097288E"/>
    <w:rsid w:val="00972F2F"/>
    <w:rsid w:val="0097654F"/>
    <w:rsid w:val="00980BA6"/>
    <w:rsid w:val="00984EE4"/>
    <w:rsid w:val="009854DE"/>
    <w:rsid w:val="00985BAF"/>
    <w:rsid w:val="0098669C"/>
    <w:rsid w:val="00986E51"/>
    <w:rsid w:val="00993E73"/>
    <w:rsid w:val="009A0106"/>
    <w:rsid w:val="009A0A1A"/>
    <w:rsid w:val="009A0EC8"/>
    <w:rsid w:val="009A16F4"/>
    <w:rsid w:val="009A283C"/>
    <w:rsid w:val="009A4095"/>
    <w:rsid w:val="009A60E1"/>
    <w:rsid w:val="009A6346"/>
    <w:rsid w:val="009A7D74"/>
    <w:rsid w:val="009B1329"/>
    <w:rsid w:val="009B6A30"/>
    <w:rsid w:val="009C35AF"/>
    <w:rsid w:val="009C4550"/>
    <w:rsid w:val="009C4A60"/>
    <w:rsid w:val="009C593C"/>
    <w:rsid w:val="009C6E00"/>
    <w:rsid w:val="009D0B6A"/>
    <w:rsid w:val="009D1561"/>
    <w:rsid w:val="009D56D7"/>
    <w:rsid w:val="009E11AA"/>
    <w:rsid w:val="009E601D"/>
    <w:rsid w:val="009E7D23"/>
    <w:rsid w:val="009E7E9E"/>
    <w:rsid w:val="009E7F12"/>
    <w:rsid w:val="009F0D76"/>
    <w:rsid w:val="009F198E"/>
    <w:rsid w:val="009F3B7A"/>
    <w:rsid w:val="009F3F32"/>
    <w:rsid w:val="009F7995"/>
    <w:rsid w:val="00A00A0F"/>
    <w:rsid w:val="00A0170C"/>
    <w:rsid w:val="00A06EC2"/>
    <w:rsid w:val="00A07081"/>
    <w:rsid w:val="00A11F08"/>
    <w:rsid w:val="00A145E7"/>
    <w:rsid w:val="00A17144"/>
    <w:rsid w:val="00A1771E"/>
    <w:rsid w:val="00A21E7C"/>
    <w:rsid w:val="00A23B6C"/>
    <w:rsid w:val="00A27E8A"/>
    <w:rsid w:val="00A30A32"/>
    <w:rsid w:val="00A33000"/>
    <w:rsid w:val="00A35D21"/>
    <w:rsid w:val="00A41B20"/>
    <w:rsid w:val="00A428A6"/>
    <w:rsid w:val="00A45764"/>
    <w:rsid w:val="00A47288"/>
    <w:rsid w:val="00A4792C"/>
    <w:rsid w:val="00A57CA9"/>
    <w:rsid w:val="00A60F29"/>
    <w:rsid w:val="00A639C1"/>
    <w:rsid w:val="00A63E80"/>
    <w:rsid w:val="00A66E7C"/>
    <w:rsid w:val="00A71AB3"/>
    <w:rsid w:val="00A71C7A"/>
    <w:rsid w:val="00A72F57"/>
    <w:rsid w:val="00A73D3D"/>
    <w:rsid w:val="00A769EE"/>
    <w:rsid w:val="00A77DC7"/>
    <w:rsid w:val="00A80042"/>
    <w:rsid w:val="00A857A8"/>
    <w:rsid w:val="00A868E5"/>
    <w:rsid w:val="00A86ABB"/>
    <w:rsid w:val="00A9035E"/>
    <w:rsid w:val="00A92F28"/>
    <w:rsid w:val="00A9325F"/>
    <w:rsid w:val="00A957C4"/>
    <w:rsid w:val="00A96ABF"/>
    <w:rsid w:val="00A97DDF"/>
    <w:rsid w:val="00AA1108"/>
    <w:rsid w:val="00AA15F6"/>
    <w:rsid w:val="00AA19AC"/>
    <w:rsid w:val="00AA762B"/>
    <w:rsid w:val="00AB11C4"/>
    <w:rsid w:val="00AB267D"/>
    <w:rsid w:val="00AB7EC2"/>
    <w:rsid w:val="00AC5517"/>
    <w:rsid w:val="00AC5696"/>
    <w:rsid w:val="00AC56C9"/>
    <w:rsid w:val="00AC57F1"/>
    <w:rsid w:val="00AD0D23"/>
    <w:rsid w:val="00AD1BC8"/>
    <w:rsid w:val="00AD1E9E"/>
    <w:rsid w:val="00AD4A3C"/>
    <w:rsid w:val="00AE15E4"/>
    <w:rsid w:val="00AE43BE"/>
    <w:rsid w:val="00AE56FB"/>
    <w:rsid w:val="00AE720C"/>
    <w:rsid w:val="00AF20C4"/>
    <w:rsid w:val="00AF2C85"/>
    <w:rsid w:val="00AF3DCD"/>
    <w:rsid w:val="00B03C85"/>
    <w:rsid w:val="00B03CF8"/>
    <w:rsid w:val="00B03D3F"/>
    <w:rsid w:val="00B05297"/>
    <w:rsid w:val="00B068EF"/>
    <w:rsid w:val="00B12C48"/>
    <w:rsid w:val="00B1593D"/>
    <w:rsid w:val="00B16FB5"/>
    <w:rsid w:val="00B21632"/>
    <w:rsid w:val="00B2389E"/>
    <w:rsid w:val="00B2553D"/>
    <w:rsid w:val="00B3181E"/>
    <w:rsid w:val="00B34CEF"/>
    <w:rsid w:val="00B3599C"/>
    <w:rsid w:val="00B46B09"/>
    <w:rsid w:val="00B53985"/>
    <w:rsid w:val="00B55C89"/>
    <w:rsid w:val="00B609DF"/>
    <w:rsid w:val="00B61375"/>
    <w:rsid w:val="00B63468"/>
    <w:rsid w:val="00B64256"/>
    <w:rsid w:val="00B6540D"/>
    <w:rsid w:val="00B66612"/>
    <w:rsid w:val="00B7058B"/>
    <w:rsid w:val="00B7075F"/>
    <w:rsid w:val="00B709A5"/>
    <w:rsid w:val="00B73337"/>
    <w:rsid w:val="00B73724"/>
    <w:rsid w:val="00B74228"/>
    <w:rsid w:val="00B752B4"/>
    <w:rsid w:val="00B80F06"/>
    <w:rsid w:val="00B81722"/>
    <w:rsid w:val="00B81725"/>
    <w:rsid w:val="00B84422"/>
    <w:rsid w:val="00B8631D"/>
    <w:rsid w:val="00B872D7"/>
    <w:rsid w:val="00B87447"/>
    <w:rsid w:val="00B90462"/>
    <w:rsid w:val="00B9062A"/>
    <w:rsid w:val="00B90C08"/>
    <w:rsid w:val="00B918DB"/>
    <w:rsid w:val="00BA01A6"/>
    <w:rsid w:val="00BA1832"/>
    <w:rsid w:val="00BA1D0F"/>
    <w:rsid w:val="00BA5879"/>
    <w:rsid w:val="00BA6C2F"/>
    <w:rsid w:val="00BA7C27"/>
    <w:rsid w:val="00BB0BFF"/>
    <w:rsid w:val="00BB2B6C"/>
    <w:rsid w:val="00BB510F"/>
    <w:rsid w:val="00BB647F"/>
    <w:rsid w:val="00BB6D5F"/>
    <w:rsid w:val="00BB7B47"/>
    <w:rsid w:val="00BC095B"/>
    <w:rsid w:val="00BC412B"/>
    <w:rsid w:val="00BC59D1"/>
    <w:rsid w:val="00BC639D"/>
    <w:rsid w:val="00BD2741"/>
    <w:rsid w:val="00BD56B2"/>
    <w:rsid w:val="00BE0DBC"/>
    <w:rsid w:val="00BE26F0"/>
    <w:rsid w:val="00BE3528"/>
    <w:rsid w:val="00BE41A2"/>
    <w:rsid w:val="00BE526B"/>
    <w:rsid w:val="00BE6833"/>
    <w:rsid w:val="00BE7526"/>
    <w:rsid w:val="00BF061E"/>
    <w:rsid w:val="00BF3B90"/>
    <w:rsid w:val="00BF5A2D"/>
    <w:rsid w:val="00C0258C"/>
    <w:rsid w:val="00C0332C"/>
    <w:rsid w:val="00C03640"/>
    <w:rsid w:val="00C0603D"/>
    <w:rsid w:val="00C06EF0"/>
    <w:rsid w:val="00C0718E"/>
    <w:rsid w:val="00C07571"/>
    <w:rsid w:val="00C1443A"/>
    <w:rsid w:val="00C15CAC"/>
    <w:rsid w:val="00C175BF"/>
    <w:rsid w:val="00C255EB"/>
    <w:rsid w:val="00C26220"/>
    <w:rsid w:val="00C303FC"/>
    <w:rsid w:val="00C30B2F"/>
    <w:rsid w:val="00C31482"/>
    <w:rsid w:val="00C32030"/>
    <w:rsid w:val="00C3307B"/>
    <w:rsid w:val="00C354F6"/>
    <w:rsid w:val="00C429EE"/>
    <w:rsid w:val="00C46557"/>
    <w:rsid w:val="00C50A21"/>
    <w:rsid w:val="00C52420"/>
    <w:rsid w:val="00C5285C"/>
    <w:rsid w:val="00C55E10"/>
    <w:rsid w:val="00C57C28"/>
    <w:rsid w:val="00C62322"/>
    <w:rsid w:val="00C62549"/>
    <w:rsid w:val="00C631E1"/>
    <w:rsid w:val="00C635A7"/>
    <w:rsid w:val="00C63C6F"/>
    <w:rsid w:val="00C650BF"/>
    <w:rsid w:val="00C707E0"/>
    <w:rsid w:val="00C718A7"/>
    <w:rsid w:val="00C735B7"/>
    <w:rsid w:val="00C74E10"/>
    <w:rsid w:val="00C76828"/>
    <w:rsid w:val="00C80059"/>
    <w:rsid w:val="00C80DE0"/>
    <w:rsid w:val="00C8236C"/>
    <w:rsid w:val="00C86861"/>
    <w:rsid w:val="00C9142E"/>
    <w:rsid w:val="00C92CD0"/>
    <w:rsid w:val="00C9367D"/>
    <w:rsid w:val="00C93B4A"/>
    <w:rsid w:val="00C93DC6"/>
    <w:rsid w:val="00C94964"/>
    <w:rsid w:val="00C95D42"/>
    <w:rsid w:val="00CA1A16"/>
    <w:rsid w:val="00CA31E7"/>
    <w:rsid w:val="00CA5732"/>
    <w:rsid w:val="00CA58F1"/>
    <w:rsid w:val="00CB0445"/>
    <w:rsid w:val="00CB768A"/>
    <w:rsid w:val="00CC10AE"/>
    <w:rsid w:val="00CC1446"/>
    <w:rsid w:val="00CC2CA1"/>
    <w:rsid w:val="00CC33FA"/>
    <w:rsid w:val="00CC6E20"/>
    <w:rsid w:val="00CD25A2"/>
    <w:rsid w:val="00CD36B1"/>
    <w:rsid w:val="00CD621D"/>
    <w:rsid w:val="00CE1A1A"/>
    <w:rsid w:val="00CE33FF"/>
    <w:rsid w:val="00CE5896"/>
    <w:rsid w:val="00CE7C8C"/>
    <w:rsid w:val="00CF00EE"/>
    <w:rsid w:val="00CF2181"/>
    <w:rsid w:val="00CF4D6B"/>
    <w:rsid w:val="00CF51F8"/>
    <w:rsid w:val="00CF5B19"/>
    <w:rsid w:val="00D00A0C"/>
    <w:rsid w:val="00D05CC5"/>
    <w:rsid w:val="00D05D18"/>
    <w:rsid w:val="00D07E58"/>
    <w:rsid w:val="00D10F76"/>
    <w:rsid w:val="00D11CF6"/>
    <w:rsid w:val="00D1508E"/>
    <w:rsid w:val="00D15AE3"/>
    <w:rsid w:val="00D16454"/>
    <w:rsid w:val="00D16CBC"/>
    <w:rsid w:val="00D21472"/>
    <w:rsid w:val="00D21D71"/>
    <w:rsid w:val="00D21DF9"/>
    <w:rsid w:val="00D2287F"/>
    <w:rsid w:val="00D22D07"/>
    <w:rsid w:val="00D277E3"/>
    <w:rsid w:val="00D30814"/>
    <w:rsid w:val="00D30F09"/>
    <w:rsid w:val="00D36C81"/>
    <w:rsid w:val="00D45D41"/>
    <w:rsid w:val="00D4682D"/>
    <w:rsid w:val="00D51363"/>
    <w:rsid w:val="00D66799"/>
    <w:rsid w:val="00D70CE2"/>
    <w:rsid w:val="00D70ED2"/>
    <w:rsid w:val="00D72022"/>
    <w:rsid w:val="00D742CB"/>
    <w:rsid w:val="00D757C4"/>
    <w:rsid w:val="00D8115B"/>
    <w:rsid w:val="00D818F3"/>
    <w:rsid w:val="00D8391D"/>
    <w:rsid w:val="00D84C36"/>
    <w:rsid w:val="00D87207"/>
    <w:rsid w:val="00D9160F"/>
    <w:rsid w:val="00D935AD"/>
    <w:rsid w:val="00D94B13"/>
    <w:rsid w:val="00D95320"/>
    <w:rsid w:val="00D95B93"/>
    <w:rsid w:val="00D96838"/>
    <w:rsid w:val="00D97BC1"/>
    <w:rsid w:val="00D97D52"/>
    <w:rsid w:val="00DA0260"/>
    <w:rsid w:val="00DA1DC5"/>
    <w:rsid w:val="00DA3795"/>
    <w:rsid w:val="00DA78CC"/>
    <w:rsid w:val="00DB308C"/>
    <w:rsid w:val="00DB386D"/>
    <w:rsid w:val="00DB4867"/>
    <w:rsid w:val="00DB60C3"/>
    <w:rsid w:val="00DC0D37"/>
    <w:rsid w:val="00DC3730"/>
    <w:rsid w:val="00DC47C3"/>
    <w:rsid w:val="00DC4D5B"/>
    <w:rsid w:val="00DD1F18"/>
    <w:rsid w:val="00DD74E1"/>
    <w:rsid w:val="00DD7E28"/>
    <w:rsid w:val="00DE0725"/>
    <w:rsid w:val="00DE095A"/>
    <w:rsid w:val="00DE5952"/>
    <w:rsid w:val="00DF0384"/>
    <w:rsid w:val="00DF08B1"/>
    <w:rsid w:val="00DF5624"/>
    <w:rsid w:val="00DF7AA1"/>
    <w:rsid w:val="00E07938"/>
    <w:rsid w:val="00E126C3"/>
    <w:rsid w:val="00E26441"/>
    <w:rsid w:val="00E304CF"/>
    <w:rsid w:val="00E35C3D"/>
    <w:rsid w:val="00E377A7"/>
    <w:rsid w:val="00E4035D"/>
    <w:rsid w:val="00E4078E"/>
    <w:rsid w:val="00E44993"/>
    <w:rsid w:val="00E53004"/>
    <w:rsid w:val="00E53C0C"/>
    <w:rsid w:val="00E5533A"/>
    <w:rsid w:val="00E56705"/>
    <w:rsid w:val="00E57511"/>
    <w:rsid w:val="00E61331"/>
    <w:rsid w:val="00E635FB"/>
    <w:rsid w:val="00E641CB"/>
    <w:rsid w:val="00E6481E"/>
    <w:rsid w:val="00E677B2"/>
    <w:rsid w:val="00E71FBD"/>
    <w:rsid w:val="00E72088"/>
    <w:rsid w:val="00E761E5"/>
    <w:rsid w:val="00E7655E"/>
    <w:rsid w:val="00E80EFE"/>
    <w:rsid w:val="00E830D8"/>
    <w:rsid w:val="00E900F8"/>
    <w:rsid w:val="00E90D32"/>
    <w:rsid w:val="00E911A0"/>
    <w:rsid w:val="00E94D8F"/>
    <w:rsid w:val="00E971C3"/>
    <w:rsid w:val="00EA14C3"/>
    <w:rsid w:val="00EA1EB8"/>
    <w:rsid w:val="00EA2544"/>
    <w:rsid w:val="00EA75AE"/>
    <w:rsid w:val="00EB06DD"/>
    <w:rsid w:val="00EB5779"/>
    <w:rsid w:val="00EB6D92"/>
    <w:rsid w:val="00EB7744"/>
    <w:rsid w:val="00EB7E10"/>
    <w:rsid w:val="00EC29FD"/>
    <w:rsid w:val="00EC635B"/>
    <w:rsid w:val="00EC66A8"/>
    <w:rsid w:val="00ED089D"/>
    <w:rsid w:val="00ED129F"/>
    <w:rsid w:val="00ED4744"/>
    <w:rsid w:val="00EE2FBC"/>
    <w:rsid w:val="00EE77BA"/>
    <w:rsid w:val="00EF0231"/>
    <w:rsid w:val="00EF25F4"/>
    <w:rsid w:val="00EF3DCD"/>
    <w:rsid w:val="00EF652F"/>
    <w:rsid w:val="00EF678E"/>
    <w:rsid w:val="00EF78C0"/>
    <w:rsid w:val="00F02622"/>
    <w:rsid w:val="00F02DB9"/>
    <w:rsid w:val="00F06A86"/>
    <w:rsid w:val="00F0725E"/>
    <w:rsid w:val="00F14564"/>
    <w:rsid w:val="00F2019B"/>
    <w:rsid w:val="00F21B70"/>
    <w:rsid w:val="00F2512D"/>
    <w:rsid w:val="00F251B3"/>
    <w:rsid w:val="00F262AB"/>
    <w:rsid w:val="00F314B2"/>
    <w:rsid w:val="00F31840"/>
    <w:rsid w:val="00F3285A"/>
    <w:rsid w:val="00F42B0F"/>
    <w:rsid w:val="00F4348F"/>
    <w:rsid w:val="00F447A6"/>
    <w:rsid w:val="00F44FF9"/>
    <w:rsid w:val="00F46E8E"/>
    <w:rsid w:val="00F52685"/>
    <w:rsid w:val="00F55754"/>
    <w:rsid w:val="00F56B49"/>
    <w:rsid w:val="00F56D47"/>
    <w:rsid w:val="00F57F27"/>
    <w:rsid w:val="00F6003D"/>
    <w:rsid w:val="00F613CD"/>
    <w:rsid w:val="00F678D4"/>
    <w:rsid w:val="00F70208"/>
    <w:rsid w:val="00F71742"/>
    <w:rsid w:val="00F7276B"/>
    <w:rsid w:val="00F72900"/>
    <w:rsid w:val="00F73FE1"/>
    <w:rsid w:val="00F744CB"/>
    <w:rsid w:val="00F747F8"/>
    <w:rsid w:val="00F74D54"/>
    <w:rsid w:val="00F7768A"/>
    <w:rsid w:val="00F77A15"/>
    <w:rsid w:val="00F80D81"/>
    <w:rsid w:val="00F81432"/>
    <w:rsid w:val="00F87BF6"/>
    <w:rsid w:val="00F90745"/>
    <w:rsid w:val="00F9495C"/>
    <w:rsid w:val="00F95FE0"/>
    <w:rsid w:val="00FB0913"/>
    <w:rsid w:val="00FB19CB"/>
    <w:rsid w:val="00FB44F7"/>
    <w:rsid w:val="00FB45CD"/>
    <w:rsid w:val="00FB45DF"/>
    <w:rsid w:val="00FC0F24"/>
    <w:rsid w:val="00FC1743"/>
    <w:rsid w:val="00FD11F4"/>
    <w:rsid w:val="00FD185A"/>
    <w:rsid w:val="00FD36D0"/>
    <w:rsid w:val="00FD47A0"/>
    <w:rsid w:val="00FE1BDC"/>
    <w:rsid w:val="00FE1D52"/>
    <w:rsid w:val="00FE1D99"/>
    <w:rsid w:val="00FF383C"/>
    <w:rsid w:val="00FF3C57"/>
    <w:rsid w:val="00FF4C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CFA1D9"/>
  <w15:docId w15:val="{776126B1-2A9B-4ED4-9C93-56B49427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2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4A"/>
  </w:style>
  <w:style w:type="paragraph" w:styleId="Footer">
    <w:name w:val="footer"/>
    <w:basedOn w:val="Normal"/>
    <w:link w:val="FooterChar"/>
    <w:uiPriority w:val="99"/>
    <w:unhideWhenUsed/>
    <w:rsid w:val="002C2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54A"/>
  </w:style>
  <w:style w:type="paragraph" w:styleId="ListParagraph">
    <w:name w:val="List Paragraph"/>
    <w:aliases w:val="Párrafo de lista1,Colorful List - Accent 11"/>
    <w:basedOn w:val="Normal"/>
    <w:link w:val="ListParagraphChar"/>
    <w:uiPriority w:val="34"/>
    <w:qFormat/>
    <w:rsid w:val="003821C8"/>
    <w:pPr>
      <w:ind w:left="720"/>
      <w:contextualSpacing/>
    </w:pPr>
  </w:style>
  <w:style w:type="paragraph" w:styleId="NormalWeb">
    <w:name w:val="Normal (Web)"/>
    <w:basedOn w:val="Normal"/>
    <w:uiPriority w:val="99"/>
    <w:unhideWhenUsed/>
    <w:rsid w:val="00897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
    <w:name w:val="Body C"/>
    <w:rsid w:val="0089779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GB"/>
    </w:rPr>
  </w:style>
  <w:style w:type="character" w:customStyle="1" w:styleId="jlqj4b">
    <w:name w:val="jlqj4b"/>
    <w:basedOn w:val="DefaultParagraphFont"/>
    <w:rsid w:val="000725CB"/>
  </w:style>
  <w:style w:type="paragraph" w:styleId="BalloonText">
    <w:name w:val="Balloon Text"/>
    <w:basedOn w:val="Normal"/>
    <w:link w:val="BalloonTextChar"/>
    <w:uiPriority w:val="99"/>
    <w:semiHidden/>
    <w:unhideWhenUsed/>
    <w:rsid w:val="00626C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C55"/>
    <w:rPr>
      <w:rFonts w:ascii="Times New Roman" w:hAnsi="Times New Roman" w:cs="Times New Roman"/>
      <w:sz w:val="18"/>
      <w:szCs w:val="18"/>
    </w:rPr>
  </w:style>
  <w:style w:type="paragraph" w:styleId="FootnoteText">
    <w:name w:val="footnote text"/>
    <w:aliases w:val="FA Fu,FA Fu Char,Footnote Text Char Char Char,Footnote Text Char Char Char Char,Footnote Text Char Char Char Char Char,Footnote Text Char Char Char Char Char Char Char Char,Footnote Text Char Char Char Char Char Char,footnote text,Ca"/>
    <w:basedOn w:val="Normal"/>
    <w:link w:val="FootnoteTextChar"/>
    <w:unhideWhenUsed/>
    <w:qFormat/>
    <w:rsid w:val="00583275"/>
    <w:pPr>
      <w:spacing w:after="0" w:line="240" w:lineRule="auto"/>
    </w:pPr>
    <w:rPr>
      <w:sz w:val="20"/>
      <w:szCs w:val="20"/>
    </w:rPr>
  </w:style>
  <w:style w:type="character" w:customStyle="1" w:styleId="FootnoteTextChar">
    <w:name w:val="Footnote Text Char"/>
    <w:aliases w:val="FA Fu Char1,FA Fu Char Char,Footnote Text Char Char Char Char1,Footnote Text Char Char Char Char Char1,Footnote Text Char Char Char Char Char Char1,Footnote Text Char Char Char Char Char Char Char Char Char,footnote text Char,Ca Char"/>
    <w:basedOn w:val="DefaultParagraphFont"/>
    <w:link w:val="FootnoteText"/>
    <w:rsid w:val="00583275"/>
    <w:rPr>
      <w:sz w:val="20"/>
      <w:szCs w:val="20"/>
    </w:rPr>
  </w:style>
  <w:style w:type="character" w:styleId="FootnoteReference">
    <w:name w:val="footnote reference"/>
    <w:aliases w:val="Texto de nota al pie,Footnote number,Footnote Reference Char3,Footnote Reference Char1 Char,Char Char Car Char Car Char Car Char Car Char Car Char Char Char1 Char,Footnote Reference Char Char Char,4_G,Appel note de bas de page"/>
    <w:basedOn w:val="DefaultParagraphFont"/>
    <w:link w:val="AppelnotedebasdepageCharCharCharCharCharCharChar"/>
    <w:uiPriority w:val="99"/>
    <w:unhideWhenUsed/>
    <w:qFormat/>
    <w:rsid w:val="00583275"/>
    <w:rPr>
      <w:vertAlign w:val="superscript"/>
    </w:rPr>
  </w:style>
  <w:style w:type="paragraph" w:styleId="TOCHeading">
    <w:name w:val="TOC Heading"/>
    <w:basedOn w:val="Heading1"/>
    <w:next w:val="Normal"/>
    <w:uiPriority w:val="39"/>
    <w:unhideWhenUsed/>
    <w:qFormat/>
    <w:rsid w:val="00B53985"/>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6540D"/>
    <w:pPr>
      <w:tabs>
        <w:tab w:val="left" w:pos="660"/>
        <w:tab w:val="right" w:leader="dot" w:pos="9350"/>
      </w:tabs>
      <w:spacing w:after="0" w:line="360" w:lineRule="auto"/>
    </w:pPr>
  </w:style>
  <w:style w:type="paragraph" w:styleId="TOC2">
    <w:name w:val="toc 2"/>
    <w:basedOn w:val="Normal"/>
    <w:next w:val="Normal"/>
    <w:autoRedefine/>
    <w:uiPriority w:val="39"/>
    <w:unhideWhenUsed/>
    <w:rsid w:val="00BB2B6C"/>
    <w:pPr>
      <w:tabs>
        <w:tab w:val="left" w:pos="660"/>
        <w:tab w:val="right" w:leader="dot" w:pos="9061"/>
      </w:tabs>
      <w:spacing w:after="0" w:line="360" w:lineRule="auto"/>
      <w:ind w:left="220"/>
      <w:contextualSpacing/>
    </w:pPr>
  </w:style>
  <w:style w:type="paragraph" w:styleId="TOC3">
    <w:name w:val="toc 3"/>
    <w:basedOn w:val="Normal"/>
    <w:next w:val="Normal"/>
    <w:autoRedefine/>
    <w:uiPriority w:val="39"/>
    <w:unhideWhenUsed/>
    <w:rsid w:val="00B53985"/>
    <w:pPr>
      <w:spacing w:after="100"/>
      <w:ind w:left="440"/>
    </w:pPr>
  </w:style>
  <w:style w:type="character" w:styleId="Hyperlink">
    <w:name w:val="Hyperlink"/>
    <w:basedOn w:val="DefaultParagraphFont"/>
    <w:uiPriority w:val="99"/>
    <w:unhideWhenUsed/>
    <w:rsid w:val="00B53985"/>
    <w:rPr>
      <w:color w:val="0000FF" w:themeColor="hyperlink"/>
      <w:u w:val="single"/>
    </w:rPr>
  </w:style>
  <w:style w:type="paragraph" w:styleId="Revision">
    <w:name w:val="Revision"/>
    <w:hidden/>
    <w:uiPriority w:val="99"/>
    <w:semiHidden/>
    <w:rsid w:val="007F738C"/>
    <w:pPr>
      <w:spacing w:after="0" w:line="240" w:lineRule="auto"/>
    </w:pPr>
  </w:style>
  <w:style w:type="character" w:styleId="CommentReference">
    <w:name w:val="annotation reference"/>
    <w:basedOn w:val="DefaultParagraphFont"/>
    <w:uiPriority w:val="99"/>
    <w:semiHidden/>
    <w:unhideWhenUsed/>
    <w:rsid w:val="00C1443A"/>
    <w:rPr>
      <w:sz w:val="16"/>
      <w:szCs w:val="16"/>
    </w:rPr>
  </w:style>
  <w:style w:type="paragraph" w:styleId="CommentText">
    <w:name w:val="annotation text"/>
    <w:basedOn w:val="Normal"/>
    <w:link w:val="CommentTextChar"/>
    <w:uiPriority w:val="99"/>
    <w:semiHidden/>
    <w:unhideWhenUsed/>
    <w:rsid w:val="00C1443A"/>
    <w:pPr>
      <w:spacing w:line="240" w:lineRule="auto"/>
    </w:pPr>
    <w:rPr>
      <w:sz w:val="20"/>
      <w:szCs w:val="20"/>
    </w:rPr>
  </w:style>
  <w:style w:type="character" w:customStyle="1" w:styleId="CommentTextChar">
    <w:name w:val="Comment Text Char"/>
    <w:basedOn w:val="DefaultParagraphFont"/>
    <w:link w:val="CommentText"/>
    <w:uiPriority w:val="99"/>
    <w:semiHidden/>
    <w:rsid w:val="00C1443A"/>
    <w:rPr>
      <w:sz w:val="20"/>
      <w:szCs w:val="20"/>
    </w:rPr>
  </w:style>
  <w:style w:type="paragraph" w:styleId="CommentSubject">
    <w:name w:val="annotation subject"/>
    <w:basedOn w:val="CommentText"/>
    <w:next w:val="CommentText"/>
    <w:link w:val="CommentSubjectChar"/>
    <w:uiPriority w:val="99"/>
    <w:semiHidden/>
    <w:unhideWhenUsed/>
    <w:rsid w:val="00C1443A"/>
    <w:rPr>
      <w:b/>
      <w:bCs/>
    </w:rPr>
  </w:style>
  <w:style w:type="character" w:customStyle="1" w:styleId="CommentSubjectChar">
    <w:name w:val="Comment Subject Char"/>
    <w:basedOn w:val="CommentTextChar"/>
    <w:link w:val="CommentSubject"/>
    <w:uiPriority w:val="99"/>
    <w:semiHidden/>
    <w:rsid w:val="00C1443A"/>
    <w:rPr>
      <w:b/>
      <w:bCs/>
      <w:sz w:val="20"/>
      <w:szCs w:val="20"/>
    </w:rPr>
  </w:style>
  <w:style w:type="character" w:customStyle="1" w:styleId="ListParagraphChar">
    <w:name w:val="List Paragraph Char"/>
    <w:aliases w:val="Párrafo de lista1 Char,Colorful List - Accent 11 Char"/>
    <w:link w:val="ListParagraph"/>
    <w:uiPriority w:val="34"/>
    <w:locked/>
    <w:rsid w:val="00474E7F"/>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474E7F"/>
    <w:pPr>
      <w:spacing w:after="0" w:line="240" w:lineRule="auto"/>
      <w:jc w:val="both"/>
    </w:pPr>
    <w:rPr>
      <w:vertAlign w:val="superscript"/>
    </w:rPr>
  </w:style>
  <w:style w:type="table" w:styleId="TableGrid">
    <w:name w:val="Table Grid"/>
    <w:basedOn w:val="TableNormal"/>
    <w:uiPriority w:val="39"/>
    <w:qFormat/>
    <w:rsid w:val="00A769EE"/>
    <w:pPr>
      <w:spacing w:after="0" w:line="240" w:lineRule="auto"/>
    </w:pPr>
    <w:rPr>
      <w:rFonts w:ascii="Arial" w:eastAsiaTheme="minorHAnsi" w:hAnsi="Arial" w:cs="Leelawadee UI Semi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556B8"/>
  </w:style>
  <w:style w:type="paragraph" w:styleId="NoSpacing">
    <w:name w:val="No Spacing"/>
    <w:uiPriority w:val="1"/>
    <w:qFormat/>
    <w:rsid w:val="009D1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7734">
      <w:bodyDiv w:val="1"/>
      <w:marLeft w:val="0"/>
      <w:marRight w:val="0"/>
      <w:marTop w:val="0"/>
      <w:marBottom w:val="0"/>
      <w:divBdr>
        <w:top w:val="none" w:sz="0" w:space="0" w:color="auto"/>
        <w:left w:val="none" w:sz="0" w:space="0" w:color="auto"/>
        <w:bottom w:val="none" w:sz="0" w:space="0" w:color="auto"/>
        <w:right w:val="none" w:sz="0" w:space="0" w:color="auto"/>
      </w:divBdr>
    </w:div>
    <w:div w:id="335422100">
      <w:bodyDiv w:val="1"/>
      <w:marLeft w:val="0"/>
      <w:marRight w:val="0"/>
      <w:marTop w:val="0"/>
      <w:marBottom w:val="0"/>
      <w:divBdr>
        <w:top w:val="none" w:sz="0" w:space="0" w:color="auto"/>
        <w:left w:val="none" w:sz="0" w:space="0" w:color="auto"/>
        <w:bottom w:val="none" w:sz="0" w:space="0" w:color="auto"/>
        <w:right w:val="none" w:sz="0" w:space="0" w:color="auto"/>
      </w:divBdr>
    </w:div>
    <w:div w:id="1395737699">
      <w:bodyDiv w:val="1"/>
      <w:marLeft w:val="0"/>
      <w:marRight w:val="0"/>
      <w:marTop w:val="0"/>
      <w:marBottom w:val="0"/>
      <w:divBdr>
        <w:top w:val="none" w:sz="0" w:space="0" w:color="auto"/>
        <w:left w:val="none" w:sz="0" w:space="0" w:color="auto"/>
        <w:bottom w:val="none" w:sz="0" w:space="0" w:color="auto"/>
        <w:right w:val="none" w:sz="0" w:space="0" w:color="auto"/>
      </w:divBdr>
    </w:div>
    <w:div w:id="1525902791">
      <w:bodyDiv w:val="1"/>
      <w:marLeft w:val="0"/>
      <w:marRight w:val="0"/>
      <w:marTop w:val="0"/>
      <w:marBottom w:val="0"/>
      <w:divBdr>
        <w:top w:val="none" w:sz="0" w:space="0" w:color="auto"/>
        <w:left w:val="none" w:sz="0" w:space="0" w:color="auto"/>
        <w:bottom w:val="none" w:sz="0" w:space="0" w:color="auto"/>
        <w:right w:val="none" w:sz="0" w:space="0" w:color="auto"/>
      </w:divBdr>
    </w:div>
    <w:div w:id="165622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6F07-3033-4512-AB6C-40AFA4E5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5737</Words>
  <Characters>32705</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Dati Senn</dc:creator>
  <cp:lastModifiedBy>sathish mohan</cp:lastModifiedBy>
  <cp:revision>4</cp:revision>
  <cp:lastPrinted>2023-05-30T14:54:00Z</cp:lastPrinted>
  <dcterms:created xsi:type="dcterms:W3CDTF">2023-09-08T12:27:00Z</dcterms:created>
  <dcterms:modified xsi:type="dcterms:W3CDTF">2025-06-28T17:29:00Z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1931a418b615cab6f186ca1fbb7b7f9d5f483e1c8e144c2afa20c9ba877d43db</vt:lpwstr>
  </property>
</Properties>
</file>