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A2" w:rsidRPr="002A31A2" w:rsidRDefault="002A31A2" w:rsidP="002A31A2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</w:pPr>
      <w:bookmarkStart w:id="0" w:name="_GoBack"/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Résolution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tendant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à la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réalisation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d'une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Étude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sur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l'intégration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des droits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économiques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,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sociaux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et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culturels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dans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les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processus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nationaux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planification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du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développement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en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Afrique</w:t>
      </w:r>
      <w:proofErr w:type="spellEnd"/>
      <w:r w:rsidRPr="002A31A2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- CADHP/Res.561 (LXXV) 2023</w:t>
      </w:r>
    </w:p>
    <w:bookmarkEnd w:id="0"/>
    <w:p w:rsidR="00B30407" w:rsidRPr="002A31A2" w:rsidRDefault="002A31A2">
      <w:pPr>
        <w:rPr>
          <w:rFonts w:cstheme="minorHAnsi"/>
          <w:color w:val="231F20"/>
          <w:sz w:val="23"/>
          <w:szCs w:val="23"/>
          <w:shd w:val="clear" w:color="auto" w:fill="FFFFFF"/>
        </w:rPr>
      </w:pPr>
      <w:proofErr w:type="spellStart"/>
      <w:r w:rsidRPr="002A31A2">
        <w:rPr>
          <w:rFonts w:cstheme="minorHAnsi"/>
          <w:color w:val="231F20"/>
          <w:sz w:val="23"/>
          <w:szCs w:val="23"/>
          <w:shd w:val="clear" w:color="auto" w:fill="FFFFFF"/>
        </w:rPr>
        <w:t>juin</w:t>
      </w:r>
      <w:proofErr w:type="spellEnd"/>
      <w:r w:rsidRPr="002A31A2">
        <w:rPr>
          <w:rFonts w:cstheme="minorHAnsi"/>
          <w:color w:val="231F20"/>
          <w:sz w:val="23"/>
          <w:szCs w:val="23"/>
          <w:shd w:val="clear" w:color="auto" w:fill="FFFFFF"/>
        </w:rPr>
        <w:t xml:space="preserve"> 15, 2023</w:t>
      </w:r>
    </w:p>
    <w:p w:rsidR="002A31A2" w:rsidRPr="002A31A2" w:rsidRDefault="002A31A2">
      <w:pPr>
        <w:rPr>
          <w:rFonts w:cstheme="minorHAnsi"/>
          <w:color w:val="231F20"/>
          <w:sz w:val="23"/>
          <w:szCs w:val="23"/>
          <w:shd w:val="clear" w:color="auto" w:fill="FFFFFF"/>
        </w:rPr>
      </w:pP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La Commission des droits de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(«la Commission»),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réunie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sa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75</w:t>
      </w:r>
      <w:proofErr w:type="gram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ème  Session</w:t>
      </w:r>
      <w:proofErr w:type="gram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ordinaire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tenue du 3 au 23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mai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2023 à Banjul,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Gambie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;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Rappelant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son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mandat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relatif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la promotion et la protection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vertu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l’article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45 de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(la « 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> »</w:t>
      </w:r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) ;</w:t>
      </w:r>
      <w:proofErr w:type="gramEnd"/>
      <w:r w:rsidRPr="002A31A2">
        <w:rPr>
          <w:rFonts w:asciiTheme="minorHAnsi" w:hAnsiTheme="minorHAnsi" w:cstheme="minorHAnsi"/>
          <w:color w:val="53575A"/>
          <w:sz w:val="23"/>
          <w:szCs w:val="23"/>
        </w:rPr>
        <w:t> 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Rappelant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consacre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particulier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articles 14, 15, 16, 17, 18, 21 et </w:t>
      </w:r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22 ;</w:t>
      </w:r>
      <w:proofErr w:type="gramEnd"/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Considérant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l'Agenda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2063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l'Union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(UA),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son Aspiration 3,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prévoit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d'ici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2063,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l'Afrique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sera «un continent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où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valeurs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la culture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pratiques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démocratiques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principes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universels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l'égalité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entre les hommes et les femmes, de la justice et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l'État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droit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ancrés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»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qu'elle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disposera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« 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d'institutions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capables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d'un leadership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transformateur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tous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niveaux</w:t>
      </w:r>
      <w:proofErr w:type="spellEnd"/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» ;</w:t>
      </w:r>
      <w:proofErr w:type="gramEnd"/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Gardant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l'esprit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l'Agenda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2063 («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l'Afrique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nous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voulons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») et le Programme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durable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l’horizon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2030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reflètent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normes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principes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phares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matière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réaffirment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 droit au </w:t>
      </w:r>
      <w:proofErr w:type="spellStart"/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;</w:t>
      </w:r>
      <w:proofErr w:type="gram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Considérant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l'article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45(1) (a) de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qui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donne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mandat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la Commission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«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rassembler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la  documentation</w:t>
      </w:r>
      <w:proofErr w:type="gram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faire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études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recherches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problèmes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domaine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>» ;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Rappelant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sa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Résolution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CADHP/Res.73 (XXXVI) 04,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adoptée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lors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sa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36ème Session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ordinaire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tenue à Dakar,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Sénégal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du 23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novembre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au 7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décembre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2004,  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établissant</w:t>
      </w:r>
      <w:proofErr w:type="spellEnd"/>
      <w:proofErr w:type="gram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Groupe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travail sur les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avec pour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mandat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entre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autres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>, «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d'entreprendre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sous la supervision de la Commission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études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recherches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des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spécifiques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>»  ;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Gardant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l'esprit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Principes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Lignes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directrices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mise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œuvre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Lignes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directrices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relatives aux rapports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États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parties sur les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;</w:t>
      </w:r>
      <w:proofErr w:type="gramEnd"/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l'appauvrissement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dépossession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dégradation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l'environnement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l'aggravation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inégalités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ainsi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d'autres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problèmes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violations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liés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processus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le </w:t>
      </w:r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continent ;</w:t>
      </w:r>
      <w:proofErr w:type="gramEnd"/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Reconnaissant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lois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politiques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cadres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mise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œuvre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sectoriels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nationaux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mesures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essentielles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pour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mettre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contexte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l'Agenda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2063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l'Union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(UA) et le Programme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durable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l’horizon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2030,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ainsi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les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sous-</w:t>
      </w:r>
      <w:proofErr w:type="spellStart"/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jacents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;</w:t>
      </w:r>
      <w:proofErr w:type="gram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lastRenderedPageBreak/>
        <w:t>Préoccupée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par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défis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pose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l'intégration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effective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normes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internationales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régionales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relatives aux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lois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politiques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cadres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mise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œuvre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sectoriels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nationaux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;</w:t>
      </w:r>
      <w:proofErr w:type="gramEnd"/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Préoccupée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également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par le fait que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certains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groupes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notamment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minorités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communautés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/populations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autochtones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exposés à de graves violations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leurs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processus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par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l'absence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données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ventilées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adéquates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pour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évaluer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surveiller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jouissance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leurs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droits,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notamment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;</w:t>
      </w:r>
      <w:proofErr w:type="gram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nécessité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d'identifier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opportunités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défis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concrets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liés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l'intégration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d'une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approche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du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fondée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les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lois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politiques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cadres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mise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œuvre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sectoriels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nationaux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travers le </w:t>
      </w:r>
      <w:proofErr w:type="gram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continent ;</w:t>
      </w:r>
      <w:proofErr w:type="gramEnd"/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r w:rsidRPr="002A31A2">
        <w:rPr>
          <w:rFonts w:asciiTheme="minorHAnsi" w:hAnsiTheme="minorHAnsi" w:cstheme="minorHAnsi"/>
          <w:color w:val="53575A"/>
          <w:sz w:val="23"/>
          <w:szCs w:val="23"/>
        </w:rPr>
        <w:t>La Commission :</w:t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br/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sym w:font="Symbol" w:char="F0A7"/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Affirme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l'élaboration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directives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pratiques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fondées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les droits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axées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mécanismes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clés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mise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œuvre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au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niveau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national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pourrait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renforcer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l'engagement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promouvoir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plus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efficacement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l'alignement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entre les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politiques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plans des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États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matière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durable  ;</w:t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br/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sym w:font="Symbol" w:char="F0A7"/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Charge le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Groupe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travail sur les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collaboration avec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partenaires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préparer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un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projet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d'Étude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sur «les droits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sociaux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culturels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processus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nationaux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développement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durable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», et de le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présenter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la Commission pour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examen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adoption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un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délai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d'un (1) an ;</w:t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br/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sym w:font="Symbol" w:char="F0A7"/>
      </w:r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Invite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l’ensemble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parties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prenantes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particulier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États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parties à la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, les Institutions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nationales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acteurs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non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étatiques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contribuer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2A31A2">
        <w:rPr>
          <w:rFonts w:asciiTheme="minorHAnsi" w:hAnsiTheme="minorHAnsi" w:cstheme="minorHAnsi"/>
          <w:color w:val="53575A"/>
          <w:sz w:val="23"/>
          <w:szCs w:val="23"/>
        </w:rPr>
        <w:t>l'Étude</w:t>
      </w:r>
      <w:proofErr w:type="spellEnd"/>
      <w:r w:rsidRPr="002A31A2">
        <w:rPr>
          <w:rFonts w:asciiTheme="minorHAnsi" w:hAnsiTheme="minorHAnsi" w:cstheme="minorHAnsi"/>
          <w:color w:val="53575A"/>
          <w:sz w:val="23"/>
          <w:szCs w:val="23"/>
        </w:rPr>
        <w:t>.</w:t>
      </w:r>
    </w:p>
    <w:p w:rsidR="002A31A2" w:rsidRPr="002A31A2" w:rsidRDefault="002A31A2" w:rsidP="002A31A2">
      <w:pPr>
        <w:pStyle w:val="text-align-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3575A"/>
          <w:sz w:val="23"/>
          <w:szCs w:val="23"/>
        </w:rPr>
      </w:pPr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Fait à Banjul,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Gambie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, le 23 </w:t>
      </w:r>
      <w:proofErr w:type="spellStart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>mai</w:t>
      </w:r>
      <w:proofErr w:type="spellEnd"/>
      <w:r w:rsidRPr="002A31A2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2023</w:t>
      </w:r>
    </w:p>
    <w:p w:rsidR="002A31A2" w:rsidRDefault="002A31A2"/>
    <w:sectPr w:rsidR="002A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A2"/>
    <w:rsid w:val="002A31A2"/>
    <w:rsid w:val="00B3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75733"/>
  <w15:chartTrackingRefBased/>
  <w15:docId w15:val="{1319EA2E-26A3-4DF5-97CE-1E9169B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3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A2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customStyle="1" w:styleId="text-align-justify">
    <w:name w:val="text-align-justify"/>
    <w:basedOn w:val="Normal"/>
    <w:rsid w:val="002A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2A3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Bruce</dc:creator>
  <cp:keywords/>
  <dc:description/>
  <cp:lastModifiedBy>Mary Bruce</cp:lastModifiedBy>
  <cp:revision>1</cp:revision>
  <dcterms:created xsi:type="dcterms:W3CDTF">2023-06-27T09:34:00Z</dcterms:created>
  <dcterms:modified xsi:type="dcterms:W3CDTF">2023-06-27T09:34:00Z</dcterms:modified>
</cp:coreProperties>
</file>